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3e3d1329e14bbcb3de6c53cdb23ce7"/>
        <w:lock w:val="sdtLocked"/>
        <w:richText/>
      </w:sdtPr>
      <w:sdtContent>
        <w:p>
          <w:pPr>
            <w:suppressAutoHyphens/>
            <w:jc w:val="right"/>
            <w:rPr>
              <w:rFonts w:ascii="Arial" w:hAnsi="Arial"/>
              <w:spacing w:val="8"/>
              <w:lang w:eastAsia="lt-LT"/>
            </w:rPr>
          </w:pPr>
          <w:r>
            <w:rPr>
              <w:b/>
              <w:bCs/>
              <w:spacing w:val="8"/>
              <w:lang w:eastAsia="lt-LT"/>
            </w:rPr>
            <w:t>Projektas</w:t>
          </w:r>
        </w:p>
        <w:p>
          <w:pPr>
            <w:suppressAutoHyphens/>
            <w:jc w:val="center"/>
            <w:rPr>
              <w:rFonts w:ascii="Arial" w:hAnsi="Arial"/>
              <w:spacing w:val="8"/>
              <w:lang w:eastAsia="lt-LT"/>
            </w:rPr>
          </w:pPr>
        </w:p>
        <w:p>
          <w:pPr>
            <w:suppressAutoHyphens/>
            <w:jc w:val="center"/>
            <w:rPr>
              <w:rFonts w:ascii="Arial" w:hAnsi="Arial"/>
              <w:spacing w:val="8"/>
              <w:lang w:eastAsia="lt-LT"/>
            </w:rPr>
          </w:pPr>
        </w:p>
        <w:p>
          <w:pPr>
            <w:rPr>
              <w:sz w:val="10"/>
              <w:szCs w:val="10"/>
            </w:rPr>
          </w:pPr>
        </w:p>
        <w:p>
          <w:pPr>
            <w:suppressAutoHyphens/>
            <w:jc w:val="center"/>
            <w:rPr>
              <w:b/>
              <w:bCs/>
              <w:lang w:eastAsia="lt-LT"/>
            </w:rPr>
          </w:pPr>
          <w:r>
            <w:rPr>
              <w:b/>
              <w:bCs/>
              <w:lang w:eastAsia="lt-LT"/>
            </w:rPr>
            <w:t>LIETUVOS RESPUBLIKOS APLINKOS MINISTRAS</w:t>
          </w:r>
        </w:p>
        <w:p>
          <w:pPr>
            <w:rPr>
              <w:sz w:val="6"/>
              <w:szCs w:val="6"/>
            </w:rPr>
          </w:pPr>
        </w:p>
        <w:p>
          <w:pPr>
            <w:suppressAutoHyphens/>
            <w:jc w:val="center"/>
            <w:rPr>
              <w:b/>
              <w:bCs/>
              <w:lang w:eastAsia="lt-LT"/>
            </w:rPr>
          </w:pPr>
          <w:r>
            <w:rPr>
              <w:b/>
              <w:bCs/>
              <w:lang w:eastAsia="lt-LT"/>
            </w:rPr>
            <w:t>ĮSAKYMAS</w:t>
          </w:r>
        </w:p>
        <w:p>
          <w:pPr>
            <w:suppressAutoHyphens/>
            <w:jc w:val="center"/>
            <w:rPr>
              <w:b/>
              <w:bCs/>
              <w:color w:val="000000"/>
              <w:szCs w:val="24"/>
              <w:shd w:val="clear" w:color="auto" w:fill="FFFFFF"/>
              <w:lang w:eastAsia="lt-LT"/>
            </w:rPr>
          </w:pPr>
          <w:r>
            <w:rPr>
              <w:b/>
              <w:bCs/>
              <w:lang w:eastAsia="lt-LT"/>
            </w:rPr>
            <w:t xml:space="preserve">DĖL LIETUVOS RESPUBLIKOS APLINKOS MINISTRO 2023 M. </w:t>
          </w:r>
          <w:r>
            <w:rPr>
              <w:b/>
              <w:bCs/>
              <w:color w:val="000000"/>
              <w:lang w:eastAsia="lt-LT"/>
            </w:rPr>
            <w:t xml:space="preserve">BALANDŽIO 28 D. ĮSAKYMO NR. D1-129 </w:t>
          </w:r>
          <w:r>
            <w:rPr>
              <w:b/>
              <w:color w:val="000000"/>
              <w:lang w:eastAsia="lt-LT"/>
            </w:rPr>
            <w:t>„DĖL LIETUVOS RESPUBLIKOS APLINKOS MINISTRO 2016 M. GRUODŽIO 12 D. ĮSAKYMO NR. D1-878 „DĖL STATYBOS TECHNINIO REGLAMENTO STR 1.05.01:2017 „</w:t>
          </w:r>
          <w:r>
            <w:rPr>
              <w:b/>
              <w:bCs/>
              <w:color w:val="000000"/>
              <w:szCs w:val="24"/>
              <w:lang w:eastAsia="lt-LT"/>
            </w:rPr>
            <w:t xml:space="preserve">STATYBĄ LEIDŽIANTYS DOKUMENTAI. STATYBOS UŽBAIGIMAS. </w:t>
          </w:r>
          <w:r>
            <w:rPr>
              <w:b/>
              <w:bCs/>
              <w:color w:val="000000"/>
              <w:lang w:eastAsia="lt-LT"/>
            </w:rPr>
            <w:t>NEBAIGTO STATINIO REGISTRAVIMAS IR PERLEIDIMAS. </w:t>
          </w:r>
          <w:r>
            <w:rPr>
              <w:b/>
              <w:bCs/>
              <w:color w:val="000000"/>
              <w:szCs w:val="24"/>
              <w:lang w:eastAsia="lt-LT"/>
            </w:rPr>
            <w:t>STATYBOS SUSTABDYMAS. SAVAVALIŠKOS STATYBOS PADARINIŲ ŠALINIMAS. STATYBOS PAGAL NETEISĖTAI IŠDUOTĄ STATYBĄ LEIDŽIANTĮ DOKUMENTĄ PADARINIŲ ŠALINIMAS</w:t>
          </w:r>
          <w:r>
            <w:rPr>
              <w:b/>
              <w:color w:val="000000"/>
              <w:lang w:eastAsia="lt-LT"/>
            </w:rPr>
            <w:t>“ PATVIRTINIMO“ PAKEITIMO“ PAKEITIMO</w:t>
          </w:r>
        </w:p>
        <w:p>
          <w:pPr>
            <w:suppressAutoHyphens/>
            <w:jc w:val="center"/>
            <w:rPr>
              <w:b/>
              <w:lang w:eastAsia="lt-LT"/>
            </w:rPr>
          </w:pPr>
        </w:p>
        <w:p>
          <w:pPr>
            <w:suppressAutoHyphens/>
            <w:jc w:val="center"/>
            <w:rPr>
              <w:lang w:eastAsia="lt-LT"/>
            </w:rPr>
          </w:pPr>
          <w:r>
            <w:rPr>
              <w:lang w:eastAsia="lt-LT"/>
            </w:rPr>
            <w:t xml:space="preserve">2023 m.           d. Nr. </w:t>
          </w:r>
        </w:p>
        <w:sdt>
          <w:sdtPr>
            <w:alias w:val="preambule"/>
            <w:tag w:val="part_d7fd09427d22428b882891077691d21a"/>
            <w:lock w:val="sdtLocked"/>
            <w:richText/>
          </w:sdtPr>
          <w:sdtContent>
            <w:p>
              <w:pPr>
                <w:tabs>
                  <w:tab w:val="center" w:pos="4747"/>
                  <w:tab w:val="left" w:pos="5976"/>
                </w:tabs>
                <w:suppressAutoHyphens/>
                <w:rPr>
                  <w:lang w:eastAsia="lt-LT"/>
                </w:rPr>
              </w:pPr>
              <w:r>
                <w:rPr>
                  <w:lang w:eastAsia="lt-LT"/>
                </w:rPr>
                <w:tab/>
                <w:t>Vilnius</w:t>
                <w:tab/>
                <w:br/>
              </w:r>
            </w:p>
            <w:p>
              <w:pPr>
                <w:suppressAutoHyphens/>
                <w:jc w:val="center"/>
                <w:rPr>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2655" w:right="709" w:bottom="1032" w:left="1701" w:header="1140" w:footer="919" w:gutter="0"/>
                  <w:cols w:space="1296"/>
                  <w:titlePg/>
                  <w:docGrid w:linePitch="360"/>
                </w:sectPr>
              </w:pPr>
            </w:p>
          </w:sdtContent>
        </w:sdt>
        <w:sdt>
          <w:sdtPr>
            <w:alias w:val="pastraipa"/>
            <w:tag w:val="part_132dd6d5c0a54e9b98fa2ef9cd7c4f4d"/>
            <w:lock w:val="sdtLocked"/>
            <w:richText/>
          </w:sdtPr>
          <w:sdtContent>
            <w:p>
              <w:pPr>
                <w:suppressAutoHyphens/>
                <w:ind w:firstLine="567"/>
                <w:jc w:val="both"/>
                <w:rPr>
                  <w:bCs/>
                  <w:color w:val="000000"/>
                  <w:szCs w:val="24"/>
                  <w:lang w:eastAsia="lt-LT"/>
                </w:rPr>
              </w:pPr>
              <w:r>
                <w:rPr>
                  <w:color w:val="000000"/>
                  <w:szCs w:val="24"/>
                  <w:lang w:eastAsia="lt-LT"/>
                </w:rPr>
                <w:t>P a k e i č i u Lietuvos Respublikos aplinkos ministro 2023 m. balandžio 28 d. įsakymą Nr. D1-129 „Dėl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r>
                <w:rPr>
                  <w:bCs/>
                  <w:color w:val="000000"/>
                  <w:szCs w:val="24"/>
                  <w:lang w:eastAsia="lt-LT"/>
                </w:rPr>
                <w:t>:</w:t>
              </w:r>
            </w:p>
          </w:sdtContent>
        </w:sdt>
        <w:sdt>
          <w:sdtPr>
            <w:alias w:val="1 p."/>
            <w:tag w:val="part_8b3804ae59144e9d9748ae0828e0da04"/>
            <w:lock w:val="sdtLocked"/>
            <w:richText/>
          </w:sdtPr>
          <w:sdtContent>
            <w:p>
              <w:pPr>
                <w:suppressAutoHyphens/>
                <w:ind w:left="927" w:hanging="360"/>
                <w:jc w:val="both"/>
                <w:rPr>
                  <w:bCs/>
                  <w:color w:val="000000"/>
                  <w:szCs w:val="24"/>
                  <w:lang w:eastAsia="lt-LT"/>
                </w:rPr>
              </w:pPr>
              <w:sdt>
                <w:sdtPr>
                  <w:alias w:val="Numeris"/>
                  <w:tag w:val="nr_8b3804ae59144e9d9748ae0828e0da04"/>
                  <w:lock w:val="sdtLocked"/>
                  <w:richText/>
                </w:sdtPr>
                <w:sdtContent>
                  <w:r>
                    <w:rPr>
                      <w:bCs/>
                      <w:color w:val="000000"/>
                      <w:szCs w:val="24"/>
                      <w:lang w:eastAsia="lt-LT"/>
                    </w:rPr>
                    <w:t>1</w:t>
                  </w:r>
                </w:sdtContent>
              </w:sdt>
              <w:r>
                <w:rPr>
                  <w:bCs/>
                  <w:color w:val="000000"/>
                  <w:szCs w:val="24"/>
                  <w:lang w:eastAsia="lt-LT"/>
                </w:rPr>
                <w:t>.</w:t>
                <w:tab/>
                <w:t>Pakeičiu 1.2.35 papunktį ir jį išdėstau taip:</w:t>
              </w:r>
            </w:p>
            <w:sdt>
              <w:sdtPr>
                <w:alias w:val="citata"/>
                <w:tag w:val="part_c0cc87180df5440097aea1985c6a60bd"/>
                <w:lock w:val="sdtLocked"/>
                <w:richText/>
              </w:sdtPr>
              <w:sdtContent>
                <w:sdt>
                  <w:sdtPr>
                    <w:alias w:val="1.2.35 pp."/>
                    <w:tag w:val="part_88e95f07dcb74e7da1707e9153c882a4"/>
                    <w:lock w:val="sdtLocked"/>
                    <w:richText/>
                  </w:sdtPr>
                  <w:sdtContent>
                    <w:p>
                      <w:pPr>
                        <w:tabs>
                          <w:tab w:val="left" w:pos="851"/>
                          <w:tab w:val="left" w:pos="1276"/>
                        </w:tabs>
                        <w:suppressAutoHyphens/>
                        <w:ind w:firstLine="567"/>
                        <w:jc w:val="both"/>
                        <w:rPr>
                          <w:lang w:eastAsia="lt-LT"/>
                        </w:rPr>
                      </w:pPr>
                      <w:r>
                        <w:rPr>
                          <w:bCs/>
                          <w:color w:val="000000"/>
                          <w:szCs w:val="24"/>
                          <w:lang w:eastAsia="lt-LT"/>
                        </w:rPr>
                        <w:t>„</w:t>
                      </w:r>
                      <w:sdt>
                        <w:sdtPr>
                          <w:alias w:val="Numeris"/>
                          <w:tag w:val="nr_88e95f07dcb74e7da1707e9153c882a4"/>
                          <w:lock w:val="sdtLocked"/>
                          <w:richText/>
                        </w:sdtPr>
                        <w:sdtContent>
                          <w:r>
                            <w:rPr>
                              <w:lang w:eastAsia="lt-LT"/>
                            </w:rPr>
                            <w:t>1.2.35</w:t>
                          </w:r>
                        </w:sdtContent>
                      </w:sdt>
                      <w:r>
                        <w:rPr>
                          <w:lang w:eastAsia="lt-LT"/>
                        </w:rPr>
                        <w:t>.</w:t>
                        <w:tab/>
                        <w:t>Pakeičiu 68 punktą ir jį išdėstau taip:</w:t>
                      </w:r>
                    </w:p>
                    <w:p>
                      <w:pPr>
                        <w:suppressAutoHyphens/>
                        <w:ind w:firstLine="567"/>
                        <w:jc w:val="both"/>
                        <w:rPr>
                          <w:color w:val="000000"/>
                          <w:lang w:eastAsia="lt-LT"/>
                        </w:rPr>
                      </w:pPr>
                      <w:r>
                        <w:rPr>
                          <w:color w:val="000000"/>
                          <w:szCs w:val="24"/>
                          <w:lang w:eastAsia="lt-LT"/>
                        </w:rPr>
                        <w:t xml:space="preserve">„68. </w:t>
                      </w:r>
                      <w:r>
                        <w:rPr>
                          <w:color w:val="000000"/>
                          <w:lang w:eastAsia="lt-LT"/>
                        </w:rPr>
                        <w:t xml:space="preserve">Komisijos nariai, susipažinę su </w:t>
                      </w:r>
                      <w:r>
                        <w:rPr>
                          <w:lang w:eastAsia="lt-LT"/>
                        </w:rPr>
                        <w:t>Reglamento 61 punkte ir 10 priedo 2 punkte nurodytais dokumentais:</w:t>
                      </w:r>
                      <w:r>
                        <w:rPr>
                          <w:color w:val="000000"/>
                          <w:lang w:eastAsia="lt-LT"/>
                        </w:rPr>
                        <w:t xml:space="preserve"> </w:t>
                      </w:r>
                    </w:p>
                  </w:sdtContent>
                </w:sdt>
                <w:sdt>
                  <w:sdtPr>
                    <w:alias w:val="68.1 pp."/>
                    <w:tag w:val="part_dc6cb39ba4fd437b97eb78d41a661ef1"/>
                    <w:lock w:val="sdtLocked"/>
                    <w:richText/>
                  </w:sdtPr>
                  <w:sdtContent>
                    <w:p>
                      <w:pPr>
                        <w:suppressAutoHyphens/>
                        <w:ind w:firstLine="567"/>
                        <w:jc w:val="both"/>
                        <w:rPr>
                          <w:lang w:eastAsia="lt-LT"/>
                        </w:rPr>
                      </w:pPr>
                      <w:sdt>
                        <w:sdtPr>
                          <w:alias w:val="Numeris"/>
                          <w:tag w:val="nr_dc6cb39ba4fd437b97eb78d41a661ef1"/>
                          <w:lock w:val="sdtLocked"/>
                          <w:richText/>
                        </w:sdtPr>
                        <w:sdtContent>
                          <w:r>
                            <w:rPr>
                              <w:lang w:eastAsia="lt-LT"/>
                            </w:rPr>
                            <w:t>68.1</w:t>
                          </w:r>
                        </w:sdtContent>
                      </w:sdt>
                      <w:r>
                        <w:rPr>
                          <w:lang w:eastAsia="lt-LT"/>
                        </w:rPr>
                        <w:t>. atlieka statybos užbaigimo procedūras pagal Statybos įstatymo 28 straipsnį, Teritorijų planavimo ir statybos valstybinės priežiūros 16 straipsnį ir Reglamento 9 priede priskirtą kompetenciją. Komisijos narių atstovai iki komisijos darbo pabaigos turi tikrinti, ar neatsirado Statybos įstatymo 28 straipsnio 7 dalyje nurodytų juridinių faktų, kai statybos užbaigimo akto negalima išduoti;</w:t>
                      </w:r>
                    </w:p>
                  </w:sdtContent>
                </w:sdt>
                <w:sdt>
                  <w:sdtPr>
                    <w:alias w:val="68.2 pp."/>
                    <w:tag w:val="part_7750f8225c3b4f2589f4ad793198b901"/>
                    <w:lock w:val="sdtLocked"/>
                    <w:richText/>
                  </w:sdtPr>
                  <w:sdtContent>
                    <w:p>
                      <w:pPr>
                        <w:suppressAutoHyphens/>
                        <w:ind w:firstLine="567"/>
                        <w:jc w:val="both"/>
                        <w:rPr>
                          <w:lang w:eastAsia="lt-LT"/>
                        </w:rPr>
                      </w:pPr>
                      <w:sdt>
                        <w:sdtPr>
                          <w:alias w:val="Numeris"/>
                          <w:tag w:val="nr_7750f8225c3b4f2589f4ad793198b901"/>
                          <w:lock w:val="sdtLocked"/>
                          <w:richText/>
                        </w:sdtPr>
                        <w:sdtContent>
                          <w:r>
                            <w:rPr>
                              <w:lang w:eastAsia="lt-LT"/>
                            </w:rPr>
                            <w:t>68.2</w:t>
                          </w:r>
                        </w:sdtContent>
                      </w:sdt>
                      <w:r>
                        <w:rPr>
                          <w:lang w:eastAsia="lt-LT"/>
                        </w:rPr>
                        <w:t xml:space="preserve">. jei atlikus vizualų patikrinimą ir įvertinus Reglamento 61 punkte ir 10 priede nurodytus dokumentus, kyla </w:t>
                      </w:r>
                      <w:r>
                        <w:rPr>
                          <w:color w:val="000000"/>
                          <w:lang w:eastAsia="lt-LT"/>
                        </w:rPr>
                        <w:t xml:space="preserve">įtarimų, kad statomas statinys neatitinka esminio (-ių) statinio reikalavimo (-ų), nustatyto (-ų) Reglamente </w:t>
                      </w:r>
                      <w:fldSimple w:instr="HYPERLINK http://eur-lex.europa.eu/legal-content/LIT/TXT/?uri=CELEX:32011R0305&amp;locale=lt \t _blank">
                        <w:r>
                          <w:rPr>
                            <w:color w:val="0000FF" w:themeColor="hyperlink"/>
                            <w:lang w:eastAsia="lt-LT"/>
                            <w:u w:val="single"/>
                          </w:rPr>
                          <w:t>(ES) Nr. 305/2011</w:t>
                        </w:r>
                      </w:fldSimple>
                      <w:r>
                        <w:rPr>
                          <w:color w:val="000000"/>
                          <w:lang w:eastAsia="lt-LT"/>
                        </w:rPr>
                        <w:t>, ar pagal kompetenciją nustatomi galimi pažeidimai,</w:t>
                      </w:r>
                      <w:r>
                        <w:rPr>
                          <w:lang w:eastAsia="lt-LT"/>
                        </w:rPr>
                        <w:t xml:space="preserve"> komisijos narys (-iai), veikdamas (-i) pagal Reglamento 9 priede priskirtą kompetenciją, turi teisę reikalauti atlikti būtinus bandymus, matavimus, ardymo darbus, statinio ekspertizę ar kitus patikrinimui būtinus veiksmus;</w:t>
                      </w:r>
                    </w:p>
                  </w:sdtContent>
                </w:sdt>
                <w:sdt>
                  <w:sdtPr>
                    <w:alias w:val="68.3 pp."/>
                    <w:tag w:val="part_bb0917a6d633473caa6a081bcde4d8bb"/>
                    <w:lock w:val="sdtLocked"/>
                    <w:richText/>
                  </w:sdtPr>
                  <w:sdtContent>
                    <w:p>
                      <w:pPr>
                        <w:suppressAutoHyphens/>
                        <w:ind w:firstLine="567"/>
                        <w:jc w:val="both"/>
                        <w:rPr>
                          <w:lang w:eastAsia="lt-LT"/>
                        </w:rPr>
                      </w:pPr>
                      <w:sdt>
                        <w:sdtPr>
                          <w:alias w:val="Numeris"/>
                          <w:tag w:val="nr_bb0917a6d633473caa6a081bcde4d8bb"/>
                          <w:lock w:val="sdtLocked"/>
                          <w:richText/>
                        </w:sdtPr>
                        <w:sdtContent>
                          <w:r>
                            <w:rPr>
                              <w:lang w:eastAsia="lt-LT"/>
                            </w:rPr>
                            <w:t>68.3</w:t>
                          </w:r>
                        </w:sdtContent>
                      </w:sdt>
                      <w:r>
                        <w:rPr>
                          <w:lang w:eastAsia="lt-LT"/>
                        </w:rPr>
                        <w:t>. komisijos nariams statybos užbaigimo procedūros metu pagal kompetenciją nustačius pažeidimų, komisijos darbas Reglamento 69 punkte nustatyta tvarka sustabdomas, komisijos narius delegavę subjektai pagal kompetenciją fiksuoja pažeidimus, teikia reikalavimus juos pašalinti, taiko administracinę ar kitą atsakomybę, informuoja kompetentingus asmenis jų veiklą reglamentuojančiuose ir kituose teisės aktuose nustatyta tvarka. Jei dėl nustatytų pažeidimų statybos užbaigimo aktas pagal Statybos įstatymo 28 straipsnį neišduodamas, šiame papunktyje numatyti veiksmai atliekami nestabdant komisijos darbo;</w:t>
                      </w:r>
                    </w:p>
                  </w:sdtContent>
                </w:sdt>
                <w:sdt>
                  <w:sdtPr>
                    <w:alias w:val="68.4 pp."/>
                    <w:tag w:val="part_bf8138bf6d6a4c0ab44574a48ea116f6"/>
                    <w:lock w:val="sdtLocked"/>
                    <w:richText/>
                  </w:sdtPr>
                  <w:sdtContent>
                    <w:p>
                      <w:pPr>
                        <w:suppressAutoHyphens/>
                        <w:ind w:firstLine="567"/>
                        <w:jc w:val="both"/>
                        <w:rPr>
                          <w:szCs w:val="24"/>
                          <w:lang w:eastAsia="lt-LT"/>
                        </w:rPr>
                      </w:pPr>
                      <w:sdt>
                        <w:sdtPr>
                          <w:alias w:val="Numeris"/>
                          <w:tag w:val="nr_bf8138bf6d6a4c0ab44574a48ea116f6"/>
                          <w:lock w:val="sdtLocked"/>
                          <w:richText/>
                        </w:sdtPr>
                        <w:sdtContent>
                          <w:r>
                            <w:rPr>
                              <w:lang w:eastAsia="lt-LT"/>
                            </w:rPr>
                            <w:t>68.4</w:t>
                          </w:r>
                        </w:sdtContent>
                      </w:sdt>
                      <w:r>
                        <w:rPr>
                          <w:lang w:eastAsia="lt-LT"/>
                        </w:rPr>
                        <w:t xml:space="preserve">. komisijos nariai pagal Reglamento 9 priede nustatytą kompetenciją užbaigę patikrinimą, IS „Infostatyba“ pasirašo kvalifikuotais elektroniniais parašais statybos užbaigimo aktą, sustabdo komisijos veiklą arba atsisako išduoti statybos užbaigimo aktą; atlikdami vieną iš </w:t>
                      </w:r>
                      <w:r>
                        <w:rPr>
                          <w:szCs w:val="24"/>
                          <w:lang w:eastAsia="lt-LT"/>
                        </w:rPr>
                        <w:t>nurodytų veiksmų, komisijos nariai,</w:t>
                      </w:r>
                      <w:r>
                        <w:rPr>
                          <w:b/>
                          <w:bCs/>
                          <w:szCs w:val="24"/>
                          <w:lang w:eastAsia="lt-LT"/>
                        </w:rPr>
                        <w:t xml:space="preserve"> </w:t>
                      </w:r>
                      <w:r>
                        <w:rPr>
                          <w:szCs w:val="24"/>
                          <w:lang w:eastAsia="lt-LT"/>
                        </w:rPr>
                        <w:t xml:space="preserve">jei </w:t>
                      </w:r>
                      <w:r>
                        <w:rPr>
                          <w:color w:val="000000"/>
                          <w:szCs w:val="24"/>
                          <w:shd w:val="clear" w:color="auto" w:fill="FFFFFF"/>
                          <w:lang w:eastAsia="lt-LT"/>
                        </w:rPr>
                        <w:t>statybos užbaigimo procedūrose dalyvaujančių subjektų vadovai yra</w:t>
                      </w:r>
                      <w:r>
                        <w:rPr>
                          <w:b/>
                          <w:bCs/>
                          <w:color w:val="000000"/>
                          <w:szCs w:val="24"/>
                          <w:shd w:val="clear" w:color="auto" w:fill="FFFFFF"/>
                          <w:lang w:eastAsia="lt-LT"/>
                        </w:rPr>
                        <w:t xml:space="preserve"> </w:t>
                      </w:r>
                      <w:r>
                        <w:rPr>
                          <w:color w:val="000000"/>
                          <w:szCs w:val="24"/>
                          <w:shd w:val="clear" w:color="auto" w:fill="FFFFFF"/>
                          <w:lang w:eastAsia="lt-LT"/>
                        </w:rPr>
                        <w:t xml:space="preserve">pateikę kontrolinius klausimynus, </w:t>
                      </w:r>
                      <w:r>
                        <w:rPr>
                          <w:szCs w:val="24"/>
                          <w:lang w:eastAsia="lt-LT"/>
                        </w:rPr>
                        <w:t>privalo IS „Infostatyba“ paskelbti statybos užbaigimo metu užpildytus atlikto patikrinimo kontrolinius klausimynus.“</w:t>
                      </w:r>
                    </w:p>
                  </w:sdtContent>
                </w:sdt>
              </w:sdtContent>
            </w:sdt>
          </w:sdtContent>
        </w:sdt>
        <w:sdt>
          <w:sdtPr>
            <w:alias w:val="2 p."/>
            <w:tag w:val="part_1c96efbccbb74dc5b7626432f102e51e"/>
            <w:lock w:val="sdtLocked"/>
            <w:richText/>
          </w:sdtPr>
          <w:sdtContent>
            <w:p>
              <w:pPr>
                <w:tabs>
                  <w:tab w:val="left" w:pos="567"/>
                  <w:tab w:val="left" w:pos="993"/>
                </w:tabs>
                <w:suppressAutoHyphens/>
                <w:ind w:left="927" w:hanging="360"/>
                <w:jc w:val="both"/>
                <w:rPr>
                  <w:szCs w:val="24"/>
                  <w:lang w:eastAsia="lt-LT"/>
                </w:rPr>
              </w:pPr>
              <w:sdt>
                <w:sdtPr>
                  <w:alias w:val="Numeris"/>
                  <w:tag w:val="nr_1c96efbccbb74dc5b7626432f102e51e"/>
                  <w:lock w:val="sdtLocked"/>
                  <w:richText/>
                </w:sdtPr>
                <w:sdtContent>
                  <w:r>
                    <w:rPr>
                      <w:szCs w:val="24"/>
                      <w:lang w:eastAsia="lt-LT"/>
                    </w:rPr>
                    <w:t>2</w:t>
                  </w:r>
                </w:sdtContent>
              </w:sdt>
              <w:r>
                <w:rPr>
                  <w:szCs w:val="24"/>
                  <w:lang w:eastAsia="lt-LT"/>
                </w:rPr>
                <w:t>.</w:t>
                <w:tab/>
                <w:t>Papildau 1.2.35</w:t>
              </w:r>
              <w:r>
                <w:rPr>
                  <w:szCs w:val="24"/>
                  <w:vertAlign w:val="superscript"/>
                  <w:lang w:eastAsia="lt-LT"/>
                </w:rPr>
                <w:t xml:space="preserve">1 </w:t>
              </w:r>
              <w:r>
                <w:rPr>
                  <w:szCs w:val="24"/>
                  <w:lang w:eastAsia="lt-LT"/>
                </w:rPr>
                <w:t xml:space="preserve">papunkčiu:  </w:t>
              </w:r>
            </w:p>
            <w:sdt>
              <w:sdtPr>
                <w:alias w:val="citata"/>
                <w:tag w:val="part_022ca840f79b4ed1b2da92cf5c5dbd23"/>
                <w:lock w:val="sdtLocked"/>
                <w:richText/>
              </w:sdtPr>
              <w:sdtContent>
                <w:sdt>
                  <w:sdtPr>
                    <w:alias w:val="1.2.35-1 pp."/>
                    <w:tag w:val="part_93891850debe4af9b94d06971c4f09e6"/>
                    <w:lock w:val="sdtLocked"/>
                    <w:richText/>
                  </w:sdtPr>
                  <w:sdtContent>
                    <w:p>
                      <w:pPr>
                        <w:suppressAutoHyphens/>
                        <w:ind w:firstLine="567"/>
                        <w:jc w:val="both"/>
                        <w:rPr>
                          <w:color w:val="000000"/>
                          <w:szCs w:val="24"/>
                          <w:lang w:eastAsia="lt-LT"/>
                        </w:rPr>
                      </w:pPr>
                      <w:r>
                        <w:rPr>
                          <w:color w:val="000000"/>
                          <w:szCs w:val="24"/>
                          <w:lang w:eastAsia="lt-LT"/>
                        </w:rPr>
                        <w:t>„</w:t>
                      </w:r>
                      <w:sdt>
                        <w:sdtPr>
                          <w:alias w:val="Numeris"/>
                          <w:tag w:val="nr_93891850debe4af9b94d06971c4f09e6"/>
                          <w:lock w:val="sdtLocked"/>
                          <w:richText/>
                        </w:sdtPr>
                        <w:sdtContent>
                          <w:r>
                            <w:rPr>
                              <w:szCs w:val="24"/>
                              <w:lang w:eastAsia="lt-LT"/>
                            </w:rPr>
                            <w:t>1.2.35</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Pakeičiu 68 punktą ir jį išdėstau taip:</w:t>
                      </w:r>
                    </w:p>
                    <w:p>
                      <w:pPr>
                        <w:suppressAutoHyphens/>
                        <w:ind w:firstLine="567"/>
                        <w:jc w:val="both"/>
                        <w:rPr>
                          <w:color w:val="000000"/>
                          <w:lang w:eastAsia="lt-LT"/>
                        </w:rPr>
                      </w:pPr>
                      <w:r>
                        <w:rPr>
                          <w:color w:val="000000"/>
                          <w:szCs w:val="24"/>
                          <w:lang w:eastAsia="lt-LT"/>
                        </w:rPr>
                        <w:t xml:space="preserve">„68. </w:t>
                      </w:r>
                      <w:r>
                        <w:rPr>
                          <w:color w:val="000000"/>
                          <w:lang w:eastAsia="lt-LT"/>
                        </w:rPr>
                        <w:t xml:space="preserve">Komisijos nariai, susipažinę su </w:t>
                      </w:r>
                      <w:r>
                        <w:rPr>
                          <w:lang w:eastAsia="lt-LT"/>
                        </w:rPr>
                        <w:t>Reglamento 61 punkte ir 10 priedo 2 punkte nurodytais dokumentais:</w:t>
                      </w:r>
                      <w:r>
                        <w:rPr>
                          <w:color w:val="000000"/>
                          <w:lang w:eastAsia="lt-LT"/>
                        </w:rPr>
                        <w:t xml:space="preserve"> </w:t>
                      </w:r>
                    </w:p>
                  </w:sdtContent>
                </w:sdt>
                <w:sdt>
                  <w:sdtPr>
                    <w:alias w:val="68.1 pp."/>
                    <w:tag w:val="part_ca2207c9cbc1403f81137c817578a4b2"/>
                    <w:lock w:val="sdtLocked"/>
                    <w:richText/>
                  </w:sdtPr>
                  <w:sdtContent>
                    <w:p>
                      <w:pPr>
                        <w:suppressAutoHyphens/>
                        <w:ind w:firstLine="567"/>
                        <w:jc w:val="both"/>
                        <w:rPr>
                          <w:lang w:eastAsia="lt-LT"/>
                        </w:rPr>
                      </w:pPr>
                      <w:sdt>
                        <w:sdtPr>
                          <w:alias w:val="Numeris"/>
                          <w:tag w:val="nr_ca2207c9cbc1403f81137c817578a4b2"/>
                          <w:lock w:val="sdtLocked"/>
                          <w:richText/>
                        </w:sdtPr>
                        <w:sdtContent>
                          <w:r>
                            <w:rPr>
                              <w:lang w:eastAsia="lt-LT"/>
                            </w:rPr>
                            <w:t>68.1</w:t>
                          </w:r>
                        </w:sdtContent>
                      </w:sdt>
                      <w:r>
                        <w:rPr>
                          <w:lang w:eastAsia="lt-LT"/>
                        </w:rPr>
                        <w:t>. atlieka statybos užbaigimo procedūras pagal Statybos įstatymo 28 straipsnį, Teritorijų planavimo ir statybos valstybinės priežiūros 16 straipsnį ir Reglamento 9 priede priskirtą kompetenciją. Komisijos narių atstovai iki komisijos darbo pabaigos turi tikrinti, ar neatsirado Statybos įstatymo 28 straipsnio 7 dalyje nurodytų juridinių faktų, kai statybos užbaigimo akto negalima išduoti;</w:t>
                      </w:r>
                    </w:p>
                  </w:sdtContent>
                </w:sdt>
                <w:sdt>
                  <w:sdtPr>
                    <w:alias w:val="68.2 pp."/>
                    <w:tag w:val="part_35dbe91f228a4589aa0ebbebbb5288b5"/>
                    <w:lock w:val="sdtLocked"/>
                    <w:richText/>
                  </w:sdtPr>
                  <w:sdtContent>
                    <w:p>
                      <w:pPr>
                        <w:suppressAutoHyphens/>
                        <w:ind w:firstLine="567"/>
                        <w:jc w:val="both"/>
                        <w:rPr>
                          <w:lang w:eastAsia="lt-LT"/>
                        </w:rPr>
                      </w:pPr>
                      <w:sdt>
                        <w:sdtPr>
                          <w:alias w:val="Numeris"/>
                          <w:tag w:val="nr_35dbe91f228a4589aa0ebbebbb5288b5"/>
                          <w:lock w:val="sdtLocked"/>
                          <w:richText/>
                        </w:sdtPr>
                        <w:sdtContent>
                          <w:r>
                            <w:rPr>
                              <w:lang w:eastAsia="lt-LT"/>
                            </w:rPr>
                            <w:t>68.2</w:t>
                          </w:r>
                        </w:sdtContent>
                      </w:sdt>
                      <w:r>
                        <w:rPr>
                          <w:lang w:eastAsia="lt-LT"/>
                        </w:rPr>
                        <w:t xml:space="preserve">. jei atlikus vizualų patikrinimą ir įvertinus Reglamento 61 punkte ir 10 priede nurodytus dokumentus, kyla </w:t>
                      </w:r>
                      <w:r>
                        <w:rPr>
                          <w:color w:val="000000"/>
                          <w:lang w:eastAsia="lt-LT"/>
                        </w:rPr>
                        <w:t xml:space="preserve">įtarimų, kad statomas statinys neatitinka esminio (-ių) statinio reikalavimo (-ų), nustatyto (-ų) Reglamente </w:t>
                      </w:r>
                      <w:fldSimple w:instr="HYPERLINK http://eur-lex.europa.eu/legal-content/LIT/TXT/?uri=CELEX:32011R0305&amp;locale=lt \t _blank">
                        <w:r>
                          <w:rPr>
                            <w:color w:val="0000FF" w:themeColor="hyperlink"/>
                            <w:lang w:eastAsia="lt-LT"/>
                            <w:u w:val="single"/>
                          </w:rPr>
                          <w:t>(ES) Nr. 305/2011</w:t>
                        </w:r>
                      </w:fldSimple>
                      <w:r>
                        <w:rPr>
                          <w:color w:val="000000"/>
                          <w:lang w:eastAsia="lt-LT"/>
                        </w:rPr>
                        <w:t>, ar pagal kompetenciją nustatomi galimi pažeidimai,</w:t>
                      </w:r>
                      <w:r>
                        <w:rPr>
                          <w:lang w:eastAsia="lt-LT"/>
                        </w:rPr>
                        <w:t xml:space="preserve"> komisijos narys (-iai), veikdamas (-i) pagal Reglamento 9 priede priskirtą kompetenciją, turi teisę reikalauti atlikti būtinus bandymus, matavimus, ardymo darbus, statinio ekspertizę ar kitus patikrinimui būtinus veiksmus;</w:t>
                      </w:r>
                    </w:p>
                  </w:sdtContent>
                </w:sdt>
                <w:sdt>
                  <w:sdtPr>
                    <w:alias w:val="68.3 pp."/>
                    <w:tag w:val="part_51ae309443b345afb019a14701a93d6a"/>
                    <w:lock w:val="sdtLocked"/>
                    <w:richText/>
                  </w:sdtPr>
                  <w:sdtContent>
                    <w:p>
                      <w:pPr>
                        <w:suppressAutoHyphens/>
                        <w:ind w:firstLine="567"/>
                        <w:jc w:val="both"/>
                        <w:rPr>
                          <w:lang w:eastAsia="lt-LT"/>
                        </w:rPr>
                      </w:pPr>
                      <w:sdt>
                        <w:sdtPr>
                          <w:alias w:val="Numeris"/>
                          <w:tag w:val="nr_51ae309443b345afb019a14701a93d6a"/>
                          <w:lock w:val="sdtLocked"/>
                          <w:richText/>
                        </w:sdtPr>
                        <w:sdtContent>
                          <w:r>
                            <w:rPr>
                              <w:lang w:eastAsia="lt-LT"/>
                            </w:rPr>
                            <w:t>68.3</w:t>
                          </w:r>
                        </w:sdtContent>
                      </w:sdt>
                      <w:r>
                        <w:rPr>
                          <w:lang w:eastAsia="lt-LT"/>
                        </w:rPr>
                        <w:t>. komisijos nariams statybos užbaigimo procedūros metu pagal kompetenciją nustačius pažeidimų, komisijos darbas Reglamento 69 punkte nustatyta tvarka sustabdomas, komisijos narius delegavę subjektai pagal kompetenciją fiksuoja pažeidimus, teikia reikalavimus juos pašalinti, taiko administracinę ar kitą atsakomybę, informuoja kompetentingus asmenis jų veiklą reglamentuojančiuose ir kituose teisės aktuose nustatyta tvarka. Jei dėl nustatytų pažeidimų statybos užbaigimo aktas pagal Statybos įstatymo 28 straipsnį neišduodamas, šiame papunktyje numatyti veiksmai atliekami nestabdant komisijos darbo;</w:t>
                      </w:r>
                    </w:p>
                  </w:sdtContent>
                </w:sdt>
                <w:sdt>
                  <w:sdtPr>
                    <w:alias w:val="68.4 pp."/>
                    <w:tag w:val="part_2ae3089aa27c4216a731415f4f7ae7d5"/>
                    <w:lock w:val="sdtLocked"/>
                    <w:richText/>
                  </w:sdtPr>
                  <w:sdtContent>
                    <w:p>
                      <w:pPr>
                        <w:shd w:val="clear" w:color="auto" w:fill="FFFFFF"/>
                        <w:ind w:firstLine="567"/>
                        <w:jc w:val="both"/>
                        <w:rPr>
                          <w:color w:val="000000"/>
                          <w:szCs w:val="24"/>
                          <w:lang w:eastAsia="lt-LT"/>
                        </w:rPr>
                      </w:pPr>
                      <w:sdt>
                        <w:sdtPr>
                          <w:alias w:val="Numeris"/>
                          <w:tag w:val="nr_2ae3089aa27c4216a731415f4f7ae7d5"/>
                          <w:lock w:val="sdtLocked"/>
                          <w:richText/>
                        </w:sdtPr>
                        <w:sdtContent>
                          <w:r>
                            <w:rPr>
                              <w:szCs w:val="24"/>
                              <w:lang w:eastAsia="lt-LT"/>
                            </w:rPr>
                            <w:t>68.4</w:t>
                          </w:r>
                        </w:sdtContent>
                      </w:sdt>
                      <w:r>
                        <w:rPr>
                          <w:szCs w:val="24"/>
                          <w:lang w:eastAsia="lt-LT"/>
                        </w:rPr>
                        <w:t>. komisijos nariai pagal Reglamento 9 priede nustatytą kompetenciją užbaigę patikrinimą, IS „Infostatyba“ pasirašo kvalifikuotais elektroniniais parašais statybos užbaigimo aktą, sustabdo komisijos veiklą arba atsisako išduoti statybos užbaigimo aktą; atlikdami vieną iš nurodytų veiksmų, komisijos nariai, privalo IS „Infostatyba“ paskelbti statybos užbaigimo metu užpildytus atlikto patikrinimo kontrolinius klausimynus.“</w:t>
                      </w:r>
                    </w:p>
                  </w:sdtContent>
                </w:sdt>
              </w:sdtContent>
            </w:sdt>
          </w:sdtContent>
        </w:sdt>
        <w:sdt>
          <w:sdtPr>
            <w:alias w:val="3 p."/>
            <w:tag w:val="part_7ecf577f011f4dc88bc7df7760391437"/>
            <w:lock w:val="sdtLocked"/>
            <w:richText/>
          </w:sdtPr>
          <w:sdtContent>
            <w:p>
              <w:pPr>
                <w:tabs>
                  <w:tab w:val="left" w:pos="993"/>
                </w:tabs>
                <w:suppressAutoHyphens/>
                <w:ind w:firstLine="567"/>
                <w:jc w:val="both"/>
                <w:rPr>
                  <w:bCs/>
                  <w:color w:val="000000"/>
                  <w:szCs w:val="24"/>
                  <w:lang w:eastAsia="lt-LT"/>
                </w:rPr>
              </w:pPr>
              <w:sdt>
                <w:sdtPr>
                  <w:alias w:val="Numeris"/>
                  <w:tag w:val="nr_7ecf577f011f4dc88bc7df7760391437"/>
                  <w:lock w:val="sdtLocked"/>
                  <w:richText/>
                </w:sdtPr>
                <w:sdtContent>
                  <w:r>
                    <w:rPr>
                      <w:bCs/>
                      <w:color w:val="000000"/>
                      <w:szCs w:val="24"/>
                      <w:lang w:eastAsia="lt-LT"/>
                    </w:rPr>
                    <w:t>3</w:t>
                  </w:r>
                </w:sdtContent>
              </w:sdt>
              <w:r>
                <w:rPr>
                  <w:bCs/>
                  <w:color w:val="000000"/>
                  <w:szCs w:val="24"/>
                  <w:lang w:eastAsia="lt-LT"/>
                </w:rPr>
                <w:t>.</w:t>
                <w:tab/>
                <w:t>Papildau 2.3 papunkčiu:</w:t>
              </w:r>
            </w:p>
            <w:sdt>
              <w:sdtPr>
                <w:alias w:val="citata"/>
                <w:tag w:val="part_fc6d34872e374c1cbbfb1e401d414159"/>
                <w:lock w:val="sdtLocked"/>
                <w:richText/>
              </w:sdtPr>
              <w:sdtContent>
                <w:sdt>
                  <w:sdtPr>
                    <w:alias w:val="2.3 pp."/>
                    <w:tag w:val="part_7b5ba1a2ba02489b8407dc24a082008c"/>
                    <w:lock w:val="sdtLocked"/>
                    <w:richText/>
                  </w:sdtPr>
                  <w:sdtContent>
                    <w:p>
                      <w:pPr>
                        <w:suppressAutoHyphens/>
                        <w:ind w:firstLine="567"/>
                        <w:jc w:val="both"/>
                        <w:rPr>
                          <w:bCs/>
                          <w:color w:val="000000"/>
                          <w:szCs w:val="24"/>
                          <w:lang w:eastAsia="lt-LT"/>
                        </w:rPr>
                      </w:pPr>
                      <w:r>
                        <w:rPr>
                          <w:bCs/>
                          <w:color w:val="000000"/>
                          <w:szCs w:val="24"/>
                          <w:lang w:eastAsia="lt-LT"/>
                        </w:rPr>
                        <w:t>„</w:t>
                      </w:r>
                      <w:sdt>
                        <w:sdtPr>
                          <w:alias w:val="Numeris"/>
                          <w:tag w:val="nr_7b5ba1a2ba02489b8407dc24a082008c"/>
                          <w:lock w:val="sdtLocked"/>
                          <w:richText/>
                        </w:sdtPr>
                        <w:sdtContent>
                          <w:r>
                            <w:rPr>
                              <w:bCs/>
                              <w:color w:val="000000"/>
                              <w:szCs w:val="24"/>
                              <w:lang w:eastAsia="lt-LT"/>
                            </w:rPr>
                            <w:t>2.3</w:t>
                          </w:r>
                        </w:sdtContent>
                      </w:sdt>
                      <w:r>
                        <w:rPr>
                          <w:bCs/>
                          <w:color w:val="000000"/>
                          <w:szCs w:val="24"/>
                          <w:lang w:eastAsia="lt-LT"/>
                        </w:rPr>
                        <w:t>. šio įsakymo 1.2.35</w:t>
                      </w:r>
                      <w:r>
                        <w:rPr>
                          <w:bCs/>
                          <w:color w:val="000000"/>
                          <w:szCs w:val="24"/>
                          <w:vertAlign w:val="superscript"/>
                          <w:lang w:eastAsia="lt-LT"/>
                        </w:rPr>
                        <w:t xml:space="preserve">1 </w:t>
                      </w:r>
                      <w:r>
                        <w:rPr>
                          <w:bCs/>
                          <w:color w:val="000000"/>
                          <w:szCs w:val="24"/>
                          <w:lang w:eastAsia="lt-LT"/>
                        </w:rPr>
                        <w:t>papunktis įsigalioja 2024 m. sausio 1 d.;“</w:t>
                      </w:r>
                    </w:p>
                  </w:sdtContent>
                </w:sdt>
              </w:sdtContent>
            </w:sdt>
          </w:sdtContent>
        </w:sdt>
        <w:sdt>
          <w:sdtPr>
            <w:alias w:val="4 p."/>
            <w:tag w:val="part_f837c79c8ddb43fe9b3546b05a729b9f"/>
            <w:lock w:val="sdtLocked"/>
            <w:richText/>
          </w:sdtPr>
          <w:sdtContent>
            <w:p>
              <w:pPr>
                <w:tabs>
                  <w:tab w:val="left" w:pos="993"/>
                </w:tabs>
                <w:suppressAutoHyphens/>
                <w:ind w:firstLine="567"/>
                <w:jc w:val="both"/>
                <w:rPr>
                  <w:bCs/>
                  <w:color w:val="000000"/>
                  <w:szCs w:val="24"/>
                  <w:lang w:eastAsia="lt-LT"/>
                </w:rPr>
              </w:pPr>
              <w:sdt>
                <w:sdtPr>
                  <w:alias w:val="Numeris"/>
                  <w:tag w:val="nr_f837c79c8ddb43fe9b3546b05a729b9f"/>
                  <w:lock w:val="sdtLocked"/>
                  <w:richText/>
                </w:sdtPr>
                <w:sdtContent>
                  <w:r>
                    <w:rPr>
                      <w:bCs/>
                      <w:color w:val="000000"/>
                      <w:szCs w:val="24"/>
                      <w:lang w:eastAsia="lt-LT"/>
                    </w:rPr>
                    <w:t>4</w:t>
                  </w:r>
                </w:sdtContent>
              </w:sdt>
              <w:r>
                <w:rPr>
                  <w:bCs/>
                  <w:color w:val="000000"/>
                  <w:szCs w:val="24"/>
                  <w:lang w:eastAsia="lt-LT"/>
                </w:rPr>
                <w:t>.</w:t>
                <w:tab/>
                <w:t>Papildau 2.4 papunkčiu:</w:t>
              </w:r>
            </w:p>
            <w:sdt>
              <w:sdtPr>
                <w:alias w:val="citata"/>
                <w:tag w:val="part_844f405b76024e828bb73e3db2fdb9c2"/>
                <w:lock w:val="sdtLocked"/>
                <w:richText/>
              </w:sdtPr>
              <w:sdtContent>
                <w:sdt>
                  <w:sdtPr>
                    <w:alias w:val="2.4 pp."/>
                    <w:tag w:val="part_21358a9099dd444285cf7fac697e5fc8"/>
                    <w:lock w:val="sdtLocked"/>
                    <w:richText/>
                  </w:sdtPr>
                  <w:sdtContent>
                    <w:p>
                      <w:pPr>
                        <w:tabs>
                          <w:tab w:val="left" w:pos="0"/>
                          <w:tab w:val="left" w:pos="840"/>
                        </w:tabs>
                        <w:suppressAutoHyphens/>
                        <w:ind w:firstLine="567"/>
                        <w:jc w:val="both"/>
                        <w:rPr>
                          <w:color w:val="000000"/>
                          <w:szCs w:val="24"/>
                          <w:lang w:eastAsia="lt-LT"/>
                        </w:rPr>
                      </w:pPr>
                      <w:r>
                        <w:rPr>
                          <w:color w:val="000000"/>
                          <w:szCs w:val="24"/>
                          <w:lang w:eastAsia="lt-LT"/>
                        </w:rPr>
                        <w:t>„</w:t>
                      </w:r>
                      <w:sdt>
                        <w:sdtPr>
                          <w:alias w:val="Numeris"/>
                          <w:tag w:val="nr_21358a9099dd444285cf7fac697e5fc8"/>
                          <w:lock w:val="sdtLocked"/>
                          <w:richText/>
                        </w:sdtPr>
                        <w:sdtContent>
                          <w:r>
                            <w:rPr>
                              <w:color w:val="000000"/>
                              <w:szCs w:val="24"/>
                              <w:lang w:val="en-US" w:eastAsia="lt-LT"/>
                            </w:rPr>
                            <w:t>2.4</w:t>
                          </w:r>
                        </w:sdtContent>
                      </w:sdt>
                      <w:r>
                        <w:rPr>
                          <w:color w:val="000000"/>
                          <w:szCs w:val="24"/>
                          <w:lang w:val="en-US" w:eastAsia="lt-LT"/>
                        </w:rPr>
                        <w:t>. i</w:t>
                      </w:r>
                      <w:r>
                        <w:rPr>
                          <w:color w:val="000000"/>
                          <w:szCs w:val="24"/>
                          <w:lang w:eastAsia="lt-LT"/>
                        </w:rPr>
                        <w:t>ki 2023 m. spalio 31 d. pradėtos vykdyti statybos užbaigimo procedūros baigiamos vykdyti pagal iki 2023 m. spalio 31 d. galiojusius teisės aktus.“</w:t>
                      </w:r>
                    </w:p>
                    <w:p>
                      <w:pPr>
                        <w:tabs>
                          <w:tab w:val="left" w:pos="851"/>
                          <w:tab w:val="left" w:pos="1134"/>
                        </w:tabs>
                        <w:suppressAutoHyphens/>
                        <w:jc w:val="both"/>
                        <w:rPr>
                          <w:color w:val="000000"/>
                          <w:lang w:eastAsia="lt-LT"/>
                        </w:rPr>
                      </w:pPr>
                    </w:p>
                    <w:p>
                      <w:pPr>
                        <w:suppressAutoHyphens/>
                        <w:rPr>
                          <w:szCs w:val="24"/>
                          <w:lang w:eastAsia="lt-LT"/>
                        </w:rPr>
                      </w:pPr>
                    </w:p>
                    <w:p>
                      <w:pPr>
                        <w:suppressAutoHyphens/>
                        <w:rPr>
                          <w:szCs w:val="24"/>
                          <w:lang w:eastAsia="lt-LT"/>
                        </w:rPr>
                      </w:pPr>
                    </w:p>
                  </w:sdtContent>
                </w:sdt>
              </w:sdtContent>
            </w:sdt>
          </w:sdtContent>
        </w:sdt>
        <w:sdt>
          <w:sdtPr>
            <w:alias w:val="signatura"/>
            <w:tag w:val="part_51f9260a1de54f04a7d69ac8b0be81db"/>
            <w:lock w:val="sdtLocked"/>
            <w:richText/>
          </w:sdtPr>
          <w:sdtContent>
            <w:p>
              <w:pPr>
                <w:suppressAutoHyphens/>
                <w:rPr>
                  <w:lang w:eastAsia="lt-LT"/>
                </w:rPr>
              </w:pPr>
              <w:r>
                <w:rPr>
                  <w:szCs w:val="24"/>
                  <w:lang w:eastAsia="lt-LT"/>
                </w:rPr>
                <w:t xml:space="preserve">Aplinkos ministras </w:t>
              </w:r>
            </w:p>
          </w:sdtContent>
        </w:sdt>
      </w:sdtContent>
    </w:sdt>
    <w:sectPr>
      <w:footnotePr>
        <w:pos w:val="beneathText"/>
      </w:footnotePr>
      <w:type w:val="continuous"/>
      <w:pgSz w:w="11905" w:h="16837"/>
      <w:pgMar w:top="1843" w:right="708" w:bottom="1032" w:left="1701" w:header="1142" w:footer="919" w:gutter="0"/>
      <w:cols w:space="1296"/>
      <w:formProt w:val="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3344"/>
        <w:tab w:val="left" w:pos="8291"/>
      </w:tabs>
      <w:suppressAutoHyphens/>
      <w:spacing w:before="120" w:after="60"/>
      <w:ind w:left="-17" w:firstLine="17"/>
      <w:jc w:val="center"/>
      <w:rPr>
        <w:b/>
        <w:bCs/>
        <w:lang w:eastAsia="lt-LT"/>
      </w:rPr>
    </w:pPr>
    <w:r>
      <w:rPr>
        <w:b/>
        <w:bCs/>
        <w:lang w:eastAsia="lt-LT"/>
      </w:rPr>
      <w:t>2</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39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5743471">
      <w:bodyDiv w:val="1"/>
      <w:marLeft w:val="0"/>
      <w:marRight w:val="0"/>
      <w:marTop w:val="0"/>
      <w:marBottom w:val="0"/>
      <w:divBdr>
        <w:top w:val="none" w:sz="0" w:space="0" w:color="auto"/>
        <w:left w:val="none" w:sz="0" w:space="0" w:color="auto"/>
        <w:bottom w:val="none" w:sz="0" w:space="0" w:color="auto"/>
        <w:right w:val="none" w:sz="0" w:space="0" w:color="auto"/>
      </w:divBdr>
    </w:div>
    <w:div w:id="1660308111">
      <w:bodyDiv w:val="1"/>
      <w:marLeft w:val="0"/>
      <w:marRight w:val="0"/>
      <w:marTop w:val="0"/>
      <w:marBottom w:val="0"/>
      <w:divBdr>
        <w:top w:val="none" w:sz="0" w:space="0" w:color="auto"/>
        <w:left w:val="none" w:sz="0" w:space="0" w:color="auto"/>
        <w:bottom w:val="none" w:sz="0" w:space="0" w:color="auto"/>
        <w:right w:val="none" w:sz="0" w:space="0" w:color="auto"/>
      </w:divBdr>
    </w:div>
    <w:div w:id="173388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683f92fd3caf647d88e81fe6a076604b">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626a6d253d2442f70feac03650f5f6a"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dd4c344f41f04e40aaac771853e5df75" PartId="af3e3d1329e14bbcb3de6c53cdb23ce7">
    <Part Type="preambule" DocPartId="d18b160ca3d2463aa334a43e0a877fb8" PartId="d7fd09427d22428b882891077691d21a"/>
    <Part Type="pastraipa" DocPartId="735a5b21ebdb4426b7f1209ab4ed3ded" PartId="132dd6d5c0a54e9b98fa2ef9cd7c4f4d"/>
    <Part Type="punktas" Nr="1" Abbr="1 p." DocPartId="0d62fb897af44f2f922debe114fc4ee3" PartId="8b3804ae59144e9d9748ae0828e0da04">
      <Part Type="citata" DocPartId="9a378277713f47cea12e75b4fedc63e6" PartId="c0cc87180df5440097aea1985c6a60bd">
        <Part Type="papunktis" Nr="1.2.35" Abbr="1.2.35 pp." DocPartId="5880cce60c2340deb8e7536dc8e9e69d" PartId="88e95f07dcb74e7da1707e9153c882a4"/>
        <Part Type="papunktis" Nr="68.1" Abbr="68.1 pp." Notes="Numeris ne iš eilės. Trūksta dalių? [DocDalys]" DocPartId="495b26ffad4c4facbd2ec3ac850db107" PartId="dc6cb39ba4fd437b97eb78d41a661ef1"/>
        <Part Type="papunktis" Nr="68.2" Abbr="68.2 pp." DocPartId="8f75db312541409b87debb51074b20f6" PartId="7750f8225c3b4f2589f4ad793198b901"/>
        <Part Type="papunktis" Nr="68.3" Abbr="68.3 pp." DocPartId="0f05ee9f139f4d1ab30d16c57a2414d1" PartId="bb0917a6d633473caa6a081bcde4d8bb"/>
        <Part Type="papunktis" Nr="68.4" Abbr="68.4 pp." DocPartId="83b4195c020444b58c2473c75a7bea04" PartId="bf8138bf6d6a4c0ab44574a48ea116f6"/>
      </Part>
    </Part>
    <Part Type="punktas" Nr="2" Abbr="2 p." DocPartId="8a2c6daad123453696e0514690f6df9b" PartId="1c96efbccbb74dc5b7626432f102e51e">
      <Part Type="citata" DocPartId="2a832479c0da4a339d31174e5d0ccde2" PartId="022ca840f79b4ed1b2da92cf5c5dbd23">
        <Part Type="papunktis" Nr="1.2.35-1" Abbr="1.2.35-1 pp." DocPartId="c333430f9f754923b92039b43a7773de" PartId="93891850debe4af9b94d06971c4f09e6"/>
        <Part Type="papunktis" Nr="68.1" Abbr="68.1 pp." Notes="Numeris ne iš eilės. Trūksta dalių? [DocDalys]" DocPartId="831ebfb03f444201a805f6ac01ca141c" PartId="ca2207c9cbc1403f81137c817578a4b2"/>
        <Part Type="papunktis" Nr="68.2" Abbr="68.2 pp." DocPartId="50a11df1370a4d37af2f0ec6c681e4f8" PartId="35dbe91f228a4589aa0ebbebbb5288b5"/>
        <Part Type="papunktis" Nr="68.3" Abbr="68.3 pp." DocPartId="dd24f4b2ca4c4a2a89d5f4375dfa0b24" PartId="51ae309443b345afb019a14701a93d6a"/>
        <Part Type="papunktis" Nr="68.4" Abbr="68.4 pp." DocPartId="1e8f7be50d4445849927874a2e28ddf0" PartId="2ae3089aa27c4216a731415f4f7ae7d5"/>
      </Part>
    </Part>
    <Part Type="punktas" Nr="3" Abbr="3 p." DocPartId="032c96fc16874e8087ba2e3a73cc064c" PartId="7ecf577f011f4dc88bc7df7760391437">
      <Part Type="citata" DocPartId="0f3fe13e173d4bfd80135d3e4eb02a4f" PartId="fc6d34872e374c1cbbfb1e401d414159">
        <Part Type="papunktis" Nr="2.3" Abbr="2.3 pp." DocPartId="569475233d7140aeb3f7372614103a98" PartId="7b5ba1a2ba02489b8407dc24a082008c"/>
      </Part>
    </Part>
    <Part Type="punktas" Nr="4" Abbr="4 p." DocPartId="ee57cffdf96940eab4aeffd22491dc38" PartId="f837c79c8ddb43fe9b3546b05a729b9f">
      <Part Type="citata" DocPartId="76bc5c9f8b2448c48fb75cb89a44b0ad" PartId="844f405b76024e828bb73e3db2fdb9c2">
        <Part Type="papunktis" Nr="2.4" Abbr="2.4 pp." DocPartId="916368d3ab7b4602a4710a0439bed9b7" PartId="21358a9099dd444285cf7fac697e5fc8"/>
      </Part>
    </Part>
    <Part Type="signatura" DocPartId="f71a7fd6da8b4a9aba77924143cabcf8" PartId="51f9260a1de54f04a7d69ac8b0be81db"/>
  </Part>
</Parts>
</file>

<file path=customXml/itemProps1.xml><?xml version="1.0" encoding="utf-8"?>
<ds:datastoreItem xmlns:ds="http://schemas.openxmlformats.org/officeDocument/2006/customXml" ds:itemID="{D87C5618-3773-4106-833A-C4C0550A77DA}">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www.w3.org/XML/1998/namespace"/>
    <ds:schemaRef ds:uri="http://purl.org/dc/dcmitype/"/>
  </ds:schemaRefs>
</ds:datastoreItem>
</file>

<file path=customXml/itemProps2.xml><?xml version="1.0" encoding="utf-8"?>
<ds:datastoreItem xmlns:ds="http://schemas.openxmlformats.org/officeDocument/2006/customXml" ds:itemID="{0300396A-9651-4EA5-B296-F75E4F5A28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6BC363-15DF-4D14-A46F-E904A0311ED1}">
  <ds:schemaRefs>
    <ds:schemaRef ds:uri="http://schemas.microsoft.com/sharepoint/v3/contenttype/forms"/>
  </ds:schemaRefs>
</ds:datastoreItem>
</file>

<file path=customXml/itemProps4.xml><?xml version="1.0" encoding="utf-8"?>
<ds:datastoreItem xmlns:ds="http://schemas.openxmlformats.org/officeDocument/2006/customXml" ds:itemID="{92868BB3-27A6-4378-B4A6-AFBC445DC96D}">
  <ds:schemaRefs>
    <ds:schemaRef ds:uri="http://schemas.openxmlformats.org/officeDocument/2006/bibliography"/>
  </ds:schemaRefs>
</ds:datastoreItem>
</file>

<file path=customXml/itemProps5.xml><?xml version="1.0" encoding="utf-8"?>
<ds:datastoreItem xmlns:ds="http://schemas.openxmlformats.org/officeDocument/2006/customXml" ds:itemID="{34580760-F4D2-41E5-92A8-7FFA6B53AA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720</Words>
  <Characters>5084</Characters>
  <Application>Microsoft Office Word</Application>
  <DocSecurity>4</DocSecurity>
  <Lines>86</Lines>
  <Paragraphs>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5777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2023-10-20T14:15:00Z</dcterms:created>
  <dcterms:modified xsi:type="dcterms:W3CDTF">2023-10-20T14:15:00Z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