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11a8cf17b6c84d01a9ca52a86d3af87c"/>
        <w:lock w:val="sdtLocked"/>
        <w:richText/>
      </w:sdtPr>
      <w:sdtContent>
        <w:p>
          <w:pPr>
            <w:widowControl w:val="0"/>
            <w:tabs>
              <w:tab w:val="center" w:pos="4819"/>
              <w:tab w:val="right" w:pos="9638"/>
            </w:tabs>
            <w:ind w:firstLine="720"/>
            <w:rPr>
              <w:rFonts w:ascii="Arial" w:hAnsi="Arial" w:cs="Arial"/>
              <w:sz w:val="20"/>
              <w:szCs w:val="24"/>
              <w:lang w:eastAsia="lt-LT"/>
            </w:rPr>
          </w:pPr>
        </w:p>
        <w:p>
          <w:pPr>
            <w:ind w:right="148"/>
            <w:jc w:val="right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</w:r>
        </w:p>
        <w:p>
          <w:pPr>
            <w:ind w:right="148"/>
            <w:jc w:val="center"/>
            <w:rPr>
              <w:b/>
              <w:szCs w:val="24"/>
              <w:lang w:eastAsia="lt-LT"/>
            </w:rPr>
          </w:pPr>
        </w:p>
        <w:p>
          <w:pPr>
            <w:ind w:right="148"/>
            <w:jc w:val="center"/>
            <w:rPr>
              <w:b/>
              <w:szCs w:val="24"/>
              <w:lang w:eastAsia="lt-LT"/>
            </w:rPr>
          </w:pPr>
        </w:p>
        <w:p>
          <w:pPr>
            <w:tabs>
              <w:tab w:val="left" w:pos="741"/>
            </w:tabs>
            <w:ind w:right="148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 SEIMAS</w:t>
          </w:r>
        </w:p>
        <w:p>
          <w:pPr>
            <w:tabs>
              <w:tab w:val="left" w:pos="741"/>
            </w:tabs>
            <w:ind w:right="148"/>
            <w:rPr>
              <w:b/>
              <w:szCs w:val="24"/>
              <w:lang w:eastAsia="lt-LT"/>
            </w:rPr>
          </w:pPr>
        </w:p>
        <w:p>
          <w:pPr>
            <w:tabs>
              <w:tab w:val="left" w:pos="741"/>
            </w:tabs>
            <w:ind w:right="148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NUTARIMAS</w:t>
          </w:r>
        </w:p>
        <w:p>
          <w:pPr>
            <w:tabs>
              <w:tab w:val="left" w:pos="741"/>
            </w:tabs>
            <w:ind w:right="148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GARANTINIO FONDO 2015 METŲ METINIŲ ATASKAITŲ RINKINIO PATVIRTINIMO</w:t>
          </w:r>
        </w:p>
        <w:p>
          <w:pPr>
            <w:tabs>
              <w:tab w:val="left" w:pos="741"/>
            </w:tabs>
            <w:ind w:right="148"/>
            <w:jc w:val="center"/>
            <w:rPr>
              <w:szCs w:val="24"/>
              <w:lang w:eastAsia="lt-LT"/>
            </w:rPr>
          </w:pPr>
        </w:p>
        <w:p>
          <w:pPr>
            <w:tabs>
              <w:tab w:val="left" w:pos="741"/>
            </w:tabs>
            <w:ind w:right="148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2016 m.              d. Nr. </w:t>
          </w:r>
        </w:p>
        <w:p>
          <w:pPr>
            <w:tabs>
              <w:tab w:val="left" w:pos="741"/>
            </w:tabs>
            <w:ind w:right="148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>
          <w:pPr>
            <w:tabs>
              <w:tab w:val="left" w:pos="741"/>
            </w:tabs>
            <w:ind w:left="3614" w:right="148"/>
            <w:jc w:val="center"/>
            <w:rPr>
              <w:szCs w:val="24"/>
              <w:lang w:eastAsia="lt-LT"/>
            </w:rPr>
          </w:pPr>
        </w:p>
        <w:p>
          <w:pPr>
            <w:tabs>
              <w:tab w:val="left" w:pos="741"/>
            </w:tabs>
            <w:ind w:left="3614" w:right="148"/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fd6ab1e899ff4224a9c398066fe0d76f"/>
            <w:lock w:val="sdtLocked"/>
            <w:richText/>
          </w:sdtPr>
          <w:sdtContent>
            <w:p>
              <w:pPr>
                <w:tabs>
                  <w:tab w:val="left" w:pos="741"/>
                </w:tabs>
                <w:spacing w:line="360" w:lineRule="auto"/>
                <w:ind w:right="147"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Lietuvos Respublikos Seimas, vadovaudamasis Lietuvos Respublikos Garantinio fondo įstatymo 9 straipsnio 1 dalimi, </w:t>
              </w:r>
              <w:r>
                <w:rPr>
                  <w:spacing w:val="60"/>
                  <w:szCs w:val="24"/>
                  <w:lang w:eastAsia="lt-LT"/>
                </w:rPr>
                <w:t>nutari</w:t>
              </w:r>
              <w:r>
                <w:rPr>
                  <w:szCs w:val="24"/>
                  <w:lang w:eastAsia="lt-LT"/>
                </w:rPr>
                <w:t>a:</w:t>
              </w:r>
            </w:p>
            <w:p>
              <w:pPr>
                <w:tabs>
                  <w:tab w:val="left" w:pos="741"/>
                </w:tabs>
                <w:spacing w:line="360" w:lineRule="auto"/>
                <w:ind w:right="147" w:firstLine="720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1 str."/>
            <w:tag w:val="part_37b730da02aa46c58c1a70c611a0db03"/>
            <w:lock w:val="sdtLocked"/>
            <w:richText/>
          </w:sdtPr>
          <w:sdtContent>
            <w:p>
              <w:pPr>
                <w:tabs>
                  <w:tab w:val="left" w:pos="741"/>
                </w:tabs>
                <w:spacing w:line="360" w:lineRule="auto"/>
                <w:ind w:right="147"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37b730da02aa46c58c1a70c611a0db0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</w:t>
              </w:r>
            </w:p>
            <w:sdt>
              <w:sdtPr>
                <w:alias w:val="1 str. 1 d."/>
                <w:tag w:val="part_fca54e9f276c4808b59552ee53e0428b"/>
                <w:lock w:val="sdtLocked"/>
                <w:richText/>
              </w:sdtPr>
              <w:sdtContent>
                <w:p>
                  <w:pPr>
                    <w:tabs>
                      <w:tab w:val="left" w:pos="741"/>
                      <w:tab w:val="left" w:pos="8016"/>
                    </w:tabs>
                    <w:spacing w:line="360" w:lineRule="auto"/>
                    <w:ind w:right="147"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Patvirtinti Garantinio fondo 2015 metų metinių ataskaitų rinkinį (pridedama).</w:t>
                  </w:r>
                </w:p>
                <w:p>
                  <w:pPr>
                    <w:tabs>
                      <w:tab w:val="left" w:pos="741"/>
                      <w:tab w:val="left" w:pos="8016"/>
                    </w:tabs>
                    <w:ind w:right="148" w:firstLine="720"/>
                    <w:jc w:val="both"/>
                    <w:rPr>
                      <w:b/>
                      <w:szCs w:val="24"/>
                      <w:lang w:eastAsia="lt-LT"/>
                    </w:rPr>
                  </w:pPr>
                </w:p>
                <w:p>
                  <w:pPr>
                    <w:tabs>
                      <w:tab w:val="left" w:pos="741"/>
                    </w:tabs>
                    <w:ind w:right="148" w:firstLine="720"/>
                    <w:jc w:val="both"/>
                    <w:rPr>
                      <w:b/>
                      <w:szCs w:val="24"/>
                      <w:lang w:eastAsia="lt-LT"/>
                    </w:rPr>
                  </w:pPr>
                </w:p>
                <w:p>
                  <w:pPr>
                    <w:tabs>
                      <w:tab w:val="left" w:pos="741"/>
                      <w:tab w:val="left" w:pos="8016"/>
                    </w:tabs>
                    <w:ind w:right="148" w:firstLine="720"/>
                    <w:jc w:val="both"/>
                    <w:rPr>
                      <w:b/>
                      <w:szCs w:val="24"/>
                      <w:lang w:eastAsia="lt-LT"/>
                    </w:rPr>
                  </w:pPr>
                </w:p>
                <w:p>
                  <w:pPr>
                    <w:tabs>
                      <w:tab w:val="left" w:pos="741"/>
                      <w:tab w:val="left" w:pos="8016"/>
                    </w:tabs>
                    <w:ind w:right="148" w:firstLine="720"/>
                    <w:jc w:val="both"/>
                    <w:rPr>
                      <w:b/>
                      <w:szCs w:val="24"/>
                      <w:lang w:eastAsia="lt-LT"/>
                    </w:rPr>
                  </w:pPr>
                </w:p>
                <w:p>
                  <w:pPr>
                    <w:tabs>
                      <w:tab w:val="left" w:pos="741"/>
                      <w:tab w:val="left" w:pos="8016"/>
                    </w:tabs>
                    <w:ind w:right="148" w:firstLine="720"/>
                    <w:jc w:val="both"/>
                    <w:rPr>
                      <w:b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784c04ba5d4a4455930a40e966c7abed"/>
            <w:lock w:val="sdtLocked"/>
            <w:richText/>
          </w:sdtPr>
          <w:sdtContent>
            <w:p>
              <w:pPr>
                <w:tabs>
                  <w:tab w:val="left" w:pos="741"/>
                  <w:tab w:val="right" w:pos="9638"/>
                </w:tabs>
                <w:ind w:right="148"/>
                <w:jc w:val="both"/>
                <w:rPr>
                  <w:caps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Seimo Pirmininkas</w:t>
              </w:r>
            </w:p>
            <w:p>
              <w:pPr>
                <w:rPr>
                  <w:caps/>
                  <w:szCs w:val="24"/>
                  <w:lang w:eastAsia="lt-LT"/>
                </w:rPr>
              </w:pPr>
              <w:r>
                <w:rPr>
                  <w:caps/>
                  <w:szCs w:val="24"/>
                  <w:lang w:eastAsia="lt-LT"/>
                </w:rPr>
                <w:br w:type="page"/>
              </w:r>
            </w:p>
          </w:sdtContent>
        </w:sdt>
      </w:sdtContent>
    </w:sdt>
    <w:sdt>
      <w:sdtPr>
        <w:alias w:val="patvirtinta"/>
        <w:tag w:val="part_70044592b644431c84144771375d6e0f"/>
        <w:lock w:val="sdtLocked"/>
        <w:richText/>
      </w:sdtPr>
      <w:sdtContent>
        <w:p>
          <w:pPr>
            <w:tabs>
              <w:tab w:val="left" w:pos="741"/>
              <w:tab w:val="right" w:pos="9638"/>
            </w:tabs>
            <w:ind w:right="148" w:firstLine="6521"/>
            <w:jc w:val="both"/>
            <w:rPr>
              <w:caps/>
              <w:szCs w:val="24"/>
              <w:lang w:eastAsia="lt-LT"/>
            </w:rPr>
          </w:pPr>
          <w:r>
            <w:rPr>
              <w:caps/>
              <w:szCs w:val="24"/>
              <w:lang w:eastAsia="lt-LT"/>
            </w:rPr>
            <w:t>PATVIRTINTA</w:t>
          </w:r>
        </w:p>
        <w:p>
          <w:pPr>
            <w:tabs>
              <w:tab w:val="left" w:pos="741"/>
              <w:tab w:val="right" w:pos="9638"/>
            </w:tabs>
            <w:ind w:right="148" w:firstLine="6521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Lietuvos Respublikos Seimo</w:t>
          </w:r>
        </w:p>
        <w:p>
          <w:pPr>
            <w:tabs>
              <w:tab w:val="left" w:pos="741"/>
              <w:tab w:val="right" w:pos="9638"/>
            </w:tabs>
            <w:ind w:right="148" w:firstLine="6521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2016 m.                             d. </w:t>
          </w:r>
        </w:p>
        <w:p>
          <w:pPr>
            <w:tabs>
              <w:tab w:val="left" w:pos="741"/>
              <w:tab w:val="right" w:pos="9638"/>
            </w:tabs>
            <w:ind w:right="148" w:firstLine="6521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nutarimu Nr.</w:t>
          </w:r>
        </w:p>
        <w:p>
          <w:pPr>
            <w:tabs>
              <w:tab w:val="left" w:pos="741"/>
              <w:tab w:val="right" w:pos="9638"/>
            </w:tabs>
            <w:ind w:right="148"/>
            <w:jc w:val="both"/>
            <w:rPr>
              <w:szCs w:val="24"/>
              <w:lang w:eastAsia="lt-LT"/>
            </w:rPr>
          </w:pPr>
        </w:p>
        <w:p>
          <w:pPr>
            <w:tabs>
              <w:tab w:val="left" w:pos="741"/>
              <w:tab w:val="right" w:pos="9638"/>
            </w:tabs>
            <w:ind w:right="148"/>
            <w:jc w:val="center"/>
            <w:rPr>
              <w:b/>
              <w:caps/>
              <w:szCs w:val="24"/>
              <w:lang w:eastAsia="lt-LT"/>
            </w:rPr>
          </w:pPr>
        </w:p>
        <w:p>
          <w:pPr>
            <w:tabs>
              <w:tab w:val="left" w:pos="741"/>
              <w:tab w:val="right" w:pos="9638"/>
            </w:tabs>
            <w:ind w:right="148"/>
            <w:jc w:val="center"/>
            <w:rPr>
              <w:b/>
              <w:caps/>
              <w:szCs w:val="24"/>
              <w:lang w:eastAsia="lt-LT"/>
            </w:rPr>
          </w:pPr>
          <w:sdt>
            <w:sdtPr>
              <w:alias w:val="Pavadinimas"/>
              <w:tag w:val="title_70044592b644431c84144771375d6e0f"/>
              <w:lock w:val="sdtLocked"/>
              <w:richText/>
            </w:sdtPr>
            <w:sdtContent>
              <w:r>
                <w:rPr>
                  <w:b/>
                  <w:caps/>
                  <w:szCs w:val="24"/>
                  <w:lang w:eastAsia="lt-LT"/>
                </w:rPr>
                <w:t>GARANTINIO FONDO 2015 METŲ METINIŲ ATASKAITŲ RINKINYS</w:t>
              </w:r>
            </w:sdtContent>
          </w:sdt>
        </w:p>
        <w:p>
          <w:pPr>
            <w:tabs>
              <w:tab w:val="left" w:pos="741"/>
              <w:tab w:val="right" w:pos="9638"/>
            </w:tabs>
            <w:ind w:right="148"/>
            <w:jc w:val="both"/>
            <w:rPr>
              <w:caps/>
              <w:szCs w:val="24"/>
              <w:lang w:eastAsia="lt-LT"/>
            </w:rPr>
          </w:pPr>
        </w:p>
        <w:p>
          <w:pPr>
            <w:tabs>
              <w:tab w:val="left" w:pos="741"/>
              <w:tab w:val="right" w:pos="9638"/>
            </w:tabs>
            <w:ind w:right="148"/>
            <w:jc w:val="both"/>
            <w:rPr>
              <w:caps/>
              <w:szCs w:val="24"/>
              <w:lang w:eastAsia="lt-LT"/>
            </w:rPr>
          </w:pPr>
        </w:p>
        <w:sdt>
          <w:sdtPr>
            <w:alias w:val="dalis"/>
            <w:tag w:val="part_9852ce69d11140d4a71d4d861ee2c1d6"/>
            <w:lock w:val="sdtLocked"/>
            <w:richText/>
          </w:sdtPr>
          <w:sdtContent>
            <w:p>
              <w:pPr>
                <w:tabs>
                  <w:tab w:val="left" w:pos="741"/>
                  <w:tab w:val="right" w:pos="9638"/>
                </w:tabs>
                <w:spacing w:line="360" w:lineRule="auto"/>
                <w:ind w:right="147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9852ce69d11140d4a71d4d861ee2c1d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I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dalis</w:t>
              </w:r>
            </w:p>
            <w:p>
              <w:pPr>
                <w:tabs>
                  <w:tab w:val="left" w:pos="741"/>
                  <w:tab w:val="right" w:pos="9638"/>
                </w:tabs>
                <w:spacing w:line="360" w:lineRule="auto"/>
                <w:ind w:right="14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Garantinio fondo 2015 m. finansinių ataskaitų rinkinys:</w:t>
              </w:r>
            </w:p>
            <w:sdt>
              <w:sdtPr>
                <w:alias w:val="1 p."/>
                <w:tag w:val="part_ee44ab11bcc34226940438088bb4c7c5"/>
                <w:lock w:val="sdtLocked"/>
                <w:richText/>
              </w:sdtPr>
              <w:sdtContent>
                <w:p>
                  <w:pPr>
                    <w:tabs>
                      <w:tab w:val="right" w:pos="9638"/>
                    </w:tabs>
                    <w:spacing w:line="360" w:lineRule="auto"/>
                    <w:ind w:left="284" w:right="147" w:hanging="284"/>
                    <w:jc w:val="both"/>
                    <w:rPr>
                      <w:cap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e44ab11bcc34226940438088bb4c7c5"/>
                      <w:lock w:val="sdtLocked"/>
                      <w:richText/>
                    </w:sdtPr>
                    <w:sdtContent>
                      <w:r>
                        <w:rPr>
                          <w:caps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aps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Garantinio fondo finansinės būklės ataskaita pagal 2015 metų gruodžio 31 d. duomenis;</w:t>
                  </w:r>
                </w:p>
              </w:sdtContent>
            </w:sdt>
            <w:sdt>
              <w:sdtPr>
                <w:alias w:val="2 p."/>
                <w:tag w:val="part_74c5fda7076f430bb4c4b59dbaab8432"/>
                <w:lock w:val="sdtLocked"/>
                <w:richText/>
              </w:sdtPr>
              <w:sdtContent>
                <w:p>
                  <w:pPr>
                    <w:tabs>
                      <w:tab w:val="right" w:pos="9638"/>
                    </w:tabs>
                    <w:spacing w:line="360" w:lineRule="auto"/>
                    <w:ind w:left="284" w:right="147" w:hanging="284"/>
                    <w:jc w:val="both"/>
                    <w:rPr>
                      <w:cap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4c5fda7076f430bb4c4b59dbaab8432"/>
                      <w:lock w:val="sdtLocked"/>
                      <w:richText/>
                    </w:sdtPr>
                    <w:sdtContent>
                      <w:r>
                        <w:rPr>
                          <w:caps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aps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Garantinio fondo 2015 m. veiklos rezultatų ataskaita;</w:t>
                  </w:r>
                </w:p>
              </w:sdtContent>
            </w:sdt>
            <w:sdt>
              <w:sdtPr>
                <w:alias w:val="3 p."/>
                <w:tag w:val="part_4cab7f25ff9d4c4584a85c5fef706c82"/>
                <w:lock w:val="sdtLocked"/>
                <w:richText/>
              </w:sdtPr>
              <w:sdtContent>
                <w:p>
                  <w:pPr>
                    <w:tabs>
                      <w:tab w:val="right" w:pos="9638"/>
                    </w:tabs>
                    <w:spacing w:line="360" w:lineRule="auto"/>
                    <w:ind w:left="284" w:right="147" w:hanging="284"/>
                    <w:jc w:val="both"/>
                    <w:rPr>
                      <w:cap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cab7f25ff9d4c4584a85c5fef706c82"/>
                      <w:lock w:val="sdtLocked"/>
                      <w:richText/>
                    </w:sdtPr>
                    <w:sdtContent>
                      <w:r>
                        <w:rPr>
                          <w:caps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caps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Garantinio fondo 2015 m. grynojo turto pokyčių ataskaita;</w:t>
                  </w:r>
                </w:p>
              </w:sdtContent>
            </w:sdt>
            <w:sdt>
              <w:sdtPr>
                <w:alias w:val="4 p."/>
                <w:tag w:val="part_8ab786b7e30b4aa58eeda49c3c54a2eb"/>
                <w:lock w:val="sdtLocked"/>
                <w:richText/>
              </w:sdtPr>
              <w:sdtContent>
                <w:p>
                  <w:pPr>
                    <w:tabs>
                      <w:tab w:val="right" w:pos="9638"/>
                    </w:tabs>
                    <w:spacing w:line="360" w:lineRule="auto"/>
                    <w:ind w:left="284" w:right="147" w:hanging="284"/>
                    <w:jc w:val="both"/>
                    <w:rPr>
                      <w:cap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ab786b7e30b4aa58eeda49c3c54a2eb"/>
                      <w:lock w:val="sdtLocked"/>
                      <w:richText/>
                    </w:sdtPr>
                    <w:sdtContent>
                      <w:r>
                        <w:rPr>
                          <w:caps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caps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Garantinio fondo 2015 m. pinigų srautų ataskaita;</w:t>
                  </w:r>
                </w:p>
              </w:sdtContent>
            </w:sdt>
            <w:sdt>
              <w:sdtPr>
                <w:alias w:val="5 p."/>
                <w:tag w:val="part_1b191bcac3bc4216aa35376e2a00b2e6"/>
                <w:lock w:val="sdtLocked"/>
                <w:richText/>
              </w:sdtPr>
              <w:sdtContent>
                <w:p>
                  <w:pPr>
                    <w:tabs>
                      <w:tab w:val="right" w:pos="9638"/>
                    </w:tabs>
                    <w:spacing w:line="360" w:lineRule="auto"/>
                    <w:ind w:left="284" w:right="147" w:hanging="284"/>
                    <w:jc w:val="both"/>
                    <w:rPr>
                      <w:cap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b191bcac3bc4216aa35376e2a00b2e6"/>
                      <w:lock w:val="sdtLocked"/>
                      <w:richText/>
                    </w:sdtPr>
                    <w:sdtContent>
                      <w:r>
                        <w:rPr>
                          <w:caps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caps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Garantinio fondo 2015 metų finansinių ataskaitų aiškinamasis raštas.</w:t>
                  </w:r>
                </w:p>
                <w:p>
                  <w:pPr>
                    <w:tabs>
                      <w:tab w:val="left" w:pos="741"/>
                      <w:tab w:val="right" w:pos="9638"/>
                    </w:tabs>
                    <w:spacing w:line="360" w:lineRule="auto"/>
                    <w:ind w:right="147"/>
                    <w:jc w:val="both"/>
                    <w:rPr>
                      <w:cap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dalis"/>
            <w:tag w:val="part_ec4f6f6645194540a4d2a2c85c55eb3c"/>
            <w:lock w:val="sdtLocked"/>
            <w:richText/>
          </w:sdtPr>
          <w:sdtContent>
            <w:p>
              <w:pPr>
                <w:tabs>
                  <w:tab w:val="left" w:pos="741"/>
                  <w:tab w:val="right" w:pos="9638"/>
                </w:tabs>
                <w:spacing w:line="360" w:lineRule="auto"/>
                <w:ind w:right="147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ec4f6f6645194540a4d2a2c85c55eb3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II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dalis</w:t>
              </w:r>
            </w:p>
            <w:p>
              <w:pPr>
                <w:tabs>
                  <w:tab w:val="left" w:pos="741"/>
                  <w:tab w:val="right" w:pos="9638"/>
                </w:tabs>
                <w:spacing w:line="360" w:lineRule="auto"/>
                <w:ind w:right="14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Garantinio fondo 2015 m. biudžeto vykdymo ataskaitų rinkinys:</w:t>
              </w:r>
            </w:p>
            <w:sdt>
              <w:sdtPr>
                <w:alias w:val="1 p."/>
                <w:tag w:val="part_0393d1626c404b2693f693c1da606a89"/>
                <w:lock w:val="sdtLocked"/>
                <w:richText/>
              </w:sdtPr>
              <w:sdtContent>
                <w:p>
                  <w:pPr>
                    <w:tabs>
                      <w:tab w:val="right" w:pos="9638"/>
                    </w:tabs>
                    <w:spacing w:line="360" w:lineRule="auto"/>
                    <w:ind w:left="284" w:right="147" w:hanging="284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393d1626c404b2693f693c1da606a8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  <w:t>Garantinio fondo lėšų 2015 m. sąmatos vykdymo ataskaita;</w:t>
                  </w:r>
                </w:p>
              </w:sdtContent>
            </w:sdt>
            <w:sdt>
              <w:sdtPr>
                <w:alias w:val="2 p."/>
                <w:tag w:val="part_e2925db60e614e479d7f6685fa1726c7"/>
                <w:lock w:val="sdtLocked"/>
                <w:richText/>
              </w:sdtPr>
              <w:sdtContent>
                <w:p>
                  <w:pPr>
                    <w:tabs>
                      <w:tab w:val="right" w:pos="9638"/>
                    </w:tabs>
                    <w:spacing w:line="360" w:lineRule="auto"/>
                    <w:ind w:left="284" w:right="147" w:hanging="284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2925db60e614e479d7f6685fa1726c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  <w:t>Garantinio fondo lėšų 2015 m. sąmatos vykdymo ataskaitos aiškinamasis raštas.</w:t>
                  </w:r>
                </w:p>
                <w:p>
                  <w:pPr>
                    <w:tabs>
                      <w:tab w:val="left" w:pos="741"/>
                      <w:tab w:val="right" w:pos="9638"/>
                    </w:tabs>
                    <w:ind w:left="720" w:right="148"/>
                    <w:jc w:val="both"/>
                    <w:rPr>
                      <w:caps/>
                      <w:szCs w:val="24"/>
                      <w:lang w:eastAsia="lt-LT"/>
                    </w:rPr>
                  </w:pPr>
                </w:p>
                <w:p>
                  <w:pPr>
                    <w:tabs>
                      <w:tab w:val="left" w:pos="741"/>
                      <w:tab w:val="right" w:pos="9638"/>
                    </w:tabs>
                    <w:ind w:right="148" w:firstLine="720"/>
                    <w:jc w:val="both"/>
                    <w:rPr>
                      <w:caps/>
                      <w:szCs w:val="24"/>
                      <w:lang w:eastAsia="lt-LT"/>
                    </w:rPr>
                  </w:pPr>
                </w:p>
              </w:sdtContent>
            </w:sdt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39"/>
      <w:pgMar w:top="1138" w:right="562" w:bottom="1138" w:left="1699" w:header="562" w:footer="562" w:gutter="0"/>
      <w:cols w:space="60"/>
      <w:noEndnote/>
      <w:titlePg/>
      <w:docGrid w:linePitch="78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separator/>
      </w:r>
    </w:p>
  </w:endnote>
  <w:endnote w:type="continuationSeparator" w:id="0">
    <w:p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widowControl w:val="0"/>
      <w:tabs>
        <w:tab w:val="center" w:pos="4819"/>
        <w:tab w:val="right" w:pos="9638"/>
      </w:tabs>
      <w:ind w:firstLine="720"/>
      <w:rPr>
        <w:rFonts w:ascii="Arial" w:hAnsi="Arial" w:cs="Arial"/>
        <w:sz w:val="20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widowControl w:val="0"/>
      <w:tabs>
        <w:tab w:val="center" w:pos="4819"/>
        <w:tab w:val="right" w:pos="9638"/>
      </w:tabs>
      <w:ind w:firstLine="720"/>
      <w:rPr>
        <w:rFonts w:ascii="Arial" w:hAnsi="Arial" w:cs="Arial"/>
        <w:sz w:val="20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widowControl w:val="0"/>
      <w:tabs>
        <w:tab w:val="center" w:pos="4819"/>
        <w:tab w:val="right" w:pos="9638"/>
      </w:tabs>
      <w:ind w:firstLine="720"/>
      <w:rPr>
        <w:rFonts w:ascii="Arial" w:hAnsi="Arial" w:cs="Arial"/>
        <w:sz w:val="20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separator/>
      </w:r>
    </w:p>
  </w:footnote>
  <w:footnote w:type="continuationSeparator" w:id="0">
    <w:p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widowControl w:val="0"/>
      <w:tabs>
        <w:tab w:val="center" w:pos="4819"/>
        <w:tab w:val="right" w:pos="9638"/>
      </w:tabs>
      <w:ind w:firstLine="720"/>
      <w:rPr>
        <w:rFonts w:ascii="Arial" w:hAnsi="Arial" w:cs="Arial"/>
        <w:sz w:val="20"/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widowControl w:val="0"/>
      <w:tabs>
        <w:tab w:val="center" w:pos="4819"/>
        <w:tab w:val="right" w:pos="9638"/>
      </w:tabs>
      <w:rPr>
        <w:rFonts w:ascii="Arial" w:hAnsi="Arial" w:cs="Arial"/>
        <w:sz w:val="20"/>
        <w:szCs w:val="24"/>
        <w:lang w:eastAsia="lt-LT"/>
      </w:rPr>
    </w:pPr>
    <w:r>
      <w:rPr>
        <w:rFonts w:ascii="Arial" w:hAnsi="Arial" w:cs="Arial"/>
        <w:sz w:val="20"/>
        <w:szCs w:val="24"/>
        <w:lang w:eastAsia="lt-LT"/>
      </w:rPr>
      <w:fldChar w:fldCharType="begin"/>
    </w:r>
    <w:r>
      <w:rPr>
        <w:rFonts w:ascii="Arial" w:hAnsi="Arial" w:cs="Arial"/>
        <w:sz w:val="20"/>
        <w:szCs w:val="24"/>
        <w:lang w:eastAsia="lt-LT"/>
      </w:rPr>
      <w:instrText xml:space="preserve">PAGE  </w:instrText>
    </w:r>
    <w:r>
      <w:rPr>
        <w:rFonts w:ascii="Arial" w:hAnsi="Arial" w:cs="Arial"/>
        <w:sz w:val="20"/>
        <w:szCs w:val="24"/>
        <w:lang w:eastAsia="lt-LT"/>
      </w:rPr>
      <w:fldChar w:fldCharType="separate"/>
    </w:r>
    <w:r>
      <w:rPr>
        <w:rFonts w:ascii="Arial" w:hAnsi="Arial" w:cs="Arial"/>
        <w:sz w:val="20"/>
        <w:szCs w:val="24"/>
        <w:lang w:eastAsia="lt-LT"/>
      </w:rPr>
      <w:t>1</w:t>
    </w:r>
    <w:r>
      <w:rPr>
        <w:rFonts w:ascii="Arial" w:hAnsi="Arial" w:cs="Arial"/>
        <w:sz w:val="20"/>
        <w:szCs w:val="24"/>
        <w:lang w:eastAsia="lt-LT"/>
      </w:rPr>
      <w:fldChar w:fldCharType="end"/>
    </w:r>
  </w:p>
  <w:p>
    <w:pPr>
      <w:widowControl w:val="0"/>
      <w:tabs>
        <w:tab w:val="center" w:pos="4819"/>
        <w:tab w:val="right" w:pos="9638"/>
      </w:tabs>
      <w:rPr>
        <w:rFonts w:ascii="Arial" w:hAnsi="Arial" w:cs="Arial"/>
        <w:sz w:val="20"/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widowControl w:val="0"/>
      <w:tabs>
        <w:tab w:val="center" w:pos="4819"/>
        <w:tab w:val="right" w:pos="9638"/>
      </w:tabs>
      <w:ind w:firstLine="720"/>
      <w:rPr>
        <w:rFonts w:ascii="Arial" w:hAnsi="Arial" w:cs="Arial"/>
        <w:sz w:val="20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embedSystemFonts/>
  <w:bordersDoNotSurroundHeader/>
  <w:bordersDoNotSurroundFooter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evenAndOddHeaders/>
  <w:drawingGridHorizontalSpacing w:val="57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4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64615ac35204a2481501dbf24f8c39a" PartId="11a8cf17b6c84d01a9ca52a86d3af87c">
    <Part Type="preambule" DocPartId="a00b6057c8f74c0d8229536b975a3f0f" PartId="fd6ab1e899ff4224a9c398066fe0d76f"/>
    <Part Type="straipsnis" Nr="1" Abbr="1 str." DocPartId="79c7e93030f648ae937d986ea979aad5" PartId="37b730da02aa46c58c1a70c611a0db03">
      <Part Type="strDalis" Nr="1" Abbr="1 str. 1 d." DocPartId="10ed01cbeb8c41c2ab86bb257bd6cba4" PartId="fca54e9f276c4808b59552ee53e0428b"/>
    </Part>
    <Part Type="signatura" DocPartId="ce00568c93d248ca8b2c99e29545eea1" PartId="784c04ba5d4a4455930a40e966c7abed"/>
  </Part>
  <Part Type="patvirtinta" Title="GARANTINIO FONDO 2015 METŲ METINIŲ ATASKAITŲ RINKINYS" DocPartId="4907436eb34140988b1f0a1fd4d2124a" PartId="70044592b644431c84144771375d6e0f">
    <Part Type="dalis" Nr="1" DocPartId="7311b4c5178c4feaa0232f9070845d27" PartId="9852ce69d11140d4a71d4d861ee2c1d6">
      <Part Type="punktas" Nr="1" Abbr="1 p." DocPartId="59a1e427f95442f18d23381c0490c4a2" PartId="ee44ab11bcc34226940438088bb4c7c5"/>
      <Part Type="punktas" Nr="2" Abbr="2 p." DocPartId="983eb834e71f49e4b6d199bb851fa0ef" PartId="74c5fda7076f430bb4c4b59dbaab8432"/>
      <Part Type="punktas" Nr="3" Abbr="3 p." DocPartId="50016a32fe734642be8f33dbfeb7018b" PartId="4cab7f25ff9d4c4584a85c5fef706c82"/>
      <Part Type="punktas" Nr="4" Abbr="4 p." DocPartId="36a641ad41f5482b9466716a9fd0c641" PartId="8ab786b7e30b4aa58eeda49c3c54a2eb"/>
      <Part Type="punktas" Nr="5" Abbr="5 p." DocPartId="f9e08f114d83475e847522a8d97e5d9c" PartId="1b191bcac3bc4216aa35376e2a00b2e6"/>
    </Part>
    <Part Type="dalis" Nr="2" DocPartId="c56ea57c359b46ce868ca0109da718ac" PartId="ec4f6f6645194540a4d2a2c85c55eb3c">
      <Part Type="punktas" Nr="1" Abbr="1 p." DocPartId="0289687879ff4c94a4bdb9982c07b8ce" PartId="0393d1626c404b2693f693c1da606a89"/>
      <Part Type="punktas" Nr="2" Abbr="2 p." DocPartId="1d0622fdd8f24f159290ebaa9f57b71d" PartId="e2925db60e614e479d7f6685fa1726c7"/>
    </Part>
  </Part>
</Parts>
</file>

<file path=customXml/itemProps1.xml><?xml version="1.0" encoding="utf-8"?>
<ds:datastoreItem xmlns:ds="http://schemas.openxmlformats.org/officeDocument/2006/customXml" ds:itemID="{EBC06A66-0960-4C10-BD92-5BCF2232CF8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156</Words>
  <Characters>1009</Characters>
  <Application>Microsoft Office Word</Application>
  <DocSecurity>4</DocSecurity>
  <Lines>50</Lines>
  <Paragraphs>31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SEIMAS</vt:lpstr>
      <vt:lpstr>LIETUVOS RESPUBLIKOS SEIMAS</vt:lpstr>
    </vt:vector>
  </TitlesOfParts>
  <Company>Infolex</Company>
  <LinksUpToDate>false</LinksUpToDate>
  <CharactersWithSpaces>1134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2016-10-14T05:44:00Z</dcterms:created>
  <dc:creator>Algirdas</dc:creator>
  <lastModifiedBy>adlibuser</lastModifiedBy>
  <lastPrinted>2016-10-06T06:20:00Z</lastPrinted>
  <dcterms:modified xsi:type="dcterms:W3CDTF">2016-10-14T05:44:00Z</dcterms:modified>
  <revision>2</revision>
  <dc:title>LIETUVOS RESPUBLIKOS SEIMAS</dc:title>
</coreProperties>
</file>