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C01687" w14:textId="187FB2FB" w:rsidR="00C050F3" w:rsidRDefault="00C050F3">
      <w:pPr>
        <w:tabs>
          <w:tab w:val="center" w:pos="4819"/>
          <w:tab w:val="right" w:pos="9638"/>
        </w:tabs>
      </w:pPr>
      <w:bookmarkStart w:id="0" w:name="_GoBack"/>
      <w:bookmarkEnd w:id="0"/>
    </w:p>
    <w:p w14:paraId="29C01688" w14:textId="77777777" w:rsidR="002B4302" w:rsidRDefault="000A65D0">
      <w:pPr>
        <w:ind w:left="7371"/>
        <w:jc w:val="right"/>
        <w:rPr>
          <w:b/>
          <w:szCs w:val="24"/>
          <w:lang w:eastAsia="lt-LT"/>
        </w:rPr>
      </w:pPr>
      <w:r>
        <w:rPr>
          <w:b/>
          <w:szCs w:val="24"/>
          <w:lang w:eastAsia="lt-LT"/>
        </w:rPr>
        <w:t>Projektas</w:t>
      </w:r>
      <w:r w:rsidR="002B4302">
        <w:rPr>
          <w:b/>
          <w:szCs w:val="24"/>
          <w:lang w:eastAsia="lt-LT"/>
        </w:rPr>
        <w:t xml:space="preserve"> </w:t>
      </w:r>
    </w:p>
    <w:p w14:paraId="29C01689" w14:textId="77777777" w:rsidR="00C050F3" w:rsidRDefault="002B4302">
      <w:pPr>
        <w:ind w:left="7371"/>
        <w:jc w:val="right"/>
        <w:rPr>
          <w:b/>
          <w:szCs w:val="24"/>
          <w:lang w:eastAsia="lt-LT"/>
        </w:rPr>
      </w:pPr>
      <w:r>
        <w:rPr>
          <w:b/>
          <w:szCs w:val="24"/>
          <w:lang w:eastAsia="lt-LT"/>
        </w:rPr>
        <w:t>Nr. XVP-864(2)</w:t>
      </w:r>
      <w:r w:rsidR="000A65D0">
        <w:rPr>
          <w:b/>
          <w:szCs w:val="24"/>
          <w:lang w:eastAsia="lt-LT"/>
        </w:rPr>
        <w:t xml:space="preserve"> </w:t>
      </w:r>
    </w:p>
    <w:p w14:paraId="29C0168A" w14:textId="77777777" w:rsidR="00C050F3" w:rsidRDefault="00C050F3">
      <w:pPr>
        <w:jc w:val="right"/>
        <w:rPr>
          <w:caps/>
          <w:sz w:val="22"/>
        </w:rPr>
      </w:pPr>
    </w:p>
    <w:p w14:paraId="29C0168B" w14:textId="77777777" w:rsidR="00C050F3" w:rsidRDefault="000A65D0">
      <w:pPr>
        <w:jc w:val="center"/>
        <w:rPr>
          <w:b/>
          <w:bCs/>
          <w:caps/>
        </w:rPr>
      </w:pPr>
      <w:r>
        <w:rPr>
          <w:b/>
          <w:bCs/>
          <w:caps/>
        </w:rPr>
        <w:t>LIETUVOS RESPUBLIKOS</w:t>
      </w:r>
    </w:p>
    <w:p w14:paraId="7E4BBBAC" w14:textId="26A2651B" w:rsidR="00AC7CC2" w:rsidRDefault="000A65D0">
      <w:pPr>
        <w:jc w:val="center"/>
        <w:rPr>
          <w:b/>
          <w:bCs/>
          <w:caps/>
          <w:szCs w:val="24"/>
        </w:rPr>
      </w:pPr>
      <w:r>
        <w:rPr>
          <w:b/>
          <w:caps/>
        </w:rPr>
        <w:t>PAREIGINĖS ALGOS (ATLYGINIMO) BAZINIO DYDŽIO NUSTATYMO IR ASIGNAVIMŲ DARBO UŽMOKESČIUI PERSKAIČIAVIMO</w:t>
      </w:r>
      <w:r w:rsidR="00AC7CC2">
        <w:rPr>
          <w:b/>
          <w:caps/>
        </w:rPr>
        <w:t xml:space="preserve"> </w:t>
      </w:r>
      <w:r>
        <w:rPr>
          <w:b/>
          <w:caps/>
        </w:rPr>
        <w:t xml:space="preserve">ĮSTATYMO NR. </w:t>
      </w:r>
      <w:r>
        <w:rPr>
          <w:b/>
          <w:bCs/>
          <w:caps/>
          <w:szCs w:val="24"/>
        </w:rPr>
        <w:t>XIV-2011 PAKEITIMO</w:t>
      </w:r>
    </w:p>
    <w:p w14:paraId="29C0168D" w14:textId="3F0D748E" w:rsidR="00C050F3" w:rsidRDefault="000A65D0">
      <w:pPr>
        <w:jc w:val="center"/>
        <w:rPr>
          <w:caps/>
        </w:rPr>
      </w:pPr>
      <w:r>
        <w:rPr>
          <w:b/>
          <w:bCs/>
          <w:caps/>
          <w:szCs w:val="24"/>
        </w:rPr>
        <w:t>ĮSTATYM</w:t>
      </w:r>
      <w:r>
        <w:rPr>
          <w:b/>
          <w:caps/>
        </w:rPr>
        <w:t>AS</w:t>
      </w:r>
    </w:p>
    <w:p w14:paraId="29C0168E" w14:textId="77777777" w:rsidR="00C050F3" w:rsidRPr="00E43B25" w:rsidRDefault="00C050F3">
      <w:pPr>
        <w:jc w:val="center"/>
        <w:rPr>
          <w:caps/>
        </w:rPr>
      </w:pPr>
    </w:p>
    <w:p w14:paraId="29C0168F" w14:textId="77777777" w:rsidR="00C050F3" w:rsidRDefault="000A65D0">
      <w:pPr>
        <w:jc w:val="center"/>
        <w:rPr>
          <w:szCs w:val="24"/>
          <w:lang w:eastAsia="lt-LT"/>
        </w:rPr>
      </w:pPr>
      <w:r>
        <w:rPr>
          <w:szCs w:val="24"/>
          <w:lang w:eastAsia="lt-LT"/>
        </w:rPr>
        <w:t xml:space="preserve">2025 m.                      d. Nr. </w:t>
      </w:r>
    </w:p>
    <w:p w14:paraId="29C01690" w14:textId="77777777" w:rsidR="00C050F3" w:rsidRDefault="000A65D0">
      <w:pPr>
        <w:jc w:val="center"/>
        <w:rPr>
          <w:szCs w:val="24"/>
          <w:lang w:eastAsia="lt-LT"/>
        </w:rPr>
      </w:pPr>
      <w:r>
        <w:rPr>
          <w:szCs w:val="24"/>
          <w:lang w:eastAsia="lt-LT"/>
        </w:rPr>
        <w:t>Vilnius</w:t>
      </w:r>
    </w:p>
    <w:p w14:paraId="29C01691" w14:textId="77777777" w:rsidR="00C050F3" w:rsidRDefault="00C050F3">
      <w:pPr>
        <w:jc w:val="center"/>
        <w:rPr>
          <w:szCs w:val="24"/>
          <w:lang w:eastAsia="lt-LT"/>
        </w:rPr>
      </w:pPr>
    </w:p>
    <w:p w14:paraId="29C01692" w14:textId="6FED305A" w:rsidR="00C050F3" w:rsidRDefault="000A65D0">
      <w:pPr>
        <w:ind w:left="2081" w:hanging="1361"/>
        <w:jc w:val="both"/>
        <w:rPr>
          <w:b/>
          <w:bCs/>
          <w:szCs w:val="24"/>
          <w:lang w:eastAsia="lt-LT"/>
        </w:rPr>
      </w:pPr>
      <w:r>
        <w:rPr>
          <w:b/>
          <w:bCs/>
          <w:szCs w:val="24"/>
          <w:lang w:eastAsia="lt-LT"/>
        </w:rPr>
        <w:t xml:space="preserve">1 straipsnis. </w:t>
      </w:r>
      <w:r>
        <w:rPr>
          <w:b/>
          <w:szCs w:val="24"/>
          <w:lang w:eastAsia="lt-LT"/>
        </w:rPr>
        <w:t xml:space="preserve">Lietuvos Respublikos </w:t>
      </w:r>
      <w:r>
        <w:rPr>
          <w:b/>
          <w:bCs/>
          <w:szCs w:val="24"/>
        </w:rPr>
        <w:t>pareiginės algos (atlyginimo) bazinio dydžio nustatymo ir asignavimų darbo užmokesčiui perskaičiavimo įstatymo Nr. XIV-2011</w:t>
      </w:r>
      <w:r>
        <w:rPr>
          <w:szCs w:val="24"/>
        </w:rPr>
        <w:t xml:space="preserve"> </w:t>
      </w:r>
      <w:r>
        <w:rPr>
          <w:b/>
          <w:szCs w:val="24"/>
          <w:lang w:eastAsia="lt-LT"/>
        </w:rPr>
        <w:t>nauja redakcija</w:t>
      </w:r>
    </w:p>
    <w:p w14:paraId="29C01693" w14:textId="27B5E680" w:rsidR="00C050F3" w:rsidRDefault="000A65D0">
      <w:pPr>
        <w:ind w:firstLine="709"/>
        <w:jc w:val="both"/>
        <w:rPr>
          <w:szCs w:val="24"/>
          <w:lang w:eastAsia="lt-LT"/>
        </w:rPr>
      </w:pPr>
      <w:r>
        <w:rPr>
          <w:szCs w:val="24"/>
          <w:lang w:eastAsia="lt-LT"/>
        </w:rPr>
        <w:t>Pakeisti Lietuvos Respublikos</w:t>
      </w:r>
      <w:r>
        <w:rPr>
          <w:bCs/>
          <w:szCs w:val="24"/>
          <w:lang w:eastAsia="lt-LT"/>
        </w:rPr>
        <w:t xml:space="preserve"> </w:t>
      </w:r>
      <w:r>
        <w:rPr>
          <w:szCs w:val="24"/>
        </w:rPr>
        <w:t xml:space="preserve">pareiginės algos (atlyginimo) bazinio dydžio nustatymo ir asignavimų darbo užmokesčiui perskaičiavimo įstatymą Nr. XIV-2011 </w:t>
      </w:r>
      <w:r>
        <w:rPr>
          <w:szCs w:val="24"/>
          <w:lang w:eastAsia="lt-LT"/>
        </w:rPr>
        <w:t>ir jį išdėstyti taip:</w:t>
      </w:r>
    </w:p>
    <w:p w14:paraId="29C01694" w14:textId="77777777" w:rsidR="00C050F3" w:rsidRDefault="00C050F3" w:rsidP="003E293F">
      <w:pPr>
        <w:jc w:val="center"/>
        <w:rPr>
          <w:b/>
          <w:szCs w:val="24"/>
          <w:lang w:eastAsia="lt-LT"/>
        </w:rPr>
      </w:pPr>
    </w:p>
    <w:p w14:paraId="29C01695" w14:textId="023D4AD3" w:rsidR="00C050F3" w:rsidRDefault="000A65D0">
      <w:pPr>
        <w:jc w:val="center"/>
        <w:rPr>
          <w:b/>
          <w:bCs/>
          <w:caps/>
          <w:szCs w:val="24"/>
          <w:lang w:eastAsia="lt-LT"/>
        </w:rPr>
      </w:pPr>
      <w:r>
        <w:rPr>
          <w:bCs/>
          <w:szCs w:val="24"/>
          <w:lang w:eastAsia="lt-LT"/>
        </w:rPr>
        <w:t>„</w:t>
      </w:r>
      <w:r>
        <w:rPr>
          <w:b/>
          <w:bCs/>
          <w:caps/>
          <w:szCs w:val="24"/>
          <w:lang w:eastAsia="lt-LT"/>
        </w:rPr>
        <w:t>LIETUVOS RESPUBLIKOS</w:t>
      </w:r>
    </w:p>
    <w:p w14:paraId="29C01696" w14:textId="77777777" w:rsidR="00C050F3" w:rsidRDefault="000A65D0">
      <w:pPr>
        <w:jc w:val="center"/>
        <w:rPr>
          <w:b/>
          <w:caps/>
          <w:strike/>
        </w:rPr>
      </w:pPr>
      <w:r>
        <w:rPr>
          <w:b/>
          <w:caps/>
        </w:rPr>
        <w:t>PAREIGINĖS ALGOS (ATLYGINIMO) BAZINIO DYDŽIO NUSTATYMO</w:t>
      </w:r>
    </w:p>
    <w:p w14:paraId="29C01697" w14:textId="77777777" w:rsidR="00C050F3" w:rsidRDefault="000A65D0">
      <w:pPr>
        <w:jc w:val="center"/>
        <w:rPr>
          <w:b/>
          <w:bCs/>
          <w:caps/>
          <w:szCs w:val="24"/>
          <w:lang w:eastAsia="lt-LT"/>
        </w:rPr>
      </w:pPr>
      <w:r>
        <w:rPr>
          <w:b/>
          <w:bCs/>
          <w:caps/>
          <w:szCs w:val="24"/>
          <w:lang w:eastAsia="lt-LT"/>
        </w:rPr>
        <w:t>ĮSTATYMAS</w:t>
      </w:r>
    </w:p>
    <w:p w14:paraId="29C01698" w14:textId="77777777" w:rsidR="00C050F3" w:rsidRDefault="00C050F3">
      <w:pPr>
        <w:jc w:val="center"/>
        <w:rPr>
          <w:b/>
          <w:bCs/>
          <w:caps/>
          <w:szCs w:val="24"/>
          <w:lang w:eastAsia="lt-LT"/>
        </w:rPr>
      </w:pPr>
    </w:p>
    <w:p w14:paraId="29C01699" w14:textId="5FA7AE50" w:rsidR="00C050F3" w:rsidRDefault="000A65D0">
      <w:pPr>
        <w:tabs>
          <w:tab w:val="left" w:pos="916"/>
          <w:tab w:val="left" w:pos="1832"/>
          <w:tab w:val="left" w:pos="2748"/>
          <w:tab w:val="left" w:pos="3664"/>
          <w:tab w:val="left" w:pos="4580"/>
          <w:tab w:val="left" w:pos="5496"/>
          <w:tab w:val="left" w:pos="6412"/>
          <w:tab w:val="left" w:pos="7328"/>
          <w:tab w:val="left" w:pos="8244"/>
          <w:tab w:val="left" w:pos="9498"/>
          <w:tab w:val="left" w:pos="10076"/>
          <w:tab w:val="left" w:pos="10992"/>
          <w:tab w:val="left" w:pos="11908"/>
          <w:tab w:val="left" w:pos="12824"/>
          <w:tab w:val="left" w:pos="13740"/>
          <w:tab w:val="left" w:pos="14656"/>
        </w:tabs>
        <w:ind w:firstLine="720"/>
        <w:jc w:val="both"/>
        <w:rPr>
          <w:szCs w:val="24"/>
          <w:lang w:eastAsia="lt-LT"/>
        </w:rPr>
      </w:pPr>
      <w:r>
        <w:rPr>
          <w:b/>
          <w:bCs/>
          <w:szCs w:val="24"/>
          <w:lang w:eastAsia="lt-LT"/>
        </w:rPr>
        <w:t xml:space="preserve">1 straipsnis. </w:t>
      </w:r>
      <w:r>
        <w:rPr>
          <w:b/>
          <w:szCs w:val="24"/>
          <w:lang w:eastAsia="lt-LT"/>
        </w:rPr>
        <w:t>Įstatymo paskirtis</w:t>
      </w:r>
    </w:p>
    <w:p w14:paraId="29C0169A" w14:textId="1B09C6C3" w:rsidR="00C050F3" w:rsidRDefault="000A65D0">
      <w:pPr>
        <w:tabs>
          <w:tab w:val="left" w:pos="916"/>
          <w:tab w:val="left" w:pos="1832"/>
          <w:tab w:val="left" w:pos="2748"/>
          <w:tab w:val="left" w:pos="3664"/>
          <w:tab w:val="left" w:pos="4580"/>
          <w:tab w:val="left" w:pos="5496"/>
          <w:tab w:val="left" w:pos="6412"/>
          <w:tab w:val="left" w:pos="7328"/>
          <w:tab w:val="left" w:pos="8244"/>
          <w:tab w:val="left" w:pos="9160"/>
          <w:tab w:val="left" w:pos="9498"/>
          <w:tab w:val="left" w:pos="10076"/>
          <w:tab w:val="left" w:pos="10992"/>
          <w:tab w:val="left" w:pos="11908"/>
          <w:tab w:val="left" w:pos="12824"/>
          <w:tab w:val="left" w:pos="13740"/>
          <w:tab w:val="left" w:pos="14656"/>
        </w:tabs>
        <w:ind w:firstLine="720"/>
        <w:jc w:val="both"/>
        <w:rPr>
          <w:szCs w:val="24"/>
          <w:lang w:eastAsia="lt-LT"/>
        </w:rPr>
      </w:pPr>
      <w:r>
        <w:rPr>
          <w:szCs w:val="24"/>
          <w:lang w:eastAsia="lt-LT"/>
        </w:rPr>
        <w:t>Šis įstatymas nustato pareiginės algos (atlyginimo) bazinį dydį ir jo nustatymo tvarką.</w:t>
      </w:r>
    </w:p>
    <w:p w14:paraId="29C0169B" w14:textId="1387E6A3" w:rsidR="00C050F3" w:rsidRDefault="00C050F3">
      <w:pPr>
        <w:tabs>
          <w:tab w:val="left" w:pos="9498"/>
        </w:tabs>
        <w:ind w:firstLine="720"/>
        <w:jc w:val="both"/>
        <w:rPr>
          <w:szCs w:val="24"/>
          <w:lang w:eastAsia="lt-LT"/>
        </w:rPr>
      </w:pPr>
    </w:p>
    <w:p w14:paraId="29C0169C" w14:textId="7C0FB54C" w:rsidR="00C050F3" w:rsidRDefault="000A65D0">
      <w:pPr>
        <w:tabs>
          <w:tab w:val="left" w:pos="9498"/>
        </w:tabs>
        <w:ind w:firstLine="720"/>
        <w:jc w:val="both"/>
        <w:rPr>
          <w:szCs w:val="24"/>
          <w:lang w:eastAsia="lt-LT"/>
        </w:rPr>
      </w:pPr>
      <w:r>
        <w:rPr>
          <w:b/>
          <w:bCs/>
          <w:szCs w:val="24"/>
          <w:lang w:eastAsia="lt-LT"/>
        </w:rPr>
        <w:t xml:space="preserve">2 straipsnis. </w:t>
      </w:r>
      <w:r>
        <w:rPr>
          <w:b/>
          <w:szCs w:val="24"/>
          <w:lang w:eastAsia="lt-LT"/>
        </w:rPr>
        <w:t>Įstatymo taikymas</w:t>
      </w:r>
    </w:p>
    <w:p w14:paraId="29C0169D" w14:textId="44557813" w:rsidR="00C050F3" w:rsidRDefault="000A65D0">
      <w:pPr>
        <w:tabs>
          <w:tab w:val="left" w:pos="1276"/>
          <w:tab w:val="left" w:pos="2748"/>
          <w:tab w:val="left" w:pos="3664"/>
          <w:tab w:val="left" w:pos="4580"/>
          <w:tab w:val="left" w:pos="5496"/>
          <w:tab w:val="left" w:pos="6412"/>
          <w:tab w:val="left" w:pos="7328"/>
          <w:tab w:val="left" w:pos="8244"/>
          <w:tab w:val="left" w:pos="9160"/>
          <w:tab w:val="left" w:pos="9498"/>
          <w:tab w:val="left" w:pos="10076"/>
          <w:tab w:val="left" w:pos="10992"/>
          <w:tab w:val="left" w:pos="11908"/>
          <w:tab w:val="left" w:pos="12824"/>
          <w:tab w:val="left" w:pos="13740"/>
          <w:tab w:val="left" w:pos="14656"/>
        </w:tabs>
        <w:ind w:firstLine="720"/>
        <w:jc w:val="both"/>
        <w:rPr>
          <w:szCs w:val="24"/>
          <w:lang w:eastAsia="lt-LT"/>
        </w:rPr>
      </w:pPr>
      <w:r>
        <w:rPr>
          <w:szCs w:val="24"/>
          <w:lang w:eastAsia="lt-LT"/>
        </w:rPr>
        <w:t xml:space="preserve">Šis įstatymas taikomas apskaičiuojant </w:t>
      </w:r>
      <w:r>
        <w:rPr>
          <w:rFonts w:eastAsia="Cambria"/>
          <w:szCs w:val="24"/>
        </w:rPr>
        <w:t>valstybės politikų, valstybės pareigūnų,</w:t>
      </w:r>
      <w:r>
        <w:rPr>
          <w:szCs w:val="24"/>
          <w:lang w:eastAsia="lt-LT"/>
        </w:rPr>
        <w:t xml:space="preserve"> prokurorų, žvalgybos pareigūnų, Lietuvos Respublikos vadovybės apsaugos tarnybos pareigūnų, Lietuvos Respublikos specialiųjų tyrimų tarnybos pareigūnų, Lietuvos Respublikos Konstitucinio Teismo, bendrosios kompetencijos ir specializuotų teismų teisėjų,</w:t>
      </w:r>
      <w:r>
        <w:rPr>
          <w:rFonts w:eastAsia="Cambria"/>
          <w:szCs w:val="24"/>
        </w:rPr>
        <w:t xml:space="preserve"> </w:t>
      </w:r>
      <w:r>
        <w:rPr>
          <w:szCs w:val="24"/>
          <w:lang w:eastAsia="lt-LT"/>
        </w:rPr>
        <w:t xml:space="preserve">valstybės tarnautojų, įskaitant statutinius valstybės tarnautojus, regionų plėtros tarybų administracijų direktorių ir šių administracijų darbuotojų, valstybės ir savivaldybių biudžetinių įstaigų, finansuojamų iš valstybės biudžeto, savivaldybių biudžetų, Valstybinio socialinio draudimo fondo biudžeto ir kitų valstybės įsteigtų pinigų fondų lėšų, darbuotojų, </w:t>
      </w:r>
      <w:r>
        <w:rPr>
          <w:color w:val="000000"/>
        </w:rPr>
        <w:t xml:space="preserve">viešųjų įstaigų, kurių savininkė ar dalininkė, turinti daugiau negu pusę balsų visuotiniame dalininkų susirinkime, yra valstybė ar savivaldybė, vadovų ir darbuotojų </w:t>
      </w:r>
      <w:r>
        <w:rPr>
          <w:szCs w:val="24"/>
          <w:lang w:eastAsia="lt-LT"/>
        </w:rPr>
        <w:t xml:space="preserve">pareiginę algą (atlyginimą), karių tarnybinį atlyginimą, įstatymų pagrindais sudarytų komisijų </w:t>
      </w:r>
      <w:r>
        <w:rPr>
          <w:szCs w:val="24"/>
        </w:rPr>
        <w:t>(grupių, tarybų, Teisėjų garbės teismo, darbo arbitražo, Lietuvos mokslo tarybos valdybos ir ekspertų komitetų), finansuojamų iš valstybės biudžeto ir savivaldybių biudžetų, pirmininkų, pirmininkų pavaduotojų ir narių atlygį už darbą.</w:t>
      </w:r>
    </w:p>
    <w:p w14:paraId="29C0169E" w14:textId="02185F61" w:rsidR="00C050F3" w:rsidRDefault="00C050F3">
      <w:pPr>
        <w:tabs>
          <w:tab w:val="left" w:pos="851"/>
          <w:tab w:val="left" w:pos="1832"/>
          <w:tab w:val="left" w:pos="2748"/>
          <w:tab w:val="left" w:pos="3664"/>
          <w:tab w:val="left" w:pos="4580"/>
          <w:tab w:val="left" w:pos="5496"/>
          <w:tab w:val="left" w:pos="6412"/>
          <w:tab w:val="left" w:pos="7328"/>
          <w:tab w:val="left" w:pos="8244"/>
          <w:tab w:val="left" w:pos="9160"/>
          <w:tab w:val="left" w:pos="9498"/>
          <w:tab w:val="left" w:pos="10076"/>
          <w:tab w:val="left" w:pos="10992"/>
          <w:tab w:val="left" w:pos="11908"/>
          <w:tab w:val="left" w:pos="12824"/>
          <w:tab w:val="left" w:pos="13740"/>
          <w:tab w:val="left" w:pos="14656"/>
        </w:tabs>
        <w:ind w:firstLine="720"/>
        <w:jc w:val="both"/>
        <w:rPr>
          <w:szCs w:val="24"/>
          <w:lang w:eastAsia="lt-LT"/>
        </w:rPr>
      </w:pPr>
    </w:p>
    <w:p w14:paraId="29C0169F" w14:textId="046C2EF6" w:rsidR="00C050F3" w:rsidRDefault="000A65D0">
      <w:pPr>
        <w:tabs>
          <w:tab w:val="left" w:pos="9498"/>
        </w:tabs>
        <w:ind w:firstLine="720"/>
        <w:jc w:val="both"/>
        <w:rPr>
          <w:szCs w:val="24"/>
          <w:lang w:eastAsia="lt-LT"/>
        </w:rPr>
      </w:pPr>
      <w:r>
        <w:rPr>
          <w:b/>
          <w:bCs/>
          <w:szCs w:val="24"/>
          <w:lang w:eastAsia="lt-LT"/>
        </w:rPr>
        <w:t>3 straipsnis. P</w:t>
      </w:r>
      <w:r>
        <w:rPr>
          <w:b/>
          <w:szCs w:val="24"/>
          <w:lang w:eastAsia="lt-LT"/>
        </w:rPr>
        <w:t>areiginės algos (atlyginimo) bazinis dydis ir jo nustatymo tvarka</w:t>
      </w:r>
    </w:p>
    <w:p w14:paraId="29C016A0" w14:textId="45525096" w:rsidR="00C050F3" w:rsidRDefault="000A65D0">
      <w:pPr>
        <w:ind w:firstLine="720"/>
        <w:jc w:val="both"/>
        <w:rPr>
          <w:rFonts w:eastAsia="Cambria"/>
          <w:szCs w:val="24"/>
        </w:rPr>
      </w:pPr>
      <w:r>
        <w:rPr>
          <w:rFonts w:eastAsia="Cambria"/>
          <w:szCs w:val="24"/>
        </w:rPr>
        <w:t xml:space="preserve">1. Šio įstatymo 2 straipsnyje nurodytų darbuotojų pareiginei algai (atlyginimui) apskaičiuoti taikomas </w:t>
      </w:r>
      <w:r>
        <w:rPr>
          <w:bCs/>
          <w:szCs w:val="24"/>
        </w:rPr>
        <w:t>pareiginės algos (atlyginimo)</w:t>
      </w:r>
      <w:r>
        <w:rPr>
          <w:szCs w:val="24"/>
        </w:rPr>
        <w:t xml:space="preserve"> </w:t>
      </w:r>
      <w:r>
        <w:rPr>
          <w:rFonts w:eastAsia="Cambria"/>
          <w:szCs w:val="24"/>
        </w:rPr>
        <w:t>bazinis dydis 2026 metais – 1798 eurai.</w:t>
      </w:r>
    </w:p>
    <w:p w14:paraId="29C016A1" w14:textId="01EA6453" w:rsidR="00C050F3" w:rsidRDefault="000A65D0">
      <w:pPr>
        <w:ind w:firstLine="720"/>
        <w:jc w:val="both"/>
        <w:rPr>
          <w:rFonts w:eastAsia="Cambria"/>
        </w:rPr>
      </w:pPr>
      <w:r>
        <w:rPr>
          <w:rFonts w:eastAsia="Cambria"/>
        </w:rPr>
        <w:t xml:space="preserve">2. Kiekvienais einamaisiais kalendoriniais metais pareiginės algos (atlyginimo) bazinis dydis, taikytinas nuo kitų kalendorinių metų sausio 1 dienos, nustatomas nacionalinėje kolektyvinėje sutartyje arba jos pakeitime, atsižvelgiant į praėjusių metų vidutinę metinę infliaciją (apskaičiuojant nacionalinį vartotojų kainų indeksą), einamaisiais metais taikomą minimaliosios mėnesinės algos dydį ir kitų vidutinio darbo užmokesčio viešajame sektoriuje dydžiui bei jo kitimui poveikį turinčių veiksnių (ekonominių, socialinių ir darbo rinkos pokyčių) įtaką. Nacionalinėje kolektyvinėje sutartyje sulygtas pareiginės algos (atlyginimo) bazinis dydis tvirtinamas </w:t>
      </w:r>
      <w:r>
        <w:rPr>
          <w:lang w:eastAsia="lt-LT"/>
        </w:rPr>
        <w:t xml:space="preserve">Lietuvos Respublikos </w:t>
      </w:r>
      <w:r w:rsidR="00BB6380">
        <w:rPr>
          <w:lang w:eastAsia="lt-LT"/>
        </w:rPr>
        <w:t xml:space="preserve">tam tikrų </w:t>
      </w:r>
      <w:r>
        <w:rPr>
          <w:lang w:eastAsia="lt-LT"/>
        </w:rPr>
        <w:t xml:space="preserve">metų </w:t>
      </w:r>
      <w:r>
        <w:t>biudžeto patvirtinimo įstatyme</w:t>
      </w:r>
      <w:r>
        <w:rPr>
          <w:rFonts w:eastAsia="Cambria"/>
        </w:rPr>
        <w:t>.</w:t>
      </w:r>
    </w:p>
    <w:p w14:paraId="29C016A2" w14:textId="1817868B" w:rsidR="00C050F3" w:rsidRDefault="000A65D0">
      <w:pPr>
        <w:ind w:firstLine="720"/>
        <w:jc w:val="both"/>
        <w:rPr>
          <w:rFonts w:eastAsia="Cambria"/>
          <w:szCs w:val="24"/>
        </w:rPr>
      </w:pPr>
      <w:r>
        <w:rPr>
          <w:rFonts w:eastAsia="Cambria"/>
          <w:szCs w:val="24"/>
        </w:rPr>
        <w:lastRenderedPageBreak/>
        <w:t xml:space="preserve">3. Jeigu nacionalinėje kolektyvinėje sutartyje arba jos pakeitime nesusitariama dėl </w:t>
      </w:r>
      <w:r>
        <w:rPr>
          <w:rFonts w:eastAsia="Aptos"/>
          <w:lang w:eastAsia="lt-LT"/>
        </w:rPr>
        <w:t>pareiginės algos (atlyginimo) bazinio dydžio</w:t>
      </w:r>
      <w:r>
        <w:rPr>
          <w:rFonts w:eastAsia="Cambria"/>
          <w:szCs w:val="24"/>
        </w:rPr>
        <w:t xml:space="preserve">, jį tvirtina Lietuvos Respublikos Seimas Lietuvos Respublikos </w:t>
      </w:r>
      <w:r w:rsidR="00BB6380">
        <w:rPr>
          <w:rFonts w:eastAsia="Cambria"/>
          <w:szCs w:val="24"/>
        </w:rPr>
        <w:t xml:space="preserve">tam tikrų </w:t>
      </w:r>
      <w:r>
        <w:rPr>
          <w:rFonts w:eastAsia="Cambria"/>
          <w:szCs w:val="24"/>
        </w:rPr>
        <w:t xml:space="preserve">metų biudžeto patvirtinimo įstatyme, </w:t>
      </w:r>
      <w:r>
        <w:rPr>
          <w:color w:val="000000"/>
        </w:rPr>
        <w:t>atsižvelgdamas į šio straipsnio 2 dalyje nurodytus veiksnius</w:t>
      </w:r>
      <w:r>
        <w:rPr>
          <w:rFonts w:eastAsia="Cambria"/>
          <w:szCs w:val="24"/>
        </w:rPr>
        <w:t>.</w:t>
      </w:r>
    </w:p>
    <w:p w14:paraId="29C016A3" w14:textId="745C73BA" w:rsidR="00C050F3" w:rsidRDefault="000A65D0">
      <w:pPr>
        <w:ind w:firstLine="720"/>
        <w:jc w:val="both"/>
        <w:rPr>
          <w:rFonts w:eastAsia="Cambria"/>
          <w:szCs w:val="24"/>
        </w:rPr>
      </w:pPr>
      <w:r>
        <w:rPr>
          <w:rFonts w:eastAsia="Cambria"/>
          <w:szCs w:val="24"/>
        </w:rPr>
        <w:t>4. Pareiginės algos (atlyginimo) bazinis dydis nedidinamas</w:t>
      </w:r>
      <w:r>
        <w:rPr>
          <w:szCs w:val="24"/>
          <w:lang w:eastAsia="lt-LT"/>
        </w:rPr>
        <w:t xml:space="preserve">, jeigu </w:t>
      </w:r>
      <w:r>
        <w:rPr>
          <w:szCs w:val="24"/>
        </w:rPr>
        <w:t xml:space="preserve">dėl </w:t>
      </w:r>
      <w:r>
        <w:rPr>
          <w:szCs w:val="24"/>
          <w:lang w:eastAsia="lt-LT"/>
        </w:rPr>
        <w:t>krizių ar kitų ypatingų aplinkybių iš esmės pablogėja valstybės ekonominė ir finansinė būklė.“</w:t>
      </w:r>
    </w:p>
    <w:p w14:paraId="29C016A4" w14:textId="6CAACFA7" w:rsidR="00C050F3" w:rsidRDefault="00C050F3">
      <w:pPr>
        <w:ind w:firstLine="720"/>
        <w:jc w:val="both"/>
        <w:rPr>
          <w:szCs w:val="24"/>
          <w:lang w:eastAsia="lt-LT"/>
        </w:rPr>
      </w:pPr>
    </w:p>
    <w:p w14:paraId="29C016A5" w14:textId="326EBE88" w:rsidR="00C050F3" w:rsidRDefault="000A65D0">
      <w:pPr>
        <w:spacing w:line="400" w:lineRule="atLeast"/>
        <w:ind w:firstLine="720"/>
        <w:jc w:val="both"/>
        <w:rPr>
          <w:color w:val="000000"/>
          <w:szCs w:val="24"/>
          <w:lang w:eastAsia="lt-LT"/>
        </w:rPr>
      </w:pPr>
      <w:r>
        <w:rPr>
          <w:b/>
          <w:bCs/>
          <w:color w:val="000000"/>
          <w:szCs w:val="24"/>
          <w:lang w:eastAsia="lt-LT"/>
        </w:rPr>
        <w:t>2</w:t>
      </w:r>
      <w:r w:rsidR="00E43B25">
        <w:rPr>
          <w:b/>
          <w:bCs/>
          <w:color w:val="000000"/>
          <w:szCs w:val="24"/>
          <w:lang w:eastAsia="lt-LT"/>
        </w:rPr>
        <w:t xml:space="preserve"> </w:t>
      </w:r>
      <w:r>
        <w:rPr>
          <w:b/>
          <w:bCs/>
          <w:color w:val="000000"/>
          <w:szCs w:val="24"/>
          <w:lang w:eastAsia="lt-LT"/>
        </w:rPr>
        <w:t>straipsnis.</w:t>
      </w:r>
      <w:r w:rsidR="00E43B25">
        <w:rPr>
          <w:b/>
          <w:bCs/>
          <w:color w:val="000000"/>
          <w:szCs w:val="24"/>
          <w:lang w:eastAsia="lt-LT"/>
        </w:rPr>
        <w:t xml:space="preserve"> </w:t>
      </w:r>
      <w:r>
        <w:rPr>
          <w:b/>
          <w:bCs/>
          <w:color w:val="000000"/>
          <w:szCs w:val="24"/>
          <w:lang w:eastAsia="lt-LT"/>
        </w:rPr>
        <w:t>Įstatymo įsigaliojimas ir taikymas</w:t>
      </w:r>
    </w:p>
    <w:p w14:paraId="29C016A6" w14:textId="5D902A64" w:rsidR="00C050F3" w:rsidRDefault="000A65D0">
      <w:pPr>
        <w:ind w:firstLine="720"/>
        <w:jc w:val="both"/>
        <w:rPr>
          <w:szCs w:val="24"/>
          <w:lang w:eastAsia="lt-LT"/>
        </w:rPr>
      </w:pPr>
      <w:r>
        <w:rPr>
          <w:szCs w:val="24"/>
          <w:lang w:eastAsia="lt-LT"/>
        </w:rPr>
        <w:t>1. Šis įstatymas įsigalioja 2026 m. sausio 1</w:t>
      </w:r>
      <w:r w:rsidR="00E43B25">
        <w:rPr>
          <w:szCs w:val="24"/>
          <w:lang w:eastAsia="lt-LT"/>
        </w:rPr>
        <w:t xml:space="preserve"> </w:t>
      </w:r>
      <w:r>
        <w:rPr>
          <w:szCs w:val="24"/>
          <w:lang w:eastAsia="lt-LT"/>
        </w:rPr>
        <w:t>d.</w:t>
      </w:r>
    </w:p>
    <w:p w14:paraId="29C016A7" w14:textId="4A161FA7" w:rsidR="00C050F3" w:rsidRDefault="000A65D0">
      <w:pPr>
        <w:ind w:firstLine="720"/>
        <w:jc w:val="both"/>
        <w:rPr>
          <w:szCs w:val="24"/>
          <w:lang w:eastAsia="lt-LT"/>
        </w:rPr>
      </w:pPr>
      <w:r>
        <w:rPr>
          <w:szCs w:val="24"/>
          <w:lang w:eastAsia="lt-LT"/>
        </w:rPr>
        <w:t xml:space="preserve">2. </w:t>
      </w:r>
      <w:r>
        <w:rPr>
          <w:color w:val="000000"/>
        </w:rPr>
        <w:t>Lietuvos Respublikos įstatymuose ir kituose teisės aktuose nuoroda</w:t>
      </w:r>
      <w:r>
        <w:t xml:space="preserve"> į Lietuvos Respublikos pareiginės algos (atlyginimo) bazinio dydžio nustatymo ir asignavimų darbo užmokesčiui perskaičiavimo įstatymą laikoma nuoroda į Lietuvos Respublikos pareiginės algos (atlyginimo) bazinio dydžio nustatymo įstatymą.</w:t>
      </w:r>
    </w:p>
    <w:p w14:paraId="29C016A8" w14:textId="77777777" w:rsidR="00C050F3" w:rsidRDefault="00C050F3">
      <w:pPr>
        <w:ind w:firstLine="720"/>
        <w:jc w:val="both"/>
      </w:pPr>
    </w:p>
    <w:p w14:paraId="29C016A9" w14:textId="77777777" w:rsidR="00C050F3" w:rsidRDefault="00C050F3">
      <w:pPr>
        <w:ind w:firstLine="720"/>
        <w:jc w:val="both"/>
      </w:pPr>
    </w:p>
    <w:p w14:paraId="29C016AA" w14:textId="04C15BD3" w:rsidR="00C050F3" w:rsidRDefault="00C050F3">
      <w:pPr>
        <w:ind w:firstLine="720"/>
        <w:jc w:val="both"/>
      </w:pPr>
    </w:p>
    <w:p w14:paraId="29C016AB" w14:textId="4A263D13" w:rsidR="00C050F3" w:rsidRDefault="000A65D0">
      <w:pPr>
        <w:ind w:firstLine="720"/>
        <w:jc w:val="both"/>
        <w:rPr>
          <w:i/>
          <w:szCs w:val="24"/>
        </w:rPr>
      </w:pPr>
      <w:r>
        <w:rPr>
          <w:i/>
          <w:szCs w:val="24"/>
        </w:rPr>
        <w:t>Skelbiu šį Lietuvos Respublikos Seimo priimtą įstatymą.</w:t>
      </w:r>
    </w:p>
    <w:p w14:paraId="29C016AC" w14:textId="77777777" w:rsidR="00C050F3" w:rsidRDefault="00C050F3">
      <w:pPr>
        <w:rPr>
          <w:i/>
          <w:szCs w:val="24"/>
        </w:rPr>
      </w:pPr>
    </w:p>
    <w:p w14:paraId="29C016AD" w14:textId="77777777" w:rsidR="00C050F3" w:rsidRDefault="00C050F3">
      <w:pPr>
        <w:rPr>
          <w:i/>
          <w:szCs w:val="24"/>
        </w:rPr>
      </w:pPr>
    </w:p>
    <w:p w14:paraId="29C016AE" w14:textId="77777777" w:rsidR="00C050F3" w:rsidRDefault="00C050F3"/>
    <w:p w14:paraId="29C016AF" w14:textId="2DE3D56E" w:rsidR="00C050F3" w:rsidRDefault="000A65D0">
      <w:pPr>
        <w:tabs>
          <w:tab w:val="right" w:pos="9356"/>
        </w:tabs>
        <w:rPr>
          <w:szCs w:val="24"/>
        </w:rPr>
      </w:pPr>
      <w:r>
        <w:rPr>
          <w:lang w:val="pt-PT"/>
        </w:rPr>
        <w:t>Respublikos Prezidentas</w:t>
      </w:r>
    </w:p>
    <w:sectPr w:rsidR="00C050F3">
      <w:headerReference w:type="even" r:id="rId8"/>
      <w:headerReference w:type="default" r:id="rId9"/>
      <w:footerReference w:type="even" r:id="rId10"/>
      <w:footerReference w:type="default" r:id="rId11"/>
      <w:headerReference w:type="first" r:id="rId12"/>
      <w:footerReference w:type="first" r:id="rId13"/>
      <w:pgSz w:w="11906" w:h="16838"/>
      <w:pgMar w:top="709" w:right="70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C016B3" w14:textId="77777777" w:rsidR="00C050F3" w:rsidRDefault="000A65D0">
      <w:pPr>
        <w:rPr>
          <w:rFonts w:ascii="TimesLT" w:hAnsi="TimesLT"/>
          <w:lang w:val="en-US"/>
        </w:rPr>
      </w:pPr>
      <w:r>
        <w:rPr>
          <w:rFonts w:ascii="TimesLT" w:hAnsi="TimesLT"/>
          <w:lang w:val="en-US"/>
        </w:rPr>
        <w:separator/>
      </w:r>
    </w:p>
  </w:endnote>
  <w:endnote w:type="continuationSeparator" w:id="0">
    <w:p w14:paraId="29C016B4" w14:textId="77777777" w:rsidR="00C050F3" w:rsidRDefault="000A65D0">
      <w:pPr>
        <w:rPr>
          <w:rFonts w:ascii="TimesLT" w:hAnsi="TimesLT"/>
          <w:lang w:val="en-US"/>
        </w:rPr>
      </w:pPr>
      <w:r>
        <w:rPr>
          <w:rFonts w:ascii="TimesLT" w:hAnsi="TimesLT"/>
          <w:lang w:val="en-US"/>
        </w:rPr>
        <w:continuationSeparator/>
      </w:r>
    </w:p>
  </w:endnote>
  <w:endnote w:type="continuationNotice" w:id="1">
    <w:p w14:paraId="29C016B5" w14:textId="77777777" w:rsidR="00C050F3" w:rsidRDefault="00C050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016B9" w14:textId="77777777" w:rsidR="00C050F3" w:rsidRDefault="00C050F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016BA" w14:textId="77777777" w:rsidR="00C050F3" w:rsidRDefault="00C050F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016BC" w14:textId="77777777" w:rsidR="00C050F3" w:rsidRDefault="00C050F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C016B0" w14:textId="77777777" w:rsidR="00C050F3" w:rsidRDefault="000A65D0">
      <w:pPr>
        <w:rPr>
          <w:rFonts w:ascii="TimesLT" w:hAnsi="TimesLT"/>
          <w:lang w:val="en-US"/>
        </w:rPr>
      </w:pPr>
      <w:r>
        <w:rPr>
          <w:rFonts w:ascii="TimesLT" w:hAnsi="TimesLT"/>
          <w:lang w:val="en-US"/>
        </w:rPr>
        <w:separator/>
      </w:r>
    </w:p>
  </w:footnote>
  <w:footnote w:type="continuationSeparator" w:id="0">
    <w:p w14:paraId="29C016B1" w14:textId="77777777" w:rsidR="00C050F3" w:rsidRDefault="000A65D0">
      <w:pPr>
        <w:rPr>
          <w:rFonts w:ascii="TimesLT" w:hAnsi="TimesLT"/>
          <w:lang w:val="en-US"/>
        </w:rPr>
      </w:pPr>
      <w:r>
        <w:rPr>
          <w:rFonts w:ascii="TimesLT" w:hAnsi="TimesLT"/>
          <w:lang w:val="en-US"/>
        </w:rPr>
        <w:continuationSeparator/>
      </w:r>
    </w:p>
  </w:footnote>
  <w:footnote w:type="continuationNotice" w:id="1">
    <w:p w14:paraId="29C016B2" w14:textId="77777777" w:rsidR="00C050F3" w:rsidRDefault="00C050F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016B6" w14:textId="77777777" w:rsidR="00C050F3" w:rsidRDefault="00C050F3">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016B7" w14:textId="77777777" w:rsidR="00C050F3" w:rsidRDefault="000A65D0">
    <w:pPr>
      <w:tabs>
        <w:tab w:val="center" w:pos="4680"/>
        <w:tab w:val="right" w:pos="9360"/>
      </w:tabs>
      <w:jc w:val="center"/>
      <w:rPr>
        <w:rFonts w:ascii="TimesLT" w:hAnsi="TimesLT"/>
        <w:szCs w:val="24"/>
        <w:lang w:val="en-US" w:eastAsia="lt-LT"/>
      </w:rPr>
    </w:pPr>
    <w:r>
      <w:rPr>
        <w:rFonts w:ascii="TimesLT" w:hAnsi="TimesLT"/>
        <w:szCs w:val="24"/>
        <w:lang w:val="en-US" w:eastAsia="lt-LT"/>
      </w:rPr>
      <w:t>2</w:t>
    </w:r>
  </w:p>
  <w:p w14:paraId="29C016B8" w14:textId="77777777" w:rsidR="00C050F3" w:rsidRDefault="00C050F3">
    <w:pPr>
      <w:tabs>
        <w:tab w:val="center" w:pos="4513"/>
        <w:tab w:val="right" w:pos="902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016BB" w14:textId="77777777" w:rsidR="00C050F3" w:rsidRDefault="00C050F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6DB"/>
    <w:rsid w:val="000A65D0"/>
    <w:rsid w:val="001326DB"/>
    <w:rsid w:val="001A4745"/>
    <w:rsid w:val="002B4302"/>
    <w:rsid w:val="003E293F"/>
    <w:rsid w:val="00843E83"/>
    <w:rsid w:val="00AC7538"/>
    <w:rsid w:val="00AC7CC2"/>
    <w:rsid w:val="00AD7F52"/>
    <w:rsid w:val="00B82FFD"/>
    <w:rsid w:val="00BB6380"/>
    <w:rsid w:val="00BB75AC"/>
    <w:rsid w:val="00C050F3"/>
    <w:rsid w:val="00E43B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C01687"/>
  <w15:docId w15:val="{FFB85BCC-E0DD-4DF4-8AB6-A2D50BA67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semiHidden/>
    <w:unhideWhenUsed/>
    <w:rsid w:val="00BB6380"/>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BB638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937841">
      <w:bodyDiv w:val="1"/>
      <w:marLeft w:val="0"/>
      <w:marRight w:val="0"/>
      <w:marTop w:val="0"/>
      <w:marBottom w:val="0"/>
      <w:divBdr>
        <w:top w:val="none" w:sz="0" w:space="0" w:color="auto"/>
        <w:left w:val="none" w:sz="0" w:space="0" w:color="auto"/>
        <w:bottom w:val="none" w:sz="0" w:space="0" w:color="auto"/>
        <w:right w:val="none" w:sz="0" w:space="0" w:color="auto"/>
      </w:divBdr>
      <w:divsChild>
        <w:div w:id="30959811">
          <w:marLeft w:val="0"/>
          <w:marRight w:val="0"/>
          <w:marTop w:val="0"/>
          <w:marBottom w:val="0"/>
          <w:divBdr>
            <w:top w:val="none" w:sz="0" w:space="0" w:color="auto"/>
            <w:left w:val="none" w:sz="0" w:space="0" w:color="auto"/>
            <w:bottom w:val="none" w:sz="0" w:space="0" w:color="auto"/>
            <w:right w:val="none" w:sz="0" w:space="0" w:color="auto"/>
          </w:divBdr>
        </w:div>
        <w:div w:id="859243166">
          <w:marLeft w:val="0"/>
          <w:marRight w:val="0"/>
          <w:marTop w:val="0"/>
          <w:marBottom w:val="0"/>
          <w:divBdr>
            <w:top w:val="none" w:sz="0" w:space="0" w:color="auto"/>
            <w:left w:val="none" w:sz="0" w:space="0" w:color="auto"/>
            <w:bottom w:val="none" w:sz="0" w:space="0" w:color="auto"/>
            <w:right w:val="none" w:sz="0" w:space="0" w:color="auto"/>
          </w:divBdr>
        </w:div>
        <w:div w:id="868026506">
          <w:marLeft w:val="0"/>
          <w:marRight w:val="0"/>
          <w:marTop w:val="0"/>
          <w:marBottom w:val="0"/>
          <w:divBdr>
            <w:top w:val="none" w:sz="0" w:space="0" w:color="auto"/>
            <w:left w:val="none" w:sz="0" w:space="0" w:color="auto"/>
            <w:bottom w:val="none" w:sz="0" w:space="0" w:color="auto"/>
            <w:right w:val="none" w:sz="0" w:space="0" w:color="auto"/>
          </w:divBdr>
        </w:div>
        <w:div w:id="2141067179">
          <w:marLeft w:val="0"/>
          <w:marRight w:val="0"/>
          <w:marTop w:val="0"/>
          <w:marBottom w:val="0"/>
          <w:divBdr>
            <w:top w:val="none" w:sz="0" w:space="0" w:color="auto"/>
            <w:left w:val="none" w:sz="0" w:space="0" w:color="auto"/>
            <w:bottom w:val="none" w:sz="0" w:space="0" w:color="auto"/>
            <w:right w:val="none" w:sz="0" w:space="0" w:color="auto"/>
          </w:divBdr>
        </w:div>
      </w:divsChild>
    </w:div>
    <w:div w:id="596864843">
      <w:bodyDiv w:val="1"/>
      <w:marLeft w:val="0"/>
      <w:marRight w:val="0"/>
      <w:marTop w:val="0"/>
      <w:marBottom w:val="0"/>
      <w:divBdr>
        <w:top w:val="none" w:sz="0" w:space="0" w:color="auto"/>
        <w:left w:val="none" w:sz="0" w:space="0" w:color="auto"/>
        <w:bottom w:val="none" w:sz="0" w:space="0" w:color="auto"/>
        <w:right w:val="none" w:sz="0" w:space="0" w:color="auto"/>
      </w:divBdr>
    </w:div>
    <w:div w:id="779301821">
      <w:bodyDiv w:val="1"/>
      <w:marLeft w:val="0"/>
      <w:marRight w:val="0"/>
      <w:marTop w:val="0"/>
      <w:marBottom w:val="0"/>
      <w:divBdr>
        <w:top w:val="none" w:sz="0" w:space="0" w:color="auto"/>
        <w:left w:val="none" w:sz="0" w:space="0" w:color="auto"/>
        <w:bottom w:val="none" w:sz="0" w:space="0" w:color="auto"/>
        <w:right w:val="none" w:sz="0" w:space="0" w:color="auto"/>
      </w:divBdr>
    </w:div>
    <w:div w:id="1551500448">
      <w:bodyDiv w:val="1"/>
      <w:marLeft w:val="0"/>
      <w:marRight w:val="0"/>
      <w:marTop w:val="0"/>
      <w:marBottom w:val="0"/>
      <w:divBdr>
        <w:top w:val="none" w:sz="0" w:space="0" w:color="auto"/>
        <w:left w:val="none" w:sz="0" w:space="0" w:color="auto"/>
        <w:bottom w:val="none" w:sz="0" w:space="0" w:color="auto"/>
        <w:right w:val="none" w:sz="0" w:space="0" w:color="auto"/>
      </w:divBdr>
      <w:divsChild>
        <w:div w:id="407001139">
          <w:marLeft w:val="0"/>
          <w:marRight w:val="0"/>
          <w:marTop w:val="0"/>
          <w:marBottom w:val="0"/>
          <w:divBdr>
            <w:top w:val="none" w:sz="0" w:space="0" w:color="auto"/>
            <w:left w:val="none" w:sz="0" w:space="0" w:color="auto"/>
            <w:bottom w:val="none" w:sz="0" w:space="0" w:color="auto"/>
            <w:right w:val="none" w:sz="0" w:space="0" w:color="auto"/>
          </w:divBdr>
        </w:div>
        <w:div w:id="577254585">
          <w:marLeft w:val="0"/>
          <w:marRight w:val="0"/>
          <w:marTop w:val="0"/>
          <w:marBottom w:val="0"/>
          <w:divBdr>
            <w:top w:val="none" w:sz="0" w:space="0" w:color="auto"/>
            <w:left w:val="none" w:sz="0" w:space="0" w:color="auto"/>
            <w:bottom w:val="none" w:sz="0" w:space="0" w:color="auto"/>
            <w:right w:val="none" w:sz="0" w:space="0" w:color="auto"/>
          </w:divBdr>
        </w:div>
        <w:div w:id="1094594075">
          <w:marLeft w:val="0"/>
          <w:marRight w:val="0"/>
          <w:marTop w:val="0"/>
          <w:marBottom w:val="0"/>
          <w:divBdr>
            <w:top w:val="none" w:sz="0" w:space="0" w:color="auto"/>
            <w:left w:val="none" w:sz="0" w:space="0" w:color="auto"/>
            <w:bottom w:val="none" w:sz="0" w:space="0" w:color="auto"/>
            <w:right w:val="none" w:sz="0" w:space="0" w:color="auto"/>
          </w:divBdr>
        </w:div>
        <w:div w:id="1334843228">
          <w:marLeft w:val="0"/>
          <w:marRight w:val="0"/>
          <w:marTop w:val="0"/>
          <w:marBottom w:val="0"/>
          <w:divBdr>
            <w:top w:val="none" w:sz="0" w:space="0" w:color="auto"/>
            <w:left w:val="none" w:sz="0" w:space="0" w:color="auto"/>
            <w:bottom w:val="none" w:sz="0" w:space="0" w:color="auto"/>
            <w:right w:val="none" w:sz="0" w:space="0" w:color="auto"/>
          </w:divBdr>
        </w:div>
      </w:divsChild>
    </w:div>
    <w:div w:id="1762678381">
      <w:bodyDiv w:val="1"/>
      <w:marLeft w:val="0"/>
      <w:marRight w:val="0"/>
      <w:marTop w:val="0"/>
      <w:marBottom w:val="0"/>
      <w:divBdr>
        <w:top w:val="none" w:sz="0" w:space="0" w:color="auto"/>
        <w:left w:val="none" w:sz="0" w:space="0" w:color="auto"/>
        <w:bottom w:val="none" w:sz="0" w:space="0" w:color="auto"/>
        <w:right w:val="none" w:sz="0" w:space="0" w:color="auto"/>
      </w:divBdr>
    </w:div>
    <w:div w:id="1776250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d5ea1264d6c4aad86cbc272fc3e2c83" PartId="cdbff1c9e62b486e9b18d32e141621f2">
    <Part Type="straipsnis" Nr="1" Abbr="1 str." Title="Lietuvos Respublikos pareiginės algos (atlyginimo) bazinio dydžio nustatymo ir asignavimų darbo užmokesčiui perskaičiavimo įstatymo Nr. XIV-2011 nauja redakcija" DocPartId="ea593240595040c0892dfdba95df9fa0" PartId="12efb5bfa82844df9602af7d06521d8a">
      <Part Type="strDalis" Nr="1" Abbr="1 str. 1 d." DocPartId="eacdc32368594cb08a940c358385ba6c" PartId="01c7c528b3214a2390d52841384ff0f7">
        <Part Type="citata" DocPartId="0d6afacee07c41129cbe5e31397c5cd4" PartId="2ad5474ca6fc4205b3708b9ac9a0fe06">
          <Part Type="pagrindine" DocPartId="ad05f299265348de90d0b4ca916d4d5b" PartId="f5ab64217db344f7b8532a81537d8ac7">
            <Part Type="straipsnis" Nr="1" Abbr="1 str." Title="Įstatymo paskirtis" DocPartId="7ad0e99c62894e378cc5ec12ff8a013f" PartId="cf73d329569d44439f1ab4c3100be039">
              <Part Type="strDalis" Nr="1" Abbr="1 str. 1 d." DocPartId="22ab22a5b8074a28a2ceb9a155d70db1" PartId="a6cb6d6bbe214fb5b25b9c7f064cf5a2"/>
            </Part>
            <Part Type="straipsnis" Nr="2" Abbr="2 str." Title="Įstatymo taikymas" DocPartId="578e182589244dda8c4437cd342eecbb" PartId="d9fafdcd022a41c9a4680a073e348d56">
              <Part Type="strDalis" Nr="1" Abbr="2 str. 1 d." DocPartId="2248f90d6e3b49ed809434163fccc2df" PartId="4c10b5ff3bd143238da26aeb99841873"/>
            </Part>
            <Part Type="straipsnis" Nr="3" Abbr="3 str." Title="Pareiginės algos (atlyginimo) bazinis dydis" DocPartId="81fec909469844448f5485caa5c2e817" PartId="0453e7ee42874d89a0ede9498e7b580f">
              <Part Type="strDalis" Nr="1" Abbr="3 str. 1 d." DocPartId="de2ea6eba0944e929b4cd4f5be836c95" PartId="12343b4acc1340db8dae5f9f1b538ba6"/>
              <Part Type="strDalis" Nr="2" Abbr="3 str. 2 d." DocPartId="c233880a1868454f99688eda94de4957" PartId="0b629eea466946f4ab7717a905502610"/>
              <Part Type="strDalis" Nr="3" Abbr="3 str. 3 d." DocPartId="6b1f33fd494b4f61add6c784775b9974" PartId="10e74abd430f46c6a210440db51b58c5"/>
              <Part Type="strDalis" Nr="4" Abbr="3 str. 4 d." DocPartId="f7fbe0aec9c143b7b67cd85e5cee05e3" PartId="d7fb42c1efd346768716a057d9d7e3fe"/>
            </Part>
          </Part>
        </Part>
      </Part>
    </Part>
    <Part Type="straipsnis" Nr="2" Abbr="2 str." Title="Įstatymo įsigaliojimas ir taikymas" DocPartId="aeb3d54d059a4c3fb878d70c338e576b" PartId="a51b5e090cab470895315b55c3e63ab9">
      <Part Type="strDalis" Nr="1" Abbr="2 str. 1 d." DocPartId="5bf5779e05b140899359b7a673aed634" PartId="3c3d9e4ecd984b379c0be2302fb2e42a"/>
      <Part Type="strDalis" Nr="2" Abbr="2 str. 2 d." DocPartId="1bbf8265e9e34e4ca981a631409d2b30" PartId="ba5c2caa8fad468488259d21d6bdb942"/>
    </Part>
    <Part Type="signatura" DocPartId="871aea1f074b4712a6e0649841c326b2" PartId="1931b5eea37e40948f282e516970697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B0B89A-30E7-48E3-B1EA-A4EEE5E6EC0A}">
  <ds:schemaRefs>
    <ds:schemaRef ds:uri="http://lrs.lt/TAIS/DocParts"/>
  </ds:schemaRefs>
</ds:datastoreItem>
</file>

<file path=customXml/itemProps2.xml><?xml version="1.0" encoding="utf-8"?>
<ds:datastoreItem xmlns:ds="http://schemas.openxmlformats.org/officeDocument/2006/customXml" ds:itemID="{94A310E7-4953-486D-A45F-75ED40FCB015}">
  <ds:schemaRefs>
    <ds:schemaRef ds:uri="http://schemas.openxmlformats.org/officeDocument/2006/bibliography"/>
  </ds:schemaRefs>
</ds:datastoreItem>
</file>

<file path=docMetadata/LabelInfo.xml><?xml version="1.0" encoding="utf-8"?>
<clbl:labelList xmlns:clbl="http://schemas.microsoft.com/office/2020/mipLabelMetadata">
  <clbl:label id="{6062c8a2-d353-46c2-92d8-0dd75d1f4b63}" enabled="0" method="" siteId="{6062c8a2-d353-46c2-92d8-0dd75d1f4b63}" removed="1"/>
</clbl:labelList>
</file>

<file path=docProps/app.xml><?xml version="1.0" encoding="utf-8"?>
<Properties xmlns="http://schemas.openxmlformats.org/officeDocument/2006/extended-properties" xmlns:vt="http://schemas.openxmlformats.org/officeDocument/2006/docPropsVTypes">
  <Template>Normal</Template>
  <TotalTime>22</TotalTime>
  <Pages>2</Pages>
  <Words>461</Words>
  <Characters>3500</Characters>
  <Application>Microsoft Office Word</Application>
  <DocSecurity>0</DocSecurity>
  <Lines>29</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3954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KAZLAUSKAITĖ Gita</cp:lastModifiedBy>
  <cp:revision>12</cp:revision>
  <cp:lastPrinted>2025-10-21T11:02:00Z</cp:lastPrinted>
  <dcterms:created xsi:type="dcterms:W3CDTF">2025-10-21T11:00:00Z</dcterms:created>
  <dcterms:modified xsi:type="dcterms:W3CDTF">2025-11-12T09:45:00Z</dcterms:modified>
</cp:coreProperties>
</file>