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ec79429e124d4f37982024440d5937a0"/>
        <w:lock w:val="sdtLocked"/>
        <w:richText/>
      </w:sdtPr>
      <w:sdtContent>
        <w:p w14:paraId="22687DA7" w14:textId="77777777">
          <w:pPr>
            <w:tabs>
              <w:tab w:val="center" w:pos="4819"/>
              <w:tab w:val="right" w:pos="9638"/>
            </w:tabs>
            <w:suppressAutoHyphens/>
            <w:rPr>
              <w:rFonts w:cs="Calibri"/>
              <w:lang w:val="en-GB" w:eastAsia="ar-SA"/>
            </w:rPr>
          </w:pPr>
        </w:p>
        <w:p w14:paraId="6E973F26" w14:textId="651DFB2B">
          <w:pPr>
            <w:tabs>
              <w:tab w:val="center" w:pos="4819"/>
              <w:tab w:val="right" w:pos="9638"/>
            </w:tabs>
            <w:suppressAutoHyphens/>
            <w:jc w:val="right"/>
            <w:rPr>
              <w:rFonts w:cs="Calibri"/>
              <w:b/>
              <w:bCs/>
              <w:lang w:eastAsia="ar-SA"/>
            </w:rPr>
          </w:pPr>
          <w:r>
            <w:rPr>
              <w:rFonts w:cs="Calibri"/>
              <w:b/>
              <w:bCs/>
              <w:lang w:eastAsia="ar-SA"/>
            </w:rPr>
            <w:t>Projektas</w:t>
          </w:r>
        </w:p>
        <w:p w14:paraId="1171C66D" w14:textId="77777777">
          <w:pPr>
            <w:suppressAutoHyphens/>
            <w:jc w:val="right"/>
            <w:rPr>
              <w:rFonts w:cs="Calibri"/>
              <w:lang w:val="en-US" w:eastAsia="ar-SA"/>
            </w:rPr>
          </w:pPr>
        </w:p>
        <w:p w14:paraId="578C049C" w14:textId="2F1A9761">
          <w:pPr>
            <w:keepNext/>
            <w:tabs>
              <w:tab w:val="num" w:pos="432"/>
            </w:tabs>
            <w:suppressAutoHyphens/>
            <w:ind w:left="432" w:hanging="432"/>
            <w:jc w:val="center"/>
            <w:rPr>
              <w:b/>
              <w:bCs/>
              <w:szCs w:val="24"/>
              <w:lang w:eastAsia="ar-SA"/>
            </w:rPr>
          </w:pPr>
          <w:r>
            <w:rPr>
              <w:b/>
              <w:bCs/>
              <w:szCs w:val="24"/>
              <w:lang w:eastAsia="ar-SA"/>
            </w:rPr>
            <w:t>ŠIAULIŲ MIESTO SAVIVALDYBĖS TARYBA</w:t>
          </w:r>
        </w:p>
        <w:p w14:paraId="3199BDF3" w14:textId="77777777">
          <w:pPr>
            <w:suppressAutoHyphens/>
            <w:jc w:val="center"/>
            <w:rPr>
              <w:rFonts w:cs="Calibri"/>
              <w:szCs w:val="24"/>
              <w:lang w:eastAsia="ar-SA"/>
            </w:rPr>
          </w:pPr>
        </w:p>
        <w:p w14:paraId="7218CE9E" w14:textId="77777777">
          <w:pPr>
            <w:keepNext/>
            <w:tabs>
              <w:tab w:val="num" w:pos="432"/>
            </w:tabs>
            <w:suppressAutoHyphens/>
            <w:ind w:left="432" w:hanging="432"/>
            <w:jc w:val="center"/>
            <w:rPr>
              <w:b/>
              <w:bCs/>
              <w:szCs w:val="24"/>
              <w:lang w:eastAsia="ar-SA"/>
            </w:rPr>
          </w:pPr>
          <w:r>
            <w:rPr>
              <w:b/>
              <w:bCs/>
              <w:szCs w:val="24"/>
              <w:lang w:eastAsia="ar-SA"/>
            </w:rPr>
            <w:t>SPRENDIMAS</w:t>
          </w:r>
        </w:p>
        <w:p w14:paraId="3CBB7E35" w14:textId="4174A899">
          <w:pPr>
            <w:keepNext/>
            <w:tabs>
              <w:tab w:val="left" w:pos="1296"/>
            </w:tabs>
            <w:suppressAutoHyphens/>
            <w:ind w:left="432"/>
            <w:jc w:val="center"/>
            <w:rPr>
              <w:b/>
              <w:bCs/>
              <w:szCs w:val="24"/>
              <w:lang w:eastAsia="ar-SA"/>
            </w:rPr>
          </w:pPr>
          <w:r>
            <w:rPr>
              <w:b/>
              <w:bCs/>
              <w:szCs w:val="24"/>
              <w:lang w:eastAsia="ar-SA"/>
            </w:rPr>
            <w:t>DĖL ŠIAULIŲ MIESTO SAVIVALDYBĖS NEVEIKSNIŲ ASMENŲ BŪKLĖS PERŽIŪRĖJIMO KOMISIJOS SUDĖTIES IR NUOSTATŲ PAVIRTINIMO</w:t>
          </w:r>
        </w:p>
        <w:p w14:paraId="7FE58600" w14:textId="77777777">
          <w:pPr>
            <w:suppressAutoHyphens/>
            <w:rPr>
              <w:rFonts w:cs="Calibri"/>
              <w:szCs w:val="24"/>
              <w:lang w:eastAsia="ar-SA"/>
            </w:rPr>
          </w:pPr>
        </w:p>
        <w:p w14:paraId="0BB94481" w14:textId="33BDC59E">
          <w:pPr>
            <w:suppressAutoHyphens/>
            <w:jc w:val="center"/>
            <w:rPr>
              <w:rFonts w:cs="Calibri"/>
              <w:szCs w:val="24"/>
              <w:lang w:eastAsia="ar-SA"/>
            </w:rPr>
          </w:pPr>
          <w:r>
            <w:rPr>
              <w:rFonts w:cs="Calibri"/>
              <w:szCs w:val="24"/>
              <w:lang w:eastAsia="ar-SA"/>
            </w:rPr>
            <w:t>2023 m. _________d. Nr. T-____</w:t>
          </w:r>
        </w:p>
        <w:p w14:paraId="3564F90D" w14:textId="27127FB0">
          <w:pPr>
            <w:suppressAutoHyphens/>
            <w:jc w:val="center"/>
            <w:rPr>
              <w:rFonts w:cs="Calibri"/>
              <w:szCs w:val="24"/>
              <w:lang w:eastAsia="ar-SA"/>
            </w:rPr>
          </w:pPr>
          <w:r>
            <w:rPr>
              <w:rFonts w:cs="Calibri"/>
              <w:szCs w:val="24"/>
              <w:lang w:eastAsia="ar-SA"/>
            </w:rPr>
            <w:t>Šiauliai</w:t>
          </w:r>
        </w:p>
        <w:p w14:paraId="7DB332CC" w14:textId="77777777">
          <w:pPr>
            <w:suppressAutoHyphens/>
            <w:jc w:val="both"/>
            <w:rPr>
              <w:rFonts w:cs="Calibri"/>
              <w:szCs w:val="24"/>
              <w:lang w:eastAsia="ar-SA"/>
            </w:rPr>
          </w:pPr>
        </w:p>
        <w:sdt>
          <w:sdtPr>
            <w:alias w:val="preambule"/>
            <w:tag w:val="part_f7f99b7a55b9411a837e35bb90355efc"/>
            <w:lock w:val="sdtLocked"/>
            <w:richText/>
          </w:sdtPr>
          <w:sdtContent>
            <w:p w14:paraId="159E1B8C" w14:textId="3EC84F53">
              <w:pPr>
                <w:ind w:firstLine="737"/>
                <w:jc w:val="both"/>
                <w:rPr>
                  <w:rFonts w:cs="Calibri"/>
                  <w:color w:val="00B0F0"/>
                  <w:szCs w:val="24"/>
                  <w:lang w:eastAsia="ar-SA"/>
                </w:rPr>
              </w:pPr>
              <w:r>
                <w:rPr>
                  <w:rFonts w:cs="Calibri"/>
                  <w:szCs w:val="24"/>
                  <w:lang w:eastAsia="ar-SA"/>
                </w:rPr>
                <w:t xml:space="preserve">Vadovaudamasi Lietuvos Respublikos vietos savivaldos įstatymo 7 straipsnio 33 punktu, 15 straipsnio 2 dalies 4 punktu ir 4 dalimi, Lietuvos Respublikos civilinio kodekso 2.10¹ straipsniu, Lietuvos Respublikos Vyriausybės 2015 m. spalio 26 d. nutarimu Nr. 1123 „Dėl Neveiksnių asmenų būklės peržiūrėjimo komisijų pavyzdinių nuostatų patvirtinimo“ ir esant Olgos Rimovskajos, Ritos Šukienės ir Edvardo Kuviko rašytiniams sutikimams, Šiaulių miesto savivaldybės taryba </w:t>
              </w:r>
              <w:r>
                <w:rPr>
                  <w:rFonts w:cs="Calibri"/>
                  <w:spacing w:val="50"/>
                  <w:szCs w:val="24"/>
                  <w:lang w:eastAsia="ar-SA"/>
                </w:rPr>
                <w:t>nusprendžia</w:t>
              </w:r>
              <w:r>
                <w:rPr>
                  <w:rFonts w:cs="Calibri"/>
                  <w:spacing w:val="40"/>
                  <w:szCs w:val="24"/>
                  <w:lang w:eastAsia="ar-SA"/>
                </w:rPr>
                <w:t>:</w:t>
              </w:r>
            </w:p>
          </w:sdtContent>
        </w:sdt>
        <w:sdt>
          <w:sdtPr>
            <w:alias w:val="1 p."/>
            <w:tag w:val="part_3f2274037d844ee790dec78da60f7fd3"/>
            <w:lock w:val="sdtLocked"/>
            <w:richText/>
          </w:sdtPr>
          <w:sdtContent>
            <w:p w14:paraId="7966C307" w14:textId="77777777">
              <w:pPr>
                <w:ind w:firstLine="799"/>
                <w:jc w:val="both"/>
                <w:rPr>
                  <w:color w:val="00B0F0"/>
                  <w:szCs w:val="24"/>
                  <w:lang w:eastAsia="ar-SA"/>
                </w:rPr>
              </w:pPr>
              <w:sdt>
                <w:sdtPr>
                  <w:alias w:val="Numeris"/>
                  <w:tag w:val="nr_3f2274037d844ee790dec78da60f7fd3"/>
                  <w:lock w:val="sdtLocked"/>
                  <w:richText/>
                </w:sdtPr>
                <w:sdtContent>
                  <w:r>
                    <w:rPr>
                      <w:rFonts w:cs="Calibri"/>
                      <w:szCs w:val="24"/>
                      <w:lang w:eastAsia="ar-SA"/>
                    </w:rPr>
                    <w:t>1</w:t>
                  </w:r>
                </w:sdtContent>
              </w:sdt>
              <w:r>
                <w:rPr>
                  <w:rFonts w:cs="Calibri"/>
                  <w:szCs w:val="24"/>
                  <w:lang w:eastAsia="ar-SA"/>
                </w:rPr>
                <w:t xml:space="preserve">. </w:t>
              </w:r>
              <w:r>
                <w:rPr>
                  <w:szCs w:val="24"/>
                  <w:lang w:eastAsia="ar-SA"/>
                </w:rPr>
                <w:t>Sudaryti Šiaulių miesto savivaldybės 2023–2027 metų kadencijos laikotarpiui tokios sudėties Šiaulių miesto savivaldybės neveiksnių asmenų būklės peržiūrėjimo komisiją:</w:t>
              </w:r>
            </w:p>
            <w:sdt>
              <w:sdtPr>
                <w:alias w:val="1.1 pp."/>
                <w:tag w:val="part_73c134a81412405eb731880aff6baeca"/>
                <w:lock w:val="sdtLocked"/>
                <w:richText/>
              </w:sdtPr>
              <w:sdtContent>
                <w:p w14:paraId="008783FA" w14:textId="49DC3249">
                  <w:pPr>
                    <w:ind w:firstLine="737"/>
                    <w:jc w:val="both"/>
                    <w:rPr>
                      <w:color w:val="00B0F0"/>
                      <w:szCs w:val="24"/>
                      <w:lang w:eastAsia="ar-SA"/>
                    </w:rPr>
                  </w:pPr>
                  <w:sdt>
                    <w:sdtPr>
                      <w:alias w:val="Numeris"/>
                      <w:tag w:val="nr_73c134a81412405eb731880aff6baeca"/>
                      <w:lock w:val="sdtLocked"/>
                      <w:richText/>
                    </w:sdtPr>
                    <w:sdtContent>
                      <w:r>
                        <w:rPr>
                          <w:szCs w:val="24"/>
                          <w:lang w:eastAsia="ar-SA"/>
                        </w:rPr>
                        <w:t>1.1</w:t>
                      </w:r>
                    </w:sdtContent>
                  </w:sdt>
                  <w:r>
                    <w:rPr>
                      <w:szCs w:val="24"/>
                      <w:lang w:eastAsia="ar-SA"/>
                    </w:rPr>
                    <w:t>. Kristina Strupienė – laikinai einanti Šiaulių miesto savivaldybės administracijos Sveikatos skyriaus savivaldybės gydytojos (vedėjos) pareigas (komisijos pirmininkė);</w:t>
                  </w:r>
                </w:p>
              </w:sdtContent>
            </w:sdt>
            <w:sdt>
              <w:sdtPr>
                <w:alias w:val="1.2 pp."/>
                <w:tag w:val="part_c6ac12b5c219440e9e74cb615b4ae94d"/>
                <w:lock w:val="sdtLocked"/>
                <w:richText/>
              </w:sdtPr>
              <w:sdtContent>
                <w:p w14:paraId="76440C0F" w14:textId="57E43AF4">
                  <w:pPr>
                    <w:ind w:firstLine="737"/>
                    <w:jc w:val="both"/>
                    <w:rPr>
                      <w:szCs w:val="24"/>
                      <w:lang w:eastAsia="ar-SA"/>
                    </w:rPr>
                  </w:pPr>
                  <w:sdt>
                    <w:sdtPr>
                      <w:alias w:val="Numeris"/>
                      <w:tag w:val="nr_c6ac12b5c219440e9e74cb615b4ae94d"/>
                      <w:lock w:val="sdtLocked"/>
                      <w:richText/>
                    </w:sdtPr>
                    <w:sdtContent>
                      <w:r>
                        <w:rPr>
                          <w:szCs w:val="24"/>
                          <w:lang w:eastAsia="ar-SA"/>
                        </w:rPr>
                        <w:t>1.2</w:t>
                      </w:r>
                    </w:sdtContent>
                  </w:sdt>
                  <w:r>
                    <w:rPr>
                      <w:szCs w:val="24"/>
                      <w:lang w:eastAsia="ar-SA"/>
                    </w:rPr>
                    <w:t>. Edvardas Kuvikas – Lietuvos žmogaus teisių gynimo asociacijos komiteto narys, Šiaurės Lietuvos žmogaus teisių atstovybės vadovas;</w:t>
                  </w:r>
                </w:p>
              </w:sdtContent>
            </w:sdt>
            <w:sdt>
              <w:sdtPr>
                <w:alias w:val="1.3 pp."/>
                <w:tag w:val="part_c12b49149d994b679d78593004bb2071"/>
                <w:lock w:val="sdtLocked"/>
                <w:richText/>
              </w:sdtPr>
              <w:sdtContent>
                <w:p w14:paraId="787DA7FC" w14:textId="1BFCE7E3">
                  <w:pPr>
                    <w:ind w:firstLine="737"/>
                    <w:jc w:val="both"/>
                    <w:rPr>
                      <w:color w:val="00B0F0"/>
                      <w:szCs w:val="24"/>
                      <w:lang w:eastAsia="ar-SA"/>
                    </w:rPr>
                  </w:pPr>
                  <w:sdt>
                    <w:sdtPr>
                      <w:alias w:val="Numeris"/>
                      <w:tag w:val="nr_c12b49149d994b679d78593004bb2071"/>
                      <w:lock w:val="sdtLocked"/>
                      <w:richText/>
                    </w:sdtPr>
                    <w:sdtContent>
                      <w:r>
                        <w:rPr>
                          <w:szCs w:val="24"/>
                          <w:lang w:eastAsia="ar-SA"/>
                        </w:rPr>
                        <w:t>1.3</w:t>
                      </w:r>
                    </w:sdtContent>
                  </w:sdt>
                  <w:r>
                    <w:rPr>
                      <w:szCs w:val="24"/>
                      <w:lang w:eastAsia="ar-SA"/>
                    </w:rPr>
                    <w:t>. Jūratė Prielaidienė – Šiaulių miesto savivaldybės administracijos Teisės skyriaus vyriausioji specialistė;</w:t>
                  </w:r>
                </w:p>
              </w:sdtContent>
            </w:sdt>
            <w:sdt>
              <w:sdtPr>
                <w:alias w:val="1.4 pp."/>
                <w:tag w:val="part_769788c664c7424f9eb0138e73976eb5"/>
                <w:lock w:val="sdtLocked"/>
                <w:richText/>
              </w:sdtPr>
              <w:sdtContent>
                <w:p w14:paraId="69CAEE8E" w14:textId="776F1B2E">
                  <w:pPr>
                    <w:ind w:firstLine="737"/>
                    <w:jc w:val="both"/>
                    <w:rPr>
                      <w:color w:val="00B0F0"/>
                      <w:szCs w:val="24"/>
                      <w:lang w:eastAsia="ar-SA"/>
                    </w:rPr>
                  </w:pPr>
                  <w:sdt>
                    <w:sdtPr>
                      <w:alias w:val="Numeris"/>
                      <w:tag w:val="nr_769788c664c7424f9eb0138e73976eb5"/>
                      <w:lock w:val="sdtLocked"/>
                      <w:richText/>
                    </w:sdtPr>
                    <w:sdtContent>
                      <w:r>
                        <w:rPr>
                          <w:szCs w:val="24"/>
                          <w:lang w:eastAsia="ar-SA"/>
                        </w:rPr>
                        <w:t>1.4</w:t>
                      </w:r>
                    </w:sdtContent>
                  </w:sdt>
                  <w:r>
                    <w:rPr>
                      <w:szCs w:val="24"/>
                      <w:lang w:eastAsia="ar-SA"/>
                    </w:rPr>
                    <w:t>. Olga Rimovskaja – UAB Šiaulių Psichikos sveikatos centro direktorė;</w:t>
                  </w:r>
                </w:p>
              </w:sdtContent>
            </w:sdt>
            <w:sdt>
              <w:sdtPr>
                <w:alias w:val="1.5 pp."/>
                <w:tag w:val="part_badae7b3ee8248a8aad7a95a31447810"/>
                <w:lock w:val="sdtLocked"/>
                <w:richText/>
              </w:sdtPr>
              <w:sdtContent>
                <w:p w14:paraId="571D6F18" w14:textId="55F73A91">
                  <w:pPr>
                    <w:ind w:firstLine="737"/>
                    <w:jc w:val="both"/>
                    <w:rPr>
                      <w:szCs w:val="24"/>
                      <w:lang w:eastAsia="ar-SA"/>
                    </w:rPr>
                  </w:pPr>
                  <w:sdt>
                    <w:sdtPr>
                      <w:alias w:val="Numeris"/>
                      <w:tag w:val="nr_badae7b3ee8248a8aad7a95a31447810"/>
                      <w:lock w:val="sdtLocked"/>
                      <w:richText/>
                    </w:sdtPr>
                    <w:sdtContent>
                      <w:r>
                        <w:rPr>
                          <w:szCs w:val="24"/>
                          <w:lang w:eastAsia="ar-SA"/>
                        </w:rPr>
                        <w:t>1.5</w:t>
                      </w:r>
                    </w:sdtContent>
                  </w:sdt>
                  <w:r>
                    <w:rPr>
                      <w:szCs w:val="24"/>
                      <w:lang w:eastAsia="ar-SA"/>
                    </w:rPr>
                    <w:t>. Rita Šukienė – viešosios įstaigos Dainų pirminės sveikatos priežiūros centro Psichikos sveikatos centro socialinė darbuotoja.</w:t>
                  </w:r>
                </w:p>
              </w:sdtContent>
            </w:sdt>
          </w:sdtContent>
        </w:sdt>
        <w:sdt>
          <w:sdtPr>
            <w:alias w:val="2 p."/>
            <w:tag w:val="part_4809aac0e79549348ce5f2fec6ffb59e"/>
            <w:lock w:val="sdtLocked"/>
            <w:richText/>
          </w:sdtPr>
          <w:sdtContent>
            <w:p w14:paraId="3485208C" w14:textId="6E298745">
              <w:pPr>
                <w:ind w:firstLine="737"/>
                <w:jc w:val="both"/>
                <w:rPr>
                  <w:color w:val="FF0000"/>
                  <w:szCs w:val="24"/>
                  <w:lang w:eastAsia="ar-SA"/>
                </w:rPr>
              </w:pPr>
              <w:sdt>
                <w:sdtPr>
                  <w:alias w:val="Numeris"/>
                  <w:tag w:val="nr_4809aac0e79549348ce5f2fec6ffb59e"/>
                  <w:lock w:val="sdtLocked"/>
                  <w:richText/>
                </w:sdtPr>
                <w:sdtContent>
                  <w:r>
                    <w:rPr>
                      <w:szCs w:val="24"/>
                      <w:lang w:eastAsia="ar-SA"/>
                    </w:rPr>
                    <w:t>2</w:t>
                  </w:r>
                </w:sdtContent>
              </w:sdt>
              <w:r>
                <w:rPr>
                  <w:szCs w:val="24"/>
                  <w:lang w:eastAsia="ar-SA"/>
                </w:rPr>
                <w:t>. Patvirtinti Šiaulių miesto savivaldybės neveiksnių asmenų būklės peržiūrėjimo komisijos nuostatus (pridedama).</w:t>
              </w:r>
            </w:p>
          </w:sdtContent>
        </w:sdt>
        <w:sdt>
          <w:sdtPr>
            <w:alias w:val="3 p."/>
            <w:tag w:val="part_f12a01ecc02849d08a7605756a779148"/>
            <w:lock w:val="sdtLocked"/>
            <w:richText/>
          </w:sdtPr>
          <w:sdtContent>
            <w:p w14:paraId="5DA5F003" w14:textId="7EE9AAB3">
              <w:pPr>
                <w:ind w:firstLine="737"/>
                <w:jc w:val="both"/>
                <w:rPr>
                  <w:szCs w:val="24"/>
                  <w:lang w:eastAsia="ar-SA"/>
                </w:rPr>
              </w:pPr>
              <w:sdt>
                <w:sdtPr>
                  <w:alias w:val="Numeris"/>
                  <w:tag w:val="nr_f12a01ecc02849d08a7605756a779148"/>
                  <w:lock w:val="sdtLocked"/>
                  <w:richText/>
                </w:sdtPr>
                <w:sdtContent>
                  <w:r>
                    <w:rPr>
                      <w:szCs w:val="24"/>
                      <w:lang w:eastAsia="ar-SA"/>
                    </w:rPr>
                    <w:t>3</w:t>
                  </w:r>
                </w:sdtContent>
              </w:sdt>
              <w:r>
                <w:rPr>
                  <w:szCs w:val="24"/>
                  <w:lang w:eastAsia="ar-SA"/>
                </w:rPr>
                <w:t>. Pavesti Šiaulių miesto savivaldybės administracijos direktoriui paskirti Šiaulių miesto savivaldybės neveiksnių asmenų būklės peržiūrėjimo komisijos sekretorių.</w:t>
              </w:r>
            </w:p>
          </w:sdtContent>
        </w:sdt>
        <w:sdt>
          <w:sdtPr>
            <w:alias w:val="4 p."/>
            <w:tag w:val="part_a6bc8ef81c47414a83f5dec5f373f4ba"/>
            <w:lock w:val="sdtLocked"/>
            <w:richText/>
          </w:sdtPr>
          <w:sdtContent>
            <w:p w14:paraId="7D322311" w14:textId="5F78EE85">
              <w:pPr>
                <w:ind w:firstLine="737"/>
                <w:jc w:val="both"/>
                <w:rPr>
                  <w:szCs w:val="24"/>
                  <w:lang w:eastAsia="ar-SA"/>
                </w:rPr>
              </w:pPr>
              <w:sdt>
                <w:sdtPr>
                  <w:alias w:val="Numeris"/>
                  <w:tag w:val="nr_a6bc8ef81c47414a83f5dec5f373f4ba"/>
                  <w:lock w:val="sdtLocked"/>
                  <w:richText/>
                </w:sdtPr>
                <w:sdtContent>
                  <w:r>
                    <w:rPr>
                      <w:szCs w:val="24"/>
                      <w:lang w:eastAsia="ar-SA"/>
                    </w:rPr>
                    <w:t>4</w:t>
                  </w:r>
                </w:sdtContent>
              </w:sdt>
              <w:r>
                <w:rPr>
                  <w:szCs w:val="24"/>
                  <w:lang w:eastAsia="ar-SA"/>
                </w:rPr>
                <w:t>. Nurodyti, kad Šiaulių miesto savivaldybės administracijos darbuotojo nesant darbe, jo pareigas Komisijoje eina ir balso teisę turi jį pavaduojantis asmuo, jeigu pavadavimas įformintas Šiaulių miesto savivaldybės administracijos direktoriaus įsakymu.</w:t>
              </w:r>
            </w:p>
          </w:sdtContent>
        </w:sdt>
        <w:sdt>
          <w:sdtPr>
            <w:alias w:val="5 p."/>
            <w:tag w:val="part_68467bde334343689678cab10b2f6c90"/>
            <w:lock w:val="sdtLocked"/>
            <w:richText/>
          </w:sdtPr>
          <w:sdtContent>
            <w:p w14:paraId="4D45673C" w14:textId="37E13879">
              <w:pPr>
                <w:ind w:firstLine="737"/>
                <w:jc w:val="both"/>
                <w:rPr>
                  <w:szCs w:val="24"/>
                  <w:lang w:eastAsia="ar-SA"/>
                </w:rPr>
              </w:pPr>
              <w:sdt>
                <w:sdtPr>
                  <w:alias w:val="Numeris"/>
                  <w:tag w:val="nr_68467bde334343689678cab10b2f6c90"/>
                  <w:lock w:val="sdtLocked"/>
                  <w:richText/>
                </w:sdtPr>
                <w:sdtContent>
                  <w:r>
                    <w:rPr>
                      <w:szCs w:val="24"/>
                      <w:lang w:eastAsia="ar-SA"/>
                    </w:rPr>
                    <w:t>5</w:t>
                  </w:r>
                </w:sdtContent>
              </w:sdt>
              <w:r>
                <w:rPr>
                  <w:szCs w:val="24"/>
                  <w:lang w:eastAsia="ar-SA"/>
                </w:rPr>
                <w:t>. Pripažinti netekusiu galios Šiaulių miesto savivaldybės tarybos 2017 m. vasario 10 d. sprendimą Nr. T-13 „Dėl Šiaulių miesto savivaldybės neveiksnių asmenų būklės peržiūrėjimo komisijos sudėties ir nuostatų patvirtinimo“ su visais pakeitimais ir papildymais.</w:t>
              </w:r>
            </w:p>
            <w:p w14:paraId="3B032DBF" w14:textId="06962E6C">
              <w:pPr>
                <w:suppressAutoHyphens/>
                <w:ind w:firstLine="567"/>
                <w:jc w:val="both"/>
                <w:rPr>
                  <w:szCs w:val="24"/>
                  <w:lang w:eastAsia="ar-SA"/>
                </w:rPr>
              </w:pPr>
              <w:r>
                <w:rPr>
                  <w:szCs w:val="24"/>
                  <w:lang w:eastAsia="ar-SA"/>
                </w:rPr>
                <w:t>Šis sprendimas ne vėliau kaip per vieną mėnesį nuo jo įteikimo dienos gali būti skundžiamas paduodant skundą Lietuvos administracinių ginčų komisijos Šiaulių apygardos skyriui adresu: Dvaro g. 81, Šiauliai, arba Regionų apygardos administraciniam teismui bet kuriuose šio teismo rūmuose.</w:t>
              </w:r>
            </w:p>
            <w:p w14:paraId="002FC9E1" w14:textId="77777777">
              <w:pPr>
                <w:suppressAutoHyphens/>
                <w:jc w:val="both"/>
                <w:rPr>
                  <w:szCs w:val="24"/>
                  <w:lang w:eastAsia="ar-SA"/>
                </w:rPr>
              </w:pPr>
            </w:p>
            <w:p w14:paraId="2C2370FC" w14:textId="77777777">
              <w:pPr>
                <w:suppressAutoHyphens/>
                <w:ind w:firstLine="567"/>
                <w:jc w:val="both"/>
                <w:rPr>
                  <w:szCs w:val="24"/>
                  <w:lang w:eastAsia="ar-SA"/>
                </w:rPr>
              </w:pPr>
            </w:p>
            <w:p w14:paraId="21865B69" w14:textId="23566565">
              <w:pPr>
                <w:suppressAutoHyphens/>
                <w:jc w:val="both"/>
                <w:rPr>
                  <w:szCs w:val="24"/>
                  <w:lang w:eastAsia="ar-SA"/>
                </w:rPr>
              </w:pPr>
            </w:p>
            <w:p w14:paraId="447C8A17" w14:textId="78CA693F">
              <w:pPr>
                <w:suppressAutoHyphens/>
                <w:jc w:val="both"/>
                <w:rPr>
                  <w:szCs w:val="24"/>
                  <w:lang w:eastAsia="ar-SA"/>
                </w:rPr>
              </w:pPr>
            </w:p>
            <w:p w14:paraId="08348E60" w14:textId="6346AF59">
              <w:pPr>
                <w:suppressAutoHyphens/>
                <w:jc w:val="both"/>
                <w:rPr>
                  <w:szCs w:val="24"/>
                  <w:lang w:eastAsia="ar-SA"/>
                </w:rPr>
              </w:pPr>
            </w:p>
            <w:p w14:paraId="29C1C532" w14:textId="77777777">
              <w:pPr>
                <w:suppressAutoHyphens/>
                <w:jc w:val="both"/>
                <w:rPr>
                  <w:szCs w:val="24"/>
                  <w:lang w:eastAsia="ar-SA"/>
                </w:rPr>
              </w:pPr>
            </w:p>
            <w:p w14:paraId="708270FE" w14:textId="77777777">
              <w:pPr>
                <w:suppressAutoHyphens/>
                <w:jc w:val="both"/>
                <w:rPr>
                  <w:szCs w:val="24"/>
                  <w:lang w:eastAsia="ar-SA"/>
                </w:rPr>
              </w:pPr>
            </w:p>
          </w:sdtContent>
        </w:sdt>
        <w:sdt>
          <w:sdtPr>
            <w:alias w:val="signatura"/>
            <w:tag w:val="part_397acd62811346a8b32b2c79c94e71bc"/>
            <w:lock w:val="sdtLocked"/>
            <w:richText/>
          </w:sdtPr>
          <w:sdtContent>
            <w:p w14:paraId="2C9151A5" w14:textId="5198ECA9">
              <w:pPr>
                <w:suppressAutoHyphens/>
                <w:jc w:val="both"/>
                <w:rPr>
                  <w:szCs w:val="24"/>
                  <w:lang w:eastAsia="ar-SA"/>
                </w:rPr>
              </w:pPr>
              <w:r>
                <w:rPr>
                  <w:szCs w:val="24"/>
                  <w:lang w:eastAsia="ar-SA"/>
                </w:rPr>
                <w:t>Savivaldybės meras</w:t>
              </w: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code="9"/>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FA49FD7" w14:textId="77777777">
      <w:pPr>
        <w:suppressAutoHyphens/>
        <w:rPr>
          <w:rFonts w:cs="Calibri"/>
          <w:lang w:val="en-GB" w:eastAsia="ar-SA"/>
        </w:rPr>
      </w:pPr>
      <w:r>
        <w:rPr>
          <w:rFonts w:cs="Calibri"/>
          <w:lang w:val="en-GB" w:eastAsia="ar-SA"/>
        </w:rPr>
        <w:separator/>
      </w:r>
    </w:p>
  </w:endnote>
  <w:endnote w:type="continuationSeparator" w:id="0">
    <w:p w14:paraId="010CF362" w14:textId="77777777">
      <w:pPr>
        <w:suppressAutoHyphens/>
        <w:rPr>
          <w:rFonts w:cs="Calibri"/>
          <w:lang w:val="en-GB" w:eastAsia="ar-SA"/>
        </w:rPr>
      </w:pPr>
      <w:r>
        <w:rPr>
          <w:rFonts w:cs="Calibri"/>
          <w:lang w:val="en-GB" w:eastAsia="ar-SA"/>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alibri Light">
    <w:panose1 w:val="020F0302020204030204"/>
    <w:charset w:val="BA"/>
    <w:family w:val="swiss"/>
    <w:pitch w:val="variable"/>
    <w:sig w:usb0="E4002EFF" w:usb1="C2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F80AD98" w14:textId="77777777">
    <w:pPr>
      <w:tabs>
        <w:tab w:val="center" w:pos="4819"/>
        <w:tab w:val="right" w:pos="9638"/>
      </w:tabs>
      <w:suppressAutoHyphens/>
      <w:rPr>
        <w:rFonts w:cs="Calibri"/>
        <w:lang w:val="en-GB" w:eastAsia="ar-SA"/>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564412F" w14:textId="77777777">
    <w:pPr>
      <w:tabs>
        <w:tab w:val="center" w:pos="4819"/>
        <w:tab w:val="right" w:pos="9638"/>
      </w:tabs>
      <w:suppressAutoHyphens/>
      <w:rPr>
        <w:rFonts w:cs="Calibri"/>
        <w:lang w:val="en-GB" w:eastAsia="ar-SA"/>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15334D2" w14:textId="77777777">
    <w:pPr>
      <w:tabs>
        <w:tab w:val="center" w:pos="4819"/>
        <w:tab w:val="right" w:pos="9638"/>
      </w:tabs>
      <w:suppressAutoHyphens/>
      <w:rPr>
        <w:rFonts w:cs="Calibri"/>
        <w:lang w:val="en-GB" w:eastAsia="ar-SA"/>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D411712" w14:textId="77777777">
      <w:pPr>
        <w:suppressAutoHyphens/>
        <w:rPr>
          <w:rFonts w:cs="Calibri"/>
          <w:lang w:val="en-GB" w:eastAsia="ar-SA"/>
        </w:rPr>
      </w:pPr>
      <w:r>
        <w:rPr>
          <w:rFonts w:cs="Calibri"/>
          <w:lang w:val="en-GB" w:eastAsia="ar-SA"/>
        </w:rPr>
        <w:separator/>
      </w:r>
    </w:p>
  </w:footnote>
  <w:footnote w:type="continuationSeparator" w:id="0">
    <w:p w14:paraId="51E95495" w14:textId="77777777">
      <w:pPr>
        <w:suppressAutoHyphens/>
        <w:rPr>
          <w:rFonts w:cs="Calibri"/>
          <w:lang w:val="en-GB" w:eastAsia="ar-SA"/>
        </w:rPr>
      </w:pPr>
      <w:r>
        <w:rPr>
          <w:rFonts w:cs="Calibri"/>
          <w:lang w:val="en-GB" w:eastAsia="ar-SA"/>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B092BA1" w14:textId="77777777">
    <w:pPr>
      <w:tabs>
        <w:tab w:val="center" w:pos="4819"/>
        <w:tab w:val="right" w:pos="9638"/>
      </w:tabs>
      <w:suppressAutoHyphens/>
      <w:rPr>
        <w:rFonts w:cs="Calibri"/>
        <w:lang w:val="en-GB" w:eastAsia="ar-SA"/>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79BADC4" w14:textId="0B9221DB">
    <w:pPr>
      <w:tabs>
        <w:tab w:val="center" w:pos="4819"/>
        <w:tab w:val="right" w:pos="9638"/>
      </w:tabs>
      <w:suppressAutoHyphens/>
      <w:jc w:val="center"/>
      <w:rPr>
        <w:rFonts w:cs="Calibri"/>
        <w:lang w:val="en-GB" w:eastAsia="ar-SA"/>
      </w:rPr>
    </w:pPr>
    <w:r>
      <w:rPr>
        <w:rFonts w:cs="Calibri"/>
        <w:lang w:val="en-GB" w:eastAsia="ar-SA"/>
      </w:rPr>
      <w:fldChar w:fldCharType="begin"/>
    </w:r>
    <w:r>
      <w:rPr>
        <w:rFonts w:cs="Calibri"/>
        <w:lang w:val="en-GB" w:eastAsia="ar-SA"/>
      </w:rPr>
      <w:instrText>PAGE   \* MERGEFORMAT</w:instrText>
    </w:r>
    <w:r>
      <w:rPr>
        <w:rFonts w:cs="Calibri"/>
        <w:lang w:val="en-GB" w:eastAsia="ar-SA"/>
      </w:rPr>
      <w:fldChar w:fldCharType="separate"/>
    </w:r>
    <w:r>
      <w:rPr>
        <w:rFonts w:cs="Calibri"/>
        <w:lang w:eastAsia="ar-SA"/>
      </w:rPr>
      <w:t>2</w:t>
    </w:r>
    <w:r>
      <w:rPr>
        <w:rFonts w:cs="Calibri"/>
        <w:lang w:val="en-GB" w:eastAsia="ar-SA"/>
      </w:rPr>
      <w:fldChar w:fldCharType="end"/>
    </w:r>
  </w:p>
  <w:p w14:paraId="4118915B" w14:textId="77777777">
    <w:pPr>
      <w:tabs>
        <w:tab w:val="center" w:pos="4819"/>
        <w:tab w:val="right" w:pos="9638"/>
      </w:tabs>
      <w:suppressAutoHyphens/>
      <w:rPr>
        <w:rFonts w:cs="Calibri"/>
        <w:lang w:val="en-GB" w:eastAsia="ar-SA"/>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699414B" w14:textId="77777777">
    <w:pPr>
      <w:tabs>
        <w:tab w:val="center" w:pos="4819"/>
        <w:tab w:val="right" w:pos="9638"/>
      </w:tabs>
      <w:suppressAutoHyphens/>
      <w:rPr>
        <w:rFonts w:cs="Calibri"/>
        <w:lang w:val="en-GB" w:eastAsia="ar-SA"/>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hdrShapeDefaults>
    <o:shapedefaults v:ext="edit" spidmax="1228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C366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2289"/>
    <o:shapelayout v:ext="edit">
      <o:idmap v:ext="edit" data="1"/>
    </o:shapelayout>
  </w:shapeDefaults>
  <w:decimalSymbol w:val="."/>
  <w:listSeparator w:val=","/>
  <w14:docId w14:val="4DAB4ECB"/>
  <w15:docId w15:val="{90F6A76B-2864-4792-B1D1-5CA9471E5741}"/>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1656a844113845358d0694871e31548f" PartId="ec79429e124d4f37982024440d5937a0">
    <Part Type="preambule" DocPartId="d306f689ec234db780365c84b943d5fb" PartId="f7f99b7a55b9411a837e35bb90355efc"/>
    <Part Type="punktas" Nr="1" Abbr="1 p." DocPartId="4ae7aaf2e47949a6b8f1dc371612e3cc" PartId="3f2274037d844ee790dec78da60f7fd3">
      <Part Type="papunktis" Nr="1.1" Abbr="1.1 pp." DocPartId="8664c8f698c34c28b8d96caf4ea571b8" PartId="73c134a81412405eb731880aff6baeca"/>
      <Part Type="papunktis" Nr="1.2" Abbr="1.2 pp." DocPartId="6ee686c8d7334209a45c41062664e64b" PartId="c6ac12b5c219440e9e74cb615b4ae94d"/>
      <Part Type="papunktis" Nr="1.3" Abbr="1.3 pp." DocPartId="9812c6aa97c44824a59b6089b1889faf" PartId="c12b49149d994b679d78593004bb2071"/>
      <Part Type="papunktis" Nr="1.4" Abbr="1.4 pp." DocPartId="3cd8b9651361432fb031661260cf0bc5" PartId="769788c664c7424f9eb0138e73976eb5"/>
      <Part Type="papunktis" Nr="1.5" Abbr="1.5 pp." DocPartId="10d4b3dc9078400b9fe49ad7dd98b795" PartId="badae7b3ee8248a8aad7a95a31447810"/>
    </Part>
    <Part Type="punktas" Nr="2" Abbr="2 p." DocPartId="7a137cb61153454fa6dc27e97054b9e3" PartId="4809aac0e79549348ce5f2fec6ffb59e"/>
    <Part Type="punktas" Nr="3" Abbr="3 p." DocPartId="606327d1e955456dbf30faa8214aef6c" PartId="f12a01ecc02849d08a7605756a779148"/>
    <Part Type="punktas" Nr="4" Abbr="4 p." DocPartId="f00e6931448947dcabe542b924347f8d" PartId="a6bc8ef81c47414a83f5dec5f373f4ba"/>
    <Part Type="punktas" Nr="5" Abbr="5 p." DocPartId="03249f842ddc4a6f9b364bc2c6ec7a14" PartId="68467bde334343689678cab10b2f6c90"/>
    <Part Type="signatura" DocPartId="537fc2781c2e4d0fba05413b12f6413b" PartId="397acd62811346a8b32b2c79c94e71bc"/>
  </Part>
</Parts>
</file>

<file path=customXml/itemProps1.xml><?xml version="1.0" encoding="utf-8"?>
<ds:datastoreItem xmlns:ds="http://schemas.openxmlformats.org/officeDocument/2006/customXml" ds:itemID="{272B3A6C-1873-4599-B31E-8F3E0A161A2D}">
  <ds:schemaRefs>
    <ds:schemaRef ds:uri="http://schemas.openxmlformats.org/officeDocument/2006/bibliography"/>
  </ds:schemaRefs>
</ds:datastoreItem>
</file>

<file path=customXml/itemProps2.xml><?xml version="1.0" encoding="utf-8"?>
<ds:datastoreItem xmlns:ds="http://schemas.openxmlformats.org/officeDocument/2006/customXml" ds:itemID="{499FF4BD-60E7-4364-BE10-1EB361FFB52C}">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309</Words>
  <Characters>2285</Characters>
  <Application>Microsoft Office Word</Application>
  <DocSecurity>4</DocSecurity>
  <Lines>49</Lines>
  <Paragraphs>21</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2573</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2023-09-11T05:20:00Z</dcterms:created>
  <dc:creator>Irena Paliulytė</dc:creator>
  <lastModifiedBy>adlibuser</lastModifiedBy>
  <dcterms:modified xsi:type="dcterms:W3CDTF">2023-09-11T05:20:00Z</dcterms:modified>
  <revision>2</revision>
</coreProperties>
</file>