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7cdbb6f990845b08f54c8b71d5a3f59"/>
        <w:lock w:val="sdtLocked"/>
        <w:richText/>
      </w:sdtPr>
      <w:sdtContent>
        <w:p w14:paraId="3DF6E9B4" w14:textId="77777777">
          <w:pPr>
            <w:tabs>
              <w:tab w:val="center" w:pos="4819"/>
              <w:tab w:val="right" w:pos="9638"/>
            </w:tabs>
            <w:suppressAutoHyphens/>
            <w:ind w:firstLine="8222"/>
            <w:rPr>
              <w:b/>
              <w:bCs/>
              <w:szCs w:val="24"/>
            </w:rPr>
          </w:pPr>
          <w:r>
            <w:rPr>
              <w:b/>
              <w:bCs/>
              <w:szCs w:val="24"/>
            </w:rPr>
            <w:t xml:space="preserve">Projektas </w:t>
          </w:r>
        </w:p>
        <w:p w14:paraId="0052EF43" w14:textId="77777777">
          <w:pPr>
            <w:tabs>
              <w:tab w:val="left" w:pos="709"/>
            </w:tabs>
            <w:suppressAutoHyphens/>
            <w:ind w:firstLine="3600"/>
            <w:jc w:val="center"/>
            <w:rPr>
              <w:b/>
              <w:bCs/>
              <w:szCs w:val="24"/>
              <w:lang w:eastAsia="lt-LT"/>
            </w:rPr>
          </w:pPr>
        </w:p>
        <w:p w14:paraId="08B19158" w14:textId="77777777">
          <w:pPr>
            <w:suppressAutoHyphens/>
            <w:jc w:val="center"/>
            <w:rPr>
              <w:b/>
              <w:bCs/>
              <w:szCs w:val="24"/>
              <w:lang w:eastAsia="lt-LT"/>
            </w:rPr>
          </w:pPr>
        </w:p>
        <w:p w14:paraId="1F2192B2" w14:textId="77777777">
          <w:pPr>
            <w:suppressAutoHyphens/>
            <w:jc w:val="center"/>
            <w:rPr>
              <w:b/>
              <w:bCs/>
              <w:szCs w:val="24"/>
              <w:lang w:eastAsia="lt-LT"/>
            </w:rPr>
          </w:pPr>
          <w:r>
            <w:rPr>
              <w:b/>
              <w:bCs/>
              <w:szCs w:val="24"/>
              <w:lang w:eastAsia="lt-LT"/>
            </w:rPr>
            <w:t>ŠIAULIŲ MIESTO SAVIVALDYBĖS TARYBA</w:t>
          </w:r>
        </w:p>
        <w:p w14:paraId="66058195" w14:textId="77777777">
          <w:pPr>
            <w:suppressAutoHyphens/>
            <w:jc w:val="center"/>
            <w:rPr>
              <w:b/>
              <w:bCs/>
              <w:szCs w:val="24"/>
              <w:lang w:eastAsia="lt-LT"/>
            </w:rPr>
          </w:pPr>
        </w:p>
        <w:p w14:paraId="7C49144B" w14:textId="77777777">
          <w:pPr>
            <w:suppressAutoHyphens/>
            <w:jc w:val="center"/>
            <w:rPr>
              <w:b/>
              <w:bCs/>
              <w:szCs w:val="24"/>
              <w:lang w:eastAsia="lt-LT"/>
            </w:rPr>
          </w:pPr>
          <w:r>
            <w:rPr>
              <w:b/>
              <w:bCs/>
              <w:szCs w:val="24"/>
              <w:lang w:eastAsia="lt-LT"/>
            </w:rPr>
            <w:t>SPRENDIMAS</w:t>
          </w:r>
        </w:p>
        <w:p w14:paraId="1A9C7DA1" w14:textId="77777777">
          <w:pPr>
            <w:tabs>
              <w:tab w:val="left" w:pos="709"/>
            </w:tabs>
            <w:suppressAutoHyphens/>
            <w:jc w:val="center"/>
            <w:rPr>
              <w:b/>
              <w:caps/>
              <w:szCs w:val="24"/>
            </w:rPr>
          </w:pPr>
          <w:r>
            <w:rPr>
              <w:b/>
              <w:caps/>
              <w:szCs w:val="24"/>
            </w:rPr>
            <w:t xml:space="preserve">dĖL Šiaulių MIESTO SAVIVALDYBĖS </w:t>
          </w:r>
          <w:r>
            <w:rPr>
              <w:b/>
              <w:szCs w:val="24"/>
            </w:rPr>
            <w:t>TARYBOS 2021</w:t>
          </w:r>
          <w:r>
            <w:rPr>
              <w:b/>
              <w:szCs w:val="24"/>
              <w:lang w:eastAsia="lt-LT"/>
            </w:rPr>
            <w:t xml:space="preserve"> M. GRUODŽIO 2 D. SPRENDIMO NR. T-459 </w:t>
          </w:r>
          <w:r>
            <w:rPr>
              <w:bCs/>
              <w:szCs w:val="24"/>
              <w:lang w:eastAsia="lt-LT"/>
            </w:rPr>
            <w:t>„</w:t>
          </w:r>
          <w:r>
            <w:rPr>
              <w:b/>
              <w:caps/>
              <w:szCs w:val="24"/>
            </w:rPr>
            <w:t>dĖL Šiaulių MIESTO SAVIVALDYBĖS BENDROJO UGDYMO MOKYKLŲ TINKLO PERTVARKOS 2021–2025 METŲ BENDROJO PLANO PATVIRTINIMO“ PAKEITIMO</w:t>
          </w:r>
        </w:p>
        <w:p w14:paraId="008C510D" w14:textId="77777777">
          <w:pPr>
            <w:tabs>
              <w:tab w:val="left" w:pos="709"/>
            </w:tabs>
            <w:suppressAutoHyphens/>
            <w:jc w:val="center"/>
            <w:rPr>
              <w:b/>
              <w:caps/>
              <w:szCs w:val="24"/>
            </w:rPr>
          </w:pPr>
        </w:p>
        <w:p w14:paraId="220DFEBF" w14:textId="77777777">
          <w:pPr>
            <w:tabs>
              <w:tab w:val="left" w:pos="709"/>
            </w:tabs>
            <w:suppressAutoHyphens/>
            <w:jc w:val="center"/>
            <w:rPr>
              <w:bCs/>
              <w:szCs w:val="24"/>
              <w:lang w:eastAsia="lt-LT"/>
            </w:rPr>
          </w:pPr>
          <w:r>
            <w:rPr>
              <w:bCs/>
              <w:caps/>
              <w:szCs w:val="24"/>
            </w:rPr>
            <w:t>2025</w:t>
          </w:r>
          <w:r>
            <w:rPr>
              <w:bCs/>
              <w:szCs w:val="24"/>
              <w:lang w:eastAsia="lt-LT"/>
            </w:rPr>
            <w:t xml:space="preserve"> m.                          Nr. T-</w:t>
          </w:r>
        </w:p>
        <w:p w14:paraId="0DF2A082" w14:textId="77777777">
          <w:pPr>
            <w:suppressAutoHyphens/>
            <w:jc w:val="center"/>
            <w:rPr>
              <w:szCs w:val="24"/>
              <w:lang w:eastAsia="lt-LT"/>
            </w:rPr>
          </w:pPr>
          <w:r>
            <w:rPr>
              <w:szCs w:val="24"/>
              <w:lang w:eastAsia="lt-LT"/>
            </w:rPr>
            <w:t>Šiauliai</w:t>
          </w:r>
        </w:p>
        <w:p w14:paraId="30046645" w14:textId="77777777">
          <w:pPr>
            <w:suppressAutoHyphens/>
            <w:ind w:firstLine="62"/>
            <w:rPr>
              <w:szCs w:val="24"/>
              <w:lang w:eastAsia="lt-LT"/>
            </w:rPr>
          </w:pPr>
        </w:p>
        <w:sdt>
          <w:sdtPr>
            <w:alias w:val="preambule"/>
            <w:tag w:val="part_96454f4ac83d45a1a405410bf7373ba2"/>
            <w:lock w:val="sdtLocked"/>
            <w:richText/>
          </w:sdtPr>
          <w:sdtContent>
            <w:p w14:paraId="33D42864" w14:textId="77777777">
              <w:pPr>
                <w:suppressAutoHyphens/>
                <w:ind w:firstLine="851"/>
                <w:jc w:val="both"/>
                <w:rPr>
                  <w:szCs w:val="24"/>
                </w:rPr>
              </w:pPr>
              <w:r>
                <w:rPr>
                  <w:szCs w:val="24"/>
                </w:rPr>
                <w:t>Vadovaudamasi Lietuvos Respublikos vietos savivaldos įstatymo 6 straipsnio 5 punktu ir 15 straipsnio 2 dalies 16 punktu,</w:t>
              </w:r>
              <w:r>
                <w:rPr>
                  <w:color w:val="FF0000"/>
                  <w:szCs w:val="24"/>
                </w:rPr>
                <w:t xml:space="preserve"> </w:t>
              </w:r>
              <w:r>
                <w:rPr>
                  <w:szCs w:val="24"/>
                </w:rPr>
                <w:t xml:space="preserve">Lietuvos Respublikos švietimo įstatymo 44 straipsnio 2 dalimi, 58 straipsnio 1 dalies 3 punktu, Lietuvos Respublikos biudžetinių įstaigų įstatymo 5 straipsnio 3 dalies 5 punktu, Mokyklų, vykdančių formaliojo švietimo programas, tinklo kūrimo taisyklėmis, patvirtintomis Lietuvos Respublikos Vyriausybės 2011 m. birželio 29 d. nutarimu Nr. 768 „Dėl mokyklų, vykdančių formaliojo švietimo programas, tinklo kūrimo taisyklių patvirtinimo“, Šiaulių miesto savivaldybės taryba </w:t>
              </w:r>
              <w:r>
                <w:rPr>
                  <w:spacing w:val="40"/>
                  <w:szCs w:val="24"/>
                </w:rPr>
                <w:t>nusprendži</w:t>
              </w:r>
              <w:r>
                <w:rPr>
                  <w:szCs w:val="24"/>
                </w:rPr>
                <w:t>a:</w:t>
              </w:r>
            </w:p>
          </w:sdtContent>
        </w:sdt>
        <w:sdt>
          <w:sdtPr>
            <w:alias w:val="pastraipa"/>
            <w:tag w:val="part_bba98fe714fc4335a2c67a1a0afa0e04"/>
            <w:lock w:val="sdtLocked"/>
            <w:richText/>
          </w:sdtPr>
          <w:sdtContent>
            <w:p w14:paraId="6D1E52D0" w14:textId="5F919099">
              <w:pPr>
                <w:suppressAutoHyphens/>
                <w:ind w:firstLine="851"/>
                <w:jc w:val="both"/>
                <w:rPr>
                  <w:szCs w:val="24"/>
                  <w:lang w:eastAsia="ar-SA"/>
                </w:rPr>
              </w:pPr>
              <w:r>
                <w:rPr>
                  <w:szCs w:val="24"/>
                  <w:lang w:eastAsia="ar-SA"/>
                </w:rPr>
                <w:t xml:space="preserve">Pakeisti Šiaulių miesto savivaldybės bendrojo ugdymo mokyklų tinklo pertvarkos </w:t>
              </w:r>
              <w:r>
                <w:rPr>
                  <w:caps/>
                  <w:szCs w:val="24"/>
                  <w:lang w:eastAsia="ar-SA"/>
                </w:rPr>
                <w:t xml:space="preserve">2021–2025 </w:t>
              </w:r>
              <w:r>
                <w:rPr>
                  <w:szCs w:val="24"/>
                  <w:lang w:eastAsia="ar-SA"/>
                </w:rPr>
                <w:t>metų bendrojo plano, patvirtinto Šiaulių miesto savivaldybės tarybos 2021 m. gruodžio 2 d. sprendimo Nr. T-459 „Dėl Šiaulių miesto savivaldybės bendrojo ugdymo mokyklų tinklo pertvarkos 2021–2025 metų bendrojo plano patvirtinimo“ 1 punktu, 1 priedą:</w:t>
              </w:r>
            </w:p>
          </w:sdtContent>
        </w:sdt>
        <w:sdt>
          <w:sdtPr>
            <w:alias w:val="1 p."/>
            <w:tag w:val="part_1d52e8860f4a4166b4eebcd2a2f5e6c5"/>
            <w:lock w:val="sdtLocked"/>
            <w:richText/>
          </w:sdtPr>
          <w:sdtContent>
            <w:p w14:paraId="3F5BECE3" w14:textId="77777777">
              <w:pPr>
                <w:suppressAutoHyphens/>
                <w:ind w:firstLine="851"/>
                <w:jc w:val="both"/>
                <w:rPr>
                  <w:szCs w:val="24"/>
                  <w:lang w:eastAsia="ar-SA"/>
                </w:rPr>
              </w:pPr>
              <w:sdt>
                <w:sdtPr>
                  <w:alias w:val="Numeris"/>
                  <w:tag w:val="nr_1d52e8860f4a4166b4eebcd2a2f5e6c5"/>
                  <w:lock w:val="sdtLocked"/>
                  <w:richText/>
                </w:sdtPr>
                <w:sdtContent>
                  <w:r>
                    <w:rPr>
                      <w:szCs w:val="24"/>
                      <w:lang w:eastAsia="ar-SA"/>
                    </w:rPr>
                    <w:t>1</w:t>
                  </w:r>
                </w:sdtContent>
              </w:sdt>
              <w:r>
                <w:rPr>
                  <w:szCs w:val="24"/>
                  <w:lang w:eastAsia="ar-SA"/>
                </w:rPr>
                <w:t>. Pakeisti 1 punktą ir išdėstyti jį taip:</w:t>
              </w:r>
            </w:p>
            <w:tbl>
              <w:tblPr>
                <w:tblW w:w="5000" w:type="pct"/>
                <w:tblLayout w:type="fixed"/>
                <w:tblLook w:val="0000" w:firstRow="0" w:lastRow="0" w:firstColumn="0" w:lastColumn="0" w:noHBand="0" w:noVBand="0"/>
              </w:tblPr>
              <w:tblGrid>
                <w:gridCol w:w="1836"/>
                <w:gridCol w:w="1560"/>
                <w:gridCol w:w="1205"/>
                <w:gridCol w:w="1205"/>
                <w:gridCol w:w="1454"/>
                <w:gridCol w:w="2368"/>
              </w:tblGrid>
              <w:tr w14:paraId="74F8D907" w14:textId="77777777">
                <w:tc>
                  <w:tcPr>
                    <w:tcW w:w="1839" w:type="dxa"/>
                    <w:tcBorders>
                      <w:top w:val="single" w:sz="4" w:space="0" w:color="000000"/>
                      <w:left w:val="single" w:sz="4" w:space="0" w:color="000000"/>
                      <w:bottom w:val="single" w:sz="4" w:space="0" w:color="000000"/>
                      <w:right w:val="single" w:sz="4" w:space="0" w:color="000000"/>
                    </w:tcBorders>
                  </w:tcPr>
                  <w:p w14:paraId="449B9150" w14:textId="77777777">
                    <w:pPr>
                      <w:widowControl w:val="0"/>
                      <w:suppressAutoHyphens/>
                      <w:spacing w:line="276" w:lineRule="auto"/>
                      <w:rPr>
                        <w:rFonts w:eastAsia="Calibri"/>
                        <w:szCs w:val="24"/>
                      </w:rPr>
                    </w:pPr>
                    <w:r>
                      <w:rPr>
                        <w:rFonts w:eastAsia="Calibri"/>
                        <w:szCs w:val="24"/>
                      </w:rPr>
                      <w:t>„1. Simono Daukanto inžinerijos gimnazija</w:t>
                    </w:r>
                  </w:p>
                </w:tc>
                <w:tc>
                  <w:tcPr>
                    <w:tcW w:w="1561" w:type="dxa"/>
                    <w:tcBorders>
                      <w:top w:val="single" w:sz="4" w:space="0" w:color="000000"/>
                      <w:left w:val="single" w:sz="4" w:space="0" w:color="000000"/>
                      <w:bottom w:val="single" w:sz="4" w:space="0" w:color="000000"/>
                      <w:right w:val="single" w:sz="4" w:space="0" w:color="000000"/>
                    </w:tcBorders>
                  </w:tcPr>
                  <w:p w14:paraId="1F228387" w14:textId="77777777">
                    <w:pPr>
                      <w:widowControl w:val="0"/>
                      <w:suppressAutoHyphens/>
                      <w:spacing w:line="276" w:lineRule="auto"/>
                      <w:rPr>
                        <w:rFonts w:eastAsia="Calibri"/>
                        <w:szCs w:val="24"/>
                      </w:rPr>
                    </w:pPr>
                    <w:r>
                      <w:rPr>
                        <w:rFonts w:eastAsia="Calibri"/>
                        <w:szCs w:val="24"/>
                      </w:rPr>
                      <w:t>gimnazija, inžinerinė gimnazija</w:t>
                    </w:r>
                  </w:p>
                  <w:p w14:paraId="0A1CA73D" w14:textId="77777777">
                    <w:pPr>
                      <w:widowControl w:val="0"/>
                      <w:suppressAutoHyphens/>
                      <w:spacing w:line="276" w:lineRule="auto"/>
                      <w:rPr>
                        <w:rFonts w:eastAsia="Calibri"/>
                        <w:szCs w:val="24"/>
                      </w:rPr>
                    </w:pPr>
                  </w:p>
                </w:tc>
                <w:tc>
                  <w:tcPr>
                    <w:tcW w:w="1206" w:type="dxa"/>
                    <w:tcBorders>
                      <w:top w:val="single" w:sz="4" w:space="0" w:color="000000"/>
                      <w:left w:val="single" w:sz="4" w:space="0" w:color="000000"/>
                      <w:bottom w:val="single" w:sz="4" w:space="0" w:color="000000"/>
                      <w:right w:val="single" w:sz="4" w:space="0" w:color="000000"/>
                    </w:tcBorders>
                  </w:tcPr>
                  <w:p w14:paraId="084896CC" w14:textId="77777777">
                    <w:pPr>
                      <w:widowControl w:val="0"/>
                      <w:suppressAutoHyphens/>
                      <w:spacing w:line="276" w:lineRule="auto"/>
                      <w:jc w:val="center"/>
                      <w:rPr>
                        <w:rFonts w:eastAsia="Calibri"/>
                        <w:szCs w:val="24"/>
                      </w:rPr>
                    </w:pPr>
                    <w:r>
                      <w:rPr>
                        <w:rFonts w:eastAsia="Calibri"/>
                        <w:szCs w:val="24"/>
                      </w:rPr>
                      <w:t>–</w:t>
                    </w:r>
                  </w:p>
                </w:tc>
                <w:tc>
                  <w:tcPr>
                    <w:tcW w:w="1206" w:type="dxa"/>
                    <w:tcBorders>
                      <w:top w:val="single" w:sz="4" w:space="0" w:color="000000"/>
                      <w:left w:val="single" w:sz="4" w:space="0" w:color="000000"/>
                      <w:bottom w:val="single" w:sz="4" w:space="0" w:color="000000"/>
                      <w:right w:val="single" w:sz="4" w:space="0" w:color="000000"/>
                    </w:tcBorders>
                  </w:tcPr>
                  <w:p w14:paraId="63CDB619" w14:textId="77777777">
                    <w:pPr>
                      <w:widowControl w:val="0"/>
                      <w:suppressAutoHyphens/>
                      <w:spacing w:line="276" w:lineRule="auto"/>
                      <w:jc w:val="center"/>
                      <w:rPr>
                        <w:rFonts w:eastAsia="Calibri"/>
                        <w:szCs w:val="24"/>
                      </w:rPr>
                    </w:pPr>
                    <w:r>
                      <w:rPr>
                        <w:rFonts w:eastAsia="Calibri"/>
                        <w:szCs w:val="24"/>
                      </w:rPr>
                      <w:t>–</w:t>
                    </w:r>
                  </w:p>
                </w:tc>
                <w:tc>
                  <w:tcPr>
                    <w:tcW w:w="1455" w:type="dxa"/>
                    <w:tcBorders>
                      <w:top w:val="single" w:sz="4" w:space="0" w:color="000000"/>
                      <w:left w:val="single" w:sz="4" w:space="0" w:color="000000"/>
                      <w:bottom w:val="single" w:sz="4" w:space="0" w:color="000000"/>
                      <w:right w:val="single" w:sz="4" w:space="0" w:color="000000"/>
                    </w:tcBorders>
                  </w:tcPr>
                  <w:p w14:paraId="65CFBA71" w14:textId="77777777">
                    <w:pPr>
                      <w:widowControl w:val="0"/>
                      <w:suppressAutoHyphens/>
                      <w:spacing w:line="276" w:lineRule="auto"/>
                      <w:rPr>
                        <w:rFonts w:eastAsia="Calibri"/>
                        <w:szCs w:val="24"/>
                      </w:rPr>
                    </w:pPr>
                    <w:r>
                      <w:rPr>
                        <w:rFonts w:eastAsia="Calibri"/>
                        <w:szCs w:val="24"/>
                      </w:rPr>
                      <w:t>2025-09-01</w:t>
                    </w:r>
                  </w:p>
                </w:tc>
                <w:tc>
                  <w:tcPr>
                    <w:tcW w:w="2370" w:type="dxa"/>
                    <w:tcBorders>
                      <w:top w:val="single" w:sz="4" w:space="0" w:color="000000"/>
                      <w:left w:val="single" w:sz="4" w:space="0" w:color="000000"/>
                      <w:bottom w:val="single" w:sz="4" w:space="0" w:color="000000"/>
                      <w:right w:val="single" w:sz="4" w:space="0" w:color="000000"/>
                    </w:tcBorders>
                  </w:tcPr>
                  <w:p w14:paraId="6D306753" w14:textId="77777777">
                    <w:pPr>
                      <w:widowControl w:val="0"/>
                      <w:suppressAutoHyphens/>
                      <w:spacing w:line="276" w:lineRule="auto"/>
                      <w:rPr>
                        <w:rFonts w:eastAsia="Calibri"/>
                        <w:szCs w:val="24"/>
                      </w:rPr>
                    </w:pPr>
                    <w:r>
                      <w:rPr>
                        <w:rFonts w:eastAsia="Calibri"/>
                        <w:szCs w:val="24"/>
                      </w:rPr>
                      <w:t>pagrindinio ir vidurinio ugdymo programos kartu su inžineriniu ugdymu“</w:t>
                    </w:r>
                  </w:p>
                </w:tc>
              </w:tr>
            </w:tbl>
            <w:p/>
          </w:sdtContent>
        </w:sdt>
        <w:sdt>
          <w:sdtPr>
            <w:alias w:val="2 p."/>
            <w:tag w:val="part_db65bca1c1cc4121a017ab9079cc4175"/>
            <w:lock w:val="sdtLocked"/>
            <w:richText/>
          </w:sdtPr>
          <w:sdtContent>
            <w:p w14:paraId="09AAE7BE" w14:textId="77777777">
              <w:pPr>
                <w:suppressAutoHyphens/>
                <w:ind w:firstLine="851"/>
                <w:jc w:val="both"/>
                <w:rPr>
                  <w:szCs w:val="24"/>
                  <w:lang w:eastAsia="ar-SA"/>
                </w:rPr>
              </w:pPr>
              <w:sdt>
                <w:sdtPr>
                  <w:alias w:val="Numeris"/>
                  <w:tag w:val="nr_db65bca1c1cc4121a017ab9079cc4175"/>
                  <w:lock w:val="sdtLocked"/>
                  <w:richText/>
                </w:sdtPr>
                <w:sdtContent>
                  <w:r>
                    <w:rPr>
                      <w:szCs w:val="24"/>
                      <w:lang w:eastAsia="ar-SA"/>
                    </w:rPr>
                    <w:t>2</w:t>
                  </w:r>
                </w:sdtContent>
              </w:sdt>
              <w:r>
                <w:rPr>
                  <w:szCs w:val="24"/>
                  <w:lang w:eastAsia="ar-SA"/>
                </w:rPr>
                <w:t>. Pakeisti 10 punktą ir išdėstyti jį taip:</w:t>
              </w:r>
            </w:p>
            <w:tbl>
              <w:tblPr>
                <w:tblW w:w="5000" w:type="pct"/>
                <w:tblLayout w:type="fixed"/>
                <w:tblLook w:val="0000" w:firstRow="0" w:lastRow="0" w:firstColumn="0" w:lastColumn="0" w:noHBand="0" w:noVBand="0"/>
              </w:tblPr>
              <w:tblGrid>
                <w:gridCol w:w="1836"/>
                <w:gridCol w:w="1560"/>
                <w:gridCol w:w="1204"/>
                <w:gridCol w:w="1205"/>
                <w:gridCol w:w="1412"/>
                <w:gridCol w:w="2411"/>
              </w:tblGrid>
              <w:tr w14:paraId="5612E807" w14:textId="77777777">
                <w:tc>
                  <w:tcPr>
                    <w:tcW w:w="1839" w:type="dxa"/>
                    <w:tcBorders>
                      <w:top w:val="single" w:sz="4" w:space="0" w:color="000000"/>
                      <w:left w:val="single" w:sz="4" w:space="0" w:color="000000"/>
                      <w:bottom w:val="single" w:sz="4" w:space="0" w:color="000000"/>
                      <w:right w:val="single" w:sz="4" w:space="0" w:color="000000"/>
                    </w:tcBorders>
                  </w:tcPr>
                  <w:p w14:paraId="7C8923C9" w14:textId="77777777">
                    <w:pPr>
                      <w:widowControl w:val="0"/>
                      <w:suppressAutoHyphens/>
                      <w:spacing w:line="276" w:lineRule="auto"/>
                      <w:rPr>
                        <w:rFonts w:eastAsia="Calibri"/>
                        <w:szCs w:val="24"/>
                      </w:rPr>
                    </w:pPr>
                    <w:r>
                      <w:rPr>
                        <w:rFonts w:eastAsia="Calibri"/>
                        <w:szCs w:val="24"/>
                      </w:rPr>
                      <w:t>„10. Gegužių progimnazija</w:t>
                    </w:r>
                  </w:p>
                </w:tc>
                <w:tc>
                  <w:tcPr>
                    <w:tcW w:w="1561" w:type="dxa"/>
                    <w:tcBorders>
                      <w:top w:val="single" w:sz="4" w:space="0" w:color="000000"/>
                      <w:left w:val="single" w:sz="4" w:space="0" w:color="000000"/>
                      <w:bottom w:val="single" w:sz="4" w:space="0" w:color="000000"/>
                      <w:right w:val="single" w:sz="4" w:space="0" w:color="000000"/>
                    </w:tcBorders>
                  </w:tcPr>
                  <w:p w14:paraId="342EC5F7" w14:textId="77777777">
                    <w:pPr>
                      <w:widowControl w:val="0"/>
                      <w:suppressAutoHyphens/>
                      <w:spacing w:line="276" w:lineRule="auto"/>
                      <w:rPr>
                        <w:rFonts w:eastAsia="Calibri"/>
                        <w:szCs w:val="24"/>
                      </w:rPr>
                    </w:pPr>
                    <w:r>
                      <w:rPr>
                        <w:rFonts w:eastAsia="Calibri"/>
                        <w:szCs w:val="24"/>
                      </w:rPr>
                      <w:t>progimnazija</w:t>
                    </w:r>
                  </w:p>
                </w:tc>
                <w:tc>
                  <w:tcPr>
                    <w:tcW w:w="1205" w:type="dxa"/>
                    <w:tcBorders>
                      <w:top w:val="single" w:sz="4" w:space="0" w:color="000000"/>
                      <w:left w:val="single" w:sz="4" w:space="0" w:color="000000"/>
                      <w:bottom w:val="single" w:sz="4" w:space="0" w:color="000000"/>
                      <w:right w:val="single" w:sz="4" w:space="0" w:color="000000"/>
                    </w:tcBorders>
                  </w:tcPr>
                  <w:p w14:paraId="016D5699" w14:textId="77777777">
                    <w:pPr>
                      <w:widowControl w:val="0"/>
                      <w:suppressAutoHyphens/>
                      <w:spacing w:line="276" w:lineRule="auto"/>
                      <w:jc w:val="center"/>
                      <w:rPr>
                        <w:rFonts w:eastAsia="Calibri"/>
                        <w:szCs w:val="24"/>
                      </w:rPr>
                    </w:pPr>
                    <w:r>
                      <w:rPr>
                        <w:rFonts w:eastAsia="Calibri"/>
                        <w:szCs w:val="24"/>
                      </w:rPr>
                      <w:t>–</w:t>
                    </w:r>
                  </w:p>
                </w:tc>
                <w:tc>
                  <w:tcPr>
                    <w:tcW w:w="1206" w:type="dxa"/>
                    <w:tcBorders>
                      <w:top w:val="single" w:sz="4" w:space="0" w:color="000000"/>
                      <w:left w:val="single" w:sz="4" w:space="0" w:color="000000"/>
                      <w:bottom w:val="single" w:sz="4" w:space="0" w:color="000000"/>
                      <w:right w:val="single" w:sz="4" w:space="0" w:color="000000"/>
                    </w:tcBorders>
                  </w:tcPr>
                  <w:p w14:paraId="5A9FD218" w14:textId="77777777">
                    <w:pPr>
                      <w:widowControl w:val="0"/>
                      <w:suppressAutoHyphens/>
                      <w:spacing w:line="276" w:lineRule="auto"/>
                      <w:jc w:val="center"/>
                      <w:rPr>
                        <w:rFonts w:eastAsia="Calibri"/>
                        <w:szCs w:val="24"/>
                      </w:rPr>
                    </w:pPr>
                    <w:r>
                      <w:rPr>
                        <w:rFonts w:eastAsia="Calibri"/>
                        <w:szCs w:val="24"/>
                      </w:rPr>
                      <w:t>–</w:t>
                    </w:r>
                  </w:p>
                </w:tc>
                <w:tc>
                  <w:tcPr>
                    <w:tcW w:w="1413" w:type="dxa"/>
                    <w:tcBorders>
                      <w:top w:val="single" w:sz="4" w:space="0" w:color="000000"/>
                      <w:left w:val="single" w:sz="4" w:space="0" w:color="000000"/>
                      <w:bottom w:val="single" w:sz="4" w:space="0" w:color="000000"/>
                      <w:right w:val="single" w:sz="4" w:space="0" w:color="000000"/>
                    </w:tcBorders>
                  </w:tcPr>
                  <w:p w14:paraId="404BCA7F" w14:textId="77777777">
                    <w:pPr>
                      <w:widowControl w:val="0"/>
                      <w:suppressAutoHyphens/>
                      <w:spacing w:line="276" w:lineRule="auto"/>
                      <w:jc w:val="center"/>
                      <w:rPr>
                        <w:rFonts w:eastAsia="Calibri"/>
                        <w:szCs w:val="24"/>
                      </w:rPr>
                    </w:pPr>
                    <w:r>
                      <w:rPr>
                        <w:rFonts w:eastAsia="Calibri"/>
                        <w:szCs w:val="24"/>
                      </w:rPr>
                      <w:t>2025-09-01</w:t>
                    </w:r>
                  </w:p>
                </w:tc>
                <w:tc>
                  <w:tcPr>
                    <w:tcW w:w="2413" w:type="dxa"/>
                    <w:tcBorders>
                      <w:top w:val="single" w:sz="4" w:space="0" w:color="000000"/>
                      <w:left w:val="single" w:sz="4" w:space="0" w:color="000000"/>
                      <w:bottom w:val="single" w:sz="4" w:space="0" w:color="000000"/>
                      <w:right w:val="single" w:sz="4" w:space="0" w:color="000000"/>
                    </w:tcBorders>
                  </w:tcPr>
                  <w:p w14:paraId="36A43F08" w14:textId="77777777">
                    <w:pPr>
                      <w:widowControl w:val="0"/>
                      <w:suppressAutoHyphens/>
                      <w:spacing w:line="276" w:lineRule="auto"/>
                      <w:rPr>
                        <w:rFonts w:eastAsia="Calibri"/>
                        <w:szCs w:val="24"/>
                      </w:rPr>
                    </w:pPr>
                    <w:r>
                      <w:rPr>
                        <w:rFonts w:eastAsia="Calibri"/>
                        <w:szCs w:val="24"/>
                      </w:rPr>
                      <w:t>priešmokyklinio, pradinio ir pagrindinio ugdymo I dalies programos“</w:t>
                    </w:r>
                  </w:p>
                </w:tc>
              </w:tr>
            </w:tbl>
            <w:p/>
          </w:sdtContent>
        </w:sdt>
        <w:sdt>
          <w:sdtPr>
            <w:alias w:val="3 p."/>
            <w:tag w:val="part_7d6df12177b14ccdb9e95eb99ac62cbf"/>
            <w:lock w:val="sdtLocked"/>
            <w:richText/>
          </w:sdtPr>
          <w:sdtContent>
            <w:p w14:paraId="2E5C3161" w14:textId="77777777">
              <w:pPr>
                <w:suppressAutoHyphens/>
                <w:ind w:firstLine="851"/>
                <w:jc w:val="both"/>
                <w:rPr>
                  <w:szCs w:val="24"/>
                  <w:lang w:eastAsia="lt-LT"/>
                </w:rPr>
              </w:pPr>
              <w:sdt>
                <w:sdtPr>
                  <w:alias w:val="Numeris"/>
                  <w:tag w:val="nr_7d6df12177b14ccdb9e95eb99ac62cbf"/>
                  <w:lock w:val="sdtLocked"/>
                  <w:richText/>
                </w:sdtPr>
                <w:sdtContent>
                  <w:r>
                    <w:rPr>
                      <w:szCs w:val="24"/>
                      <w:lang w:eastAsia="ar-SA"/>
                    </w:rPr>
                    <w:t>3</w:t>
                  </w:r>
                </w:sdtContent>
              </w:sdt>
              <w:r>
                <w:rPr>
                  <w:szCs w:val="24"/>
                  <w:lang w:eastAsia="ar-SA"/>
                </w:rPr>
                <w:t>. Pakeisti 13 punktą ir išdėstyti jį taip:</w:t>
              </w:r>
            </w:p>
            <w:tbl>
              <w:tblPr>
                <w:tblW w:w="5000" w:type="pct"/>
                <w:tblLayout w:type="fixed"/>
                <w:tblLook w:val="0000" w:firstRow="0" w:lastRow="0" w:firstColumn="0" w:lastColumn="0" w:noHBand="0" w:noVBand="0"/>
              </w:tblPr>
              <w:tblGrid>
                <w:gridCol w:w="1836"/>
                <w:gridCol w:w="1560"/>
                <w:gridCol w:w="1205"/>
                <w:gridCol w:w="1205"/>
                <w:gridCol w:w="1423"/>
                <w:gridCol w:w="2399"/>
              </w:tblGrid>
              <w:tr w14:paraId="29BC87F9" w14:textId="77777777">
                <w:tc>
                  <w:tcPr>
                    <w:tcW w:w="1839" w:type="dxa"/>
                    <w:tcBorders>
                      <w:top w:val="single" w:sz="4" w:space="0" w:color="000000"/>
                      <w:left w:val="single" w:sz="4" w:space="0" w:color="000000"/>
                      <w:bottom w:val="single" w:sz="4" w:space="0" w:color="000000"/>
                      <w:right w:val="single" w:sz="4" w:space="0" w:color="000000"/>
                    </w:tcBorders>
                  </w:tcPr>
                  <w:p w14:paraId="21DF321A" w14:textId="77777777">
                    <w:pPr>
                      <w:widowControl w:val="0"/>
                      <w:suppressAutoHyphens/>
                      <w:spacing w:line="276" w:lineRule="auto"/>
                      <w:rPr>
                        <w:rFonts w:eastAsia="Calibri"/>
                        <w:szCs w:val="24"/>
                      </w:rPr>
                    </w:pPr>
                    <w:r>
                      <w:rPr>
                        <w:rFonts w:eastAsia="Calibri"/>
                        <w:szCs w:val="24"/>
                      </w:rPr>
                      <w:t>„13. „Juventos“ progimnazija</w:t>
                    </w:r>
                  </w:p>
                </w:tc>
                <w:tc>
                  <w:tcPr>
                    <w:tcW w:w="1561" w:type="dxa"/>
                    <w:tcBorders>
                      <w:top w:val="single" w:sz="4" w:space="0" w:color="000000"/>
                      <w:left w:val="single" w:sz="4" w:space="0" w:color="000000"/>
                      <w:bottom w:val="single" w:sz="4" w:space="0" w:color="000000"/>
                      <w:right w:val="single" w:sz="4" w:space="0" w:color="000000"/>
                    </w:tcBorders>
                  </w:tcPr>
                  <w:p w14:paraId="0A91DD73" w14:textId="77777777">
                    <w:pPr>
                      <w:widowControl w:val="0"/>
                      <w:suppressAutoHyphens/>
                      <w:spacing w:line="276" w:lineRule="auto"/>
                      <w:rPr>
                        <w:rFonts w:eastAsia="Calibri"/>
                        <w:szCs w:val="24"/>
                      </w:rPr>
                    </w:pPr>
                    <w:r>
                      <w:rPr>
                        <w:rFonts w:eastAsia="Calibri"/>
                        <w:szCs w:val="24"/>
                      </w:rPr>
                      <w:t>progimnazija,</w:t>
                    </w:r>
                  </w:p>
                  <w:p w14:paraId="18E93BA1" w14:textId="77777777">
                    <w:pPr>
                      <w:widowControl w:val="0"/>
                      <w:suppressAutoHyphens/>
                      <w:spacing w:line="276" w:lineRule="auto"/>
                      <w:rPr>
                        <w:rFonts w:eastAsia="Calibri"/>
                        <w:szCs w:val="24"/>
                      </w:rPr>
                    </w:pPr>
                    <w:r>
                      <w:rPr>
                        <w:rFonts w:eastAsia="Calibri"/>
                        <w:szCs w:val="24"/>
                      </w:rPr>
                      <w:t>savitos pedagoginės sistemos mokykla</w:t>
                    </w:r>
                  </w:p>
                </w:tc>
                <w:tc>
                  <w:tcPr>
                    <w:tcW w:w="1206" w:type="dxa"/>
                    <w:tcBorders>
                      <w:top w:val="single" w:sz="4" w:space="0" w:color="000000"/>
                      <w:left w:val="single" w:sz="4" w:space="0" w:color="000000"/>
                      <w:bottom w:val="single" w:sz="4" w:space="0" w:color="000000"/>
                      <w:right w:val="single" w:sz="4" w:space="0" w:color="000000"/>
                    </w:tcBorders>
                  </w:tcPr>
                  <w:p w14:paraId="46A14177" w14:textId="77777777">
                    <w:pPr>
                      <w:widowControl w:val="0"/>
                      <w:suppressAutoHyphens/>
                      <w:spacing w:line="276" w:lineRule="auto"/>
                      <w:jc w:val="center"/>
                      <w:rPr>
                        <w:rFonts w:eastAsia="Calibri"/>
                        <w:szCs w:val="24"/>
                      </w:rPr>
                    </w:pPr>
                    <w:r>
                      <w:rPr>
                        <w:rFonts w:eastAsia="Calibri"/>
                        <w:szCs w:val="24"/>
                      </w:rPr>
                      <w:t>–</w:t>
                    </w:r>
                  </w:p>
                </w:tc>
                <w:tc>
                  <w:tcPr>
                    <w:tcW w:w="1206" w:type="dxa"/>
                    <w:tcBorders>
                      <w:top w:val="single" w:sz="4" w:space="0" w:color="000000"/>
                      <w:left w:val="single" w:sz="4" w:space="0" w:color="000000"/>
                      <w:bottom w:val="single" w:sz="4" w:space="0" w:color="000000"/>
                      <w:right w:val="single" w:sz="4" w:space="0" w:color="000000"/>
                    </w:tcBorders>
                  </w:tcPr>
                  <w:p w14:paraId="335951FD" w14:textId="77777777">
                    <w:pPr>
                      <w:widowControl w:val="0"/>
                      <w:suppressAutoHyphens/>
                      <w:spacing w:line="276" w:lineRule="auto"/>
                      <w:jc w:val="center"/>
                      <w:rPr>
                        <w:rFonts w:eastAsia="Calibri"/>
                        <w:szCs w:val="24"/>
                      </w:rPr>
                    </w:pPr>
                    <w:r>
                      <w:rPr>
                        <w:rFonts w:eastAsia="Calibri"/>
                        <w:szCs w:val="24"/>
                      </w:rPr>
                      <w:t>–</w:t>
                    </w:r>
                  </w:p>
                </w:tc>
                <w:tc>
                  <w:tcPr>
                    <w:tcW w:w="1424" w:type="dxa"/>
                    <w:tcBorders>
                      <w:top w:val="single" w:sz="4" w:space="0" w:color="000000"/>
                      <w:left w:val="single" w:sz="4" w:space="0" w:color="000000"/>
                      <w:bottom w:val="single" w:sz="4" w:space="0" w:color="000000"/>
                      <w:right w:val="single" w:sz="4" w:space="0" w:color="000000"/>
                    </w:tcBorders>
                  </w:tcPr>
                  <w:p w14:paraId="04AB3600" w14:textId="77777777">
                    <w:pPr>
                      <w:widowControl w:val="0"/>
                      <w:suppressAutoHyphens/>
                      <w:spacing w:line="276" w:lineRule="auto"/>
                      <w:jc w:val="center"/>
                      <w:rPr>
                        <w:rFonts w:eastAsia="Calibri"/>
                        <w:szCs w:val="24"/>
                      </w:rPr>
                    </w:pPr>
                    <w:r>
                      <w:rPr>
                        <w:rFonts w:eastAsia="Calibri"/>
                        <w:szCs w:val="24"/>
                      </w:rPr>
                      <w:t>2025-09-01</w:t>
                    </w:r>
                  </w:p>
                </w:tc>
                <w:tc>
                  <w:tcPr>
                    <w:tcW w:w="2401" w:type="dxa"/>
                    <w:tcBorders>
                      <w:top w:val="single" w:sz="4" w:space="0" w:color="000000"/>
                      <w:left w:val="single" w:sz="4" w:space="0" w:color="000000"/>
                      <w:bottom w:val="single" w:sz="4" w:space="0" w:color="000000"/>
                      <w:right w:val="single" w:sz="4" w:space="0" w:color="000000"/>
                    </w:tcBorders>
                  </w:tcPr>
                  <w:p w14:paraId="37433E5F" w14:textId="77777777">
                    <w:pPr>
                      <w:widowControl w:val="0"/>
                      <w:suppressAutoHyphens/>
                      <w:spacing w:line="276" w:lineRule="auto"/>
                      <w:rPr>
                        <w:rFonts w:eastAsia="Calibri"/>
                        <w:szCs w:val="24"/>
                      </w:rPr>
                    </w:pPr>
                    <w:r>
                      <w:rPr>
                        <w:rFonts w:eastAsia="Calibri"/>
                        <w:szCs w:val="24"/>
                      </w:rPr>
                      <w:t>priešmokyklinio, pradinio ir pagrindinio ugdymo I dalies programos; įgyvendina Humanistinės kultūros ugdymo menine veikla sampratos elementus“</w:t>
                    </w:r>
                  </w:p>
                </w:tc>
              </w:tr>
            </w:tbl>
            <w:p/>
          </w:sdtContent>
        </w:sdt>
        <w:sdt>
          <w:sdtPr>
            <w:alias w:val="4 p."/>
            <w:tag w:val="part_a6a4aa3b091b49edb067e4d04f5b6918"/>
            <w:lock w:val="sdtLocked"/>
            <w:richText/>
          </w:sdtPr>
          <w:sdtContent>
            <w:p w14:paraId="40B91D8B" w14:textId="77777777">
              <w:pPr>
                <w:suppressAutoHyphens/>
                <w:ind w:firstLine="851"/>
                <w:jc w:val="both"/>
                <w:rPr>
                  <w:szCs w:val="24"/>
                  <w:lang w:eastAsia="ar-SA"/>
                </w:rPr>
              </w:pPr>
              <w:sdt>
                <w:sdtPr>
                  <w:alias w:val="Numeris"/>
                  <w:tag w:val="nr_a6a4aa3b091b49edb067e4d04f5b6918"/>
                  <w:lock w:val="sdtLocked"/>
                  <w:richText/>
                </w:sdtPr>
                <w:sdtContent>
                  <w:r>
                    <w:rPr>
                      <w:szCs w:val="24"/>
                      <w:lang w:eastAsia="ar-SA"/>
                    </w:rPr>
                    <w:t>4</w:t>
                  </w:r>
                </w:sdtContent>
              </w:sdt>
              <w:r>
                <w:rPr>
                  <w:szCs w:val="24"/>
                  <w:lang w:eastAsia="ar-SA"/>
                </w:rPr>
                <w:t>. Pakeisti 21 punktą ir išdėstyti jį taip:</w:t>
              </w:r>
            </w:p>
            <w:tbl>
              <w:tblPr>
                <w:tblW w:w="5000" w:type="pct"/>
                <w:tblLayout w:type="fixed"/>
                <w:tblLook w:val="0000" w:firstRow="0" w:lastRow="0" w:firstColumn="0" w:lastColumn="0" w:noHBand="0" w:noVBand="0"/>
              </w:tblPr>
              <w:tblGrid>
                <w:gridCol w:w="1836"/>
                <w:gridCol w:w="1560"/>
                <w:gridCol w:w="1205"/>
                <w:gridCol w:w="1205"/>
                <w:gridCol w:w="1423"/>
                <w:gridCol w:w="2399"/>
              </w:tblGrid>
              <w:tr w14:paraId="77E0DB4E" w14:textId="77777777">
                <w:tc>
                  <w:tcPr>
                    <w:tcW w:w="1839" w:type="dxa"/>
                    <w:tcBorders>
                      <w:top w:val="single" w:sz="4" w:space="0" w:color="000000"/>
                      <w:left w:val="single" w:sz="4" w:space="0" w:color="000000"/>
                      <w:bottom w:val="single" w:sz="4" w:space="0" w:color="000000"/>
                      <w:right w:val="single" w:sz="4" w:space="0" w:color="000000"/>
                    </w:tcBorders>
                  </w:tcPr>
                  <w:p w14:paraId="18AF3F48" w14:textId="77777777">
                    <w:pPr>
                      <w:widowControl w:val="0"/>
                      <w:suppressAutoHyphens/>
                      <w:spacing w:line="276" w:lineRule="auto"/>
                      <w:rPr>
                        <w:rFonts w:eastAsia="Calibri"/>
                        <w:szCs w:val="24"/>
                      </w:rPr>
                    </w:pPr>
                    <w:r>
                      <w:rPr>
                        <w:rFonts w:eastAsia="Calibri"/>
                        <w:szCs w:val="24"/>
                      </w:rPr>
                      <w:t>„21. „Sandoros“ progimnazija</w:t>
                    </w:r>
                  </w:p>
                </w:tc>
                <w:tc>
                  <w:tcPr>
                    <w:tcW w:w="1561" w:type="dxa"/>
                    <w:tcBorders>
                      <w:top w:val="single" w:sz="4" w:space="0" w:color="000000"/>
                      <w:left w:val="single" w:sz="4" w:space="0" w:color="000000"/>
                      <w:bottom w:val="single" w:sz="4" w:space="0" w:color="000000"/>
                      <w:right w:val="single" w:sz="4" w:space="0" w:color="000000"/>
                    </w:tcBorders>
                  </w:tcPr>
                  <w:p w14:paraId="161B6235" w14:textId="77777777">
                    <w:pPr>
                      <w:widowControl w:val="0"/>
                      <w:suppressAutoHyphens/>
                      <w:spacing w:line="276" w:lineRule="auto"/>
                      <w:rPr>
                        <w:rFonts w:eastAsia="Calibri"/>
                        <w:szCs w:val="24"/>
                      </w:rPr>
                    </w:pPr>
                    <w:r>
                      <w:rPr>
                        <w:rFonts w:eastAsia="Calibri"/>
                        <w:szCs w:val="24"/>
                      </w:rPr>
                      <w:t>progimnazija,</w:t>
                    </w:r>
                  </w:p>
                  <w:p w14:paraId="339355CF" w14:textId="77777777">
                    <w:pPr>
                      <w:widowControl w:val="0"/>
                      <w:suppressAutoHyphens/>
                      <w:spacing w:line="276" w:lineRule="auto"/>
                      <w:rPr>
                        <w:rFonts w:eastAsia="Calibri"/>
                        <w:szCs w:val="24"/>
                      </w:rPr>
                    </w:pPr>
                    <w:r>
                      <w:rPr>
                        <w:rFonts w:eastAsia="Calibri"/>
                        <w:szCs w:val="24"/>
                      </w:rPr>
                      <w:t>savitos pedagoginės sistemos mokykla</w:t>
                    </w:r>
                  </w:p>
                </w:tc>
                <w:tc>
                  <w:tcPr>
                    <w:tcW w:w="1206" w:type="dxa"/>
                    <w:tcBorders>
                      <w:top w:val="single" w:sz="4" w:space="0" w:color="000000"/>
                      <w:left w:val="single" w:sz="4" w:space="0" w:color="000000"/>
                      <w:bottom w:val="single" w:sz="4" w:space="0" w:color="000000"/>
                      <w:right w:val="single" w:sz="4" w:space="0" w:color="000000"/>
                    </w:tcBorders>
                  </w:tcPr>
                  <w:p w14:paraId="364FB5C6" w14:textId="77777777">
                    <w:pPr>
                      <w:widowControl w:val="0"/>
                      <w:suppressAutoHyphens/>
                      <w:spacing w:line="276" w:lineRule="auto"/>
                      <w:jc w:val="center"/>
                      <w:rPr>
                        <w:rFonts w:eastAsia="Calibri"/>
                        <w:szCs w:val="24"/>
                      </w:rPr>
                    </w:pPr>
                    <w:r>
                      <w:rPr>
                        <w:rFonts w:eastAsia="Calibri"/>
                        <w:szCs w:val="24"/>
                      </w:rPr>
                      <w:t>–</w:t>
                    </w:r>
                  </w:p>
                </w:tc>
                <w:tc>
                  <w:tcPr>
                    <w:tcW w:w="1206" w:type="dxa"/>
                    <w:tcBorders>
                      <w:top w:val="single" w:sz="4" w:space="0" w:color="000000"/>
                      <w:left w:val="single" w:sz="4" w:space="0" w:color="000000"/>
                      <w:bottom w:val="single" w:sz="4" w:space="0" w:color="000000"/>
                      <w:right w:val="single" w:sz="4" w:space="0" w:color="000000"/>
                    </w:tcBorders>
                  </w:tcPr>
                  <w:p w14:paraId="2AFD4306" w14:textId="77777777">
                    <w:pPr>
                      <w:widowControl w:val="0"/>
                      <w:suppressAutoHyphens/>
                      <w:spacing w:line="276" w:lineRule="auto"/>
                      <w:jc w:val="center"/>
                      <w:rPr>
                        <w:rFonts w:eastAsia="Calibri"/>
                        <w:szCs w:val="24"/>
                      </w:rPr>
                    </w:pPr>
                    <w:r>
                      <w:rPr>
                        <w:rFonts w:eastAsia="Calibri"/>
                        <w:szCs w:val="24"/>
                      </w:rPr>
                      <w:t>–</w:t>
                    </w:r>
                  </w:p>
                </w:tc>
                <w:tc>
                  <w:tcPr>
                    <w:tcW w:w="1424" w:type="dxa"/>
                    <w:tcBorders>
                      <w:top w:val="single" w:sz="4" w:space="0" w:color="000000"/>
                      <w:left w:val="single" w:sz="4" w:space="0" w:color="000000"/>
                      <w:bottom w:val="single" w:sz="4" w:space="0" w:color="000000"/>
                      <w:right w:val="single" w:sz="4" w:space="0" w:color="000000"/>
                    </w:tcBorders>
                  </w:tcPr>
                  <w:p w14:paraId="51010BB4" w14:textId="77777777">
                    <w:pPr>
                      <w:widowControl w:val="0"/>
                      <w:suppressAutoHyphens/>
                      <w:spacing w:line="276" w:lineRule="auto"/>
                      <w:jc w:val="center"/>
                      <w:rPr>
                        <w:rFonts w:eastAsia="Calibri"/>
                        <w:szCs w:val="24"/>
                      </w:rPr>
                    </w:pPr>
                    <w:r>
                      <w:rPr>
                        <w:rFonts w:eastAsia="Calibri"/>
                        <w:szCs w:val="24"/>
                      </w:rPr>
                      <w:t>–</w:t>
                    </w:r>
                  </w:p>
                </w:tc>
                <w:tc>
                  <w:tcPr>
                    <w:tcW w:w="2401" w:type="dxa"/>
                    <w:tcBorders>
                      <w:top w:val="single" w:sz="4" w:space="0" w:color="000000"/>
                      <w:left w:val="single" w:sz="4" w:space="0" w:color="000000"/>
                      <w:bottom w:val="single" w:sz="4" w:space="0" w:color="000000"/>
                      <w:right w:val="single" w:sz="4" w:space="0" w:color="000000"/>
                    </w:tcBorders>
                  </w:tcPr>
                  <w:p w14:paraId="302AE005" w14:textId="77777777">
                    <w:pPr>
                      <w:widowControl w:val="0"/>
                      <w:suppressAutoHyphens/>
                      <w:spacing w:line="276" w:lineRule="auto"/>
                      <w:rPr>
                        <w:rFonts w:eastAsia="Calibri"/>
                        <w:szCs w:val="24"/>
                      </w:rPr>
                    </w:pPr>
                    <w:r>
                      <w:rPr>
                        <w:rFonts w:eastAsia="Calibri"/>
                        <w:szCs w:val="24"/>
                      </w:rPr>
                      <w:t>pradinio ir pagrindinio ugdymo I dalies programos, akredituotas nuotolinis mokymas užsienyje gyvenantiems asmenims;</w:t>
                    </w:r>
                    <w:r>
                      <w:rPr>
                        <w:szCs w:val="24"/>
                        <w:lang w:eastAsia="lt-LT"/>
                      </w:rPr>
                      <w:t xml:space="preserve"> įgyvendina Katalikiškojo ugdymo sampratos elementus</w:t>
                    </w:r>
                    <w:r>
                      <w:rPr>
                        <w:rFonts w:eastAsia="Calibri"/>
                        <w:szCs w:val="24"/>
                      </w:rPr>
                      <w:t>“</w:t>
                    </w:r>
                  </w:p>
                </w:tc>
              </w:tr>
            </w:tbl>
            <w:p w14:paraId="084A4815" w14:textId="77777777">
              <w:pPr>
                <w:suppressAutoHyphens/>
                <w:rPr>
                  <w:szCs w:val="24"/>
                  <w:lang w:eastAsia="lt-LT"/>
                </w:rPr>
              </w:pPr>
            </w:p>
            <w:p w14:paraId="24BC1423" w14:textId="77777777">
              <w:pPr>
                <w:suppressAutoHyphens/>
                <w:rPr>
                  <w:szCs w:val="24"/>
                  <w:lang w:eastAsia="lt-LT"/>
                </w:rPr>
              </w:pPr>
            </w:p>
          </w:sdtContent>
        </w:sdt>
        <w:sdt>
          <w:sdtPr>
            <w:alias w:val="signatura"/>
            <w:tag w:val="part_83043b3385394ea9b210f3d8f83e7f01"/>
            <w:lock w:val="sdtLocked"/>
            <w:richText/>
          </w:sdtPr>
          <w:sdtContent>
            <w:p w14:paraId="5E5D59A1" w14:textId="77777777">
              <w:pPr>
                <w:suppressAutoHyphens/>
                <w:rPr>
                  <w:szCs w:val="24"/>
                  <w:lang w:eastAsia="lt-LT"/>
                </w:rPr>
              </w:pPr>
              <w:r>
                <w:rPr>
                  <w:szCs w:val="24"/>
                  <w:lang w:eastAsia="lt-LT"/>
                </w:rPr>
                <w:t>Savivaldybės meras</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397" w:footer="0" w:gutter="0"/>
      <w:cols w:space="1296"/>
      <w:formProt w:val="0"/>
      <w:titlePg/>
      <w:docGrid w:linePitch="360" w:charSpace="1638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CBFBB0" w14:textId="77777777">
      <w:pPr>
        <w:suppressAutoHyphens/>
        <w:rPr>
          <w:sz w:val="22"/>
          <w:szCs w:val="22"/>
        </w:rPr>
      </w:pPr>
      <w:r>
        <w:rPr>
          <w:sz w:val="22"/>
          <w:szCs w:val="22"/>
        </w:rPr>
        <w:separator/>
      </w:r>
    </w:p>
  </w:endnote>
  <w:endnote w:type="continuationSeparator" w:id="0">
    <w:p w14:paraId="6099B480" w14:textId="77777777">
      <w:pPr>
        <w:suppressAutoHyphens/>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1F945" w14:textId="77777777">
    <w:pPr>
      <w:tabs>
        <w:tab w:val="center" w:pos="4819"/>
        <w:tab w:val="right" w:pos="9638"/>
      </w:tabs>
      <w:suppressAutoHyphen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E85E8B" w14:textId="77777777">
    <w:pPr>
      <w:tabs>
        <w:tab w:val="center" w:pos="4819"/>
        <w:tab w:val="right" w:pos="9638"/>
      </w:tabs>
      <w:suppressAutoHyphen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CA164F" w14:textId="77777777">
    <w:pPr>
      <w:tabs>
        <w:tab w:val="center" w:pos="4819"/>
        <w:tab w:val="right" w:pos="9638"/>
      </w:tabs>
      <w:suppressAutoHyphen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9053E0" w14:textId="77777777">
      <w:pPr>
        <w:suppressAutoHyphens/>
        <w:rPr>
          <w:sz w:val="22"/>
          <w:szCs w:val="22"/>
        </w:rPr>
      </w:pPr>
      <w:r>
        <w:rPr>
          <w:sz w:val="22"/>
          <w:szCs w:val="22"/>
        </w:rPr>
        <w:separator/>
      </w:r>
    </w:p>
  </w:footnote>
  <w:footnote w:type="continuationSeparator" w:id="0">
    <w:p w14:paraId="1DD74E6B" w14:textId="77777777">
      <w:pPr>
        <w:suppressAutoHyphens/>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44E959" w14:textId="77777777">
    <w:pPr>
      <w:tabs>
        <w:tab w:val="center" w:pos="4819"/>
        <w:tab w:val="right" w:pos="9638"/>
      </w:tabs>
      <w:suppressAutoHyphen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9BA81" w14:textId="77777777">
    <w:pPr>
      <w:tabs>
        <w:tab w:val="center" w:pos="4819"/>
        <w:tab w:val="right" w:pos="9638"/>
      </w:tabs>
      <w:suppressAutoHyphens/>
      <w:jc w:val="center"/>
      <w:rPr>
        <w:sz w:val="22"/>
        <w:szCs w:val="22"/>
      </w:rPr>
    </w:pPr>
    <w:r>
      <w:rPr>
        <w:sz w:val="22"/>
        <w:szCs w:val="22"/>
      </w:rPr>
      <w:fldChar w:fldCharType="begin"/>
    </w:r>
    <w:r>
      <w:rPr>
        <w:sz w:val="22"/>
        <w:szCs w:val="22"/>
      </w:rPr>
      <w:instrText xml:space="preserve"> PAGE </w:instrText>
    </w:r>
    <w:r>
      <w:rPr>
        <w:sz w:val="22"/>
        <w:szCs w:val="22"/>
      </w:rPr>
      <w:fldChar w:fldCharType="separate"/>
    </w:r>
    <w:r>
      <w:rPr>
        <w:sz w:val="22"/>
        <w:szCs w:val="22"/>
      </w:rPr>
      <w:t>2</w:t>
    </w:r>
    <w:r>
      <w:rPr>
        <w:sz w:val="22"/>
        <w:szCs w:val="22"/>
      </w:rPr>
      <w:fldChar w:fldCharType="end"/>
    </w:r>
  </w:p>
  <w:p w14:paraId="0444A0B6" w14:textId="77777777">
    <w:pPr>
      <w:tabs>
        <w:tab w:val="center" w:pos="4819"/>
        <w:tab w:val="right" w:pos="9638"/>
      </w:tabs>
      <w:suppressAutoHyphen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E1EE3" w14:textId="447085F1">
    <w:pPr>
      <w:tabs>
        <w:tab w:val="center" w:pos="4819"/>
        <w:tab w:val="right" w:pos="9638"/>
      </w:tabs>
      <w:suppressAutoHyphen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276"/>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0397DF"/>
  <w15:docId w15:val="{9FF885E2-D851-498B-816A-265A164C4F2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57edc9dad741a1a6b4ff28b6728acf" PartId="d7cdbb6f990845b08f54c8b71d5a3f59">
    <Part Type="preambule" DocPartId="bc1f88356d8d410397ccd7008007859d" PartId="96454f4ac83d45a1a405410bf7373ba2"/>
    <Part Type="pastraipa" DocPartId="cfdaa42dea7144a5b850d19ce04488fd" PartId="bba98fe714fc4335a2c67a1a0afa0e04"/>
    <Part Type="punktas" Nr="1" Abbr="1 p." DocPartId="7f4451e766564cdb8c1d231eb4545d74" PartId="1d52e8860f4a4166b4eebcd2a2f5e6c5"/>
    <Part Type="punktas" Nr="2" Abbr="2 p." DocPartId="0f2ab226cad54c0d919227ee78e88d28" PartId="db65bca1c1cc4121a017ab9079cc4175"/>
    <Part Type="punktas" Nr="3" Abbr="3 p." DocPartId="48f8eda599bc401bb69e611be8057cec" PartId="7d6df12177b14ccdb9e95eb99ac62cbf"/>
    <Part Type="punktas" Nr="4" Abbr="4 p." DocPartId="663f3745bbe14d7cae9bcaa05c000416" PartId="a6a4aa3b091b49edb067e4d04f5b6918"/>
    <Part Type="signatura" DocPartId="20d4e184f760407190f4d5aeb8a90c57" PartId="83043b3385394ea9b210f3d8f83e7f01"/>
  </Part>
</Parts>
</file>

<file path=customXml/itemProps1.xml><?xml version="1.0" encoding="utf-8"?>
<ds:datastoreItem xmlns:ds="http://schemas.openxmlformats.org/officeDocument/2006/customXml" ds:itemID="{4AA102F8-C0BE-4201-B29C-2395D9FB6A8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285</Words>
  <Characters>1958</Characters>
  <Application>Microsoft Office Word</Application>
  <DocSecurity>4</DocSecurity>
  <Lines>97</Lines>
  <Paragraphs>33</Paragraphs>
  <ScaleCrop>false</ScaleCrop>
  <Company/>
  <LinksUpToDate>false</LinksUpToDate>
  <CharactersWithSpaces>2210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2025-07-31T04:51:00Z</dcterms:created>
  <dc:creator>PC</dc:creator>
  <dc:language>en-US</dc:language>
  <lastModifiedBy>adlibuser</lastModifiedBy>
  <lastPrinted>2023-05-11T14:38:00Z</lastPrinted>
  <dcterms:modified xsi:type="dcterms:W3CDTF">2025-07-31T04:51:00Z</dcterms:modified>
  <revision>2</revision>
</coreProperties>
</file>