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extensions/taskpanes.xml" ContentType="application/vnd.ms-office.webextensiontaskpanes+xml"/>
  <Override PartName="/word/webextensions/webextension1.xml" ContentType="application/vnd.ms-office.webextension+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2" Type="http://schemas.microsoft.com/office/2011/relationships/webextensiontaskpanes" Target="word/webextensions/taskpanes.xml"/>
  <Relationship Id="rId4" Type="http://schemas.openxmlformats.org/officeDocument/2006/relationships/extended-properties" Target="docProps/app.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ackground w:color="FFFFFF"/>
  <w:body>
    <w:sdt>
      <w:sdtPr>
        <w:alias w:val="pagrindine"/>
        <w:tag w:val="part_0960158bf69e4e45b4160be858af8f38"/>
        <w:lock w:val="sdtLocked"/>
        <w:richText/>
      </w:sdtPr>
      <w:sdtContent>
        <w:p>
          <w:pPr>
            <w:tabs>
              <w:tab w:val="center" w:pos="4819"/>
              <w:tab w:val="right" w:pos="9638"/>
            </w:tabs>
            <w:jc w:val="center"/>
          </w:pPr>
        </w:p>
        <w:p>
          <w:pPr>
            <w:ind w:firstLine="8122"/>
            <w:rPr>
              <w:rFonts w:eastAsia="Calibri"/>
              <w:b/>
              <w:bCs/>
              <w:szCs w:val="24"/>
            </w:rPr>
          </w:pPr>
          <w:r>
            <w:rPr>
              <w:rFonts w:eastAsia="Calibri"/>
              <w:b/>
              <w:bCs/>
              <w:szCs w:val="24"/>
            </w:rPr>
            <w:t>Projektas</w:t>
          </w:r>
          <w:r>
            <w:rPr>
              <w:b/>
              <w:bCs/>
              <w:szCs w:val="24"/>
              <w:lang w:eastAsia="lt-LT"/>
            </w:rPr>
            <w:t xml:space="preserve">                                                             </w:t>
          </w:r>
        </w:p>
        <w:p>
          <w:pPr>
            <w:ind w:firstLine="8106"/>
            <w:rPr>
              <w:szCs w:val="24"/>
              <w:lang w:val="en-US" w:eastAsia="lt-LT"/>
            </w:rPr>
          </w:pPr>
          <w:r>
            <w:rPr>
              <w:szCs w:val="24"/>
              <w:lang w:eastAsia="lt-LT"/>
            </w:rPr>
            <w:t>Nr. TSP-</w:t>
          </w:r>
        </w:p>
        <w:p>
          <w:pPr>
            <w:jc w:val="center"/>
            <w:rPr>
              <w:sz w:val="22"/>
              <w:szCs w:val="22"/>
            </w:rPr>
          </w:pPr>
        </w:p>
        <w:p>
          <w:pPr>
            <w:keepNext/>
            <w:jc w:val="center"/>
            <w:rPr>
              <w:b/>
              <w:bCs/>
              <w:szCs w:val="24"/>
            </w:rPr>
          </w:pPr>
          <w:r>
            <w:rPr>
              <w:b/>
              <w:bCs/>
              <w:szCs w:val="24"/>
            </w:rPr>
            <w:t>RADVILIŠKIO RAJONO SAVIVALDYBĖS TARYBA</w:t>
          </w:r>
        </w:p>
        <w:p>
          <w:pPr>
            <w:jc w:val="center"/>
            <w:rPr>
              <w:b/>
              <w:bCs/>
              <w:szCs w:val="24"/>
            </w:rPr>
          </w:pPr>
        </w:p>
        <w:p>
          <w:pPr>
            <w:jc w:val="center"/>
            <w:rPr>
              <w:b/>
              <w:bCs/>
              <w:szCs w:val="24"/>
            </w:rPr>
          </w:pPr>
          <w:r>
            <w:rPr>
              <w:b/>
              <w:bCs/>
              <w:szCs w:val="24"/>
            </w:rPr>
            <w:t>SPRENDIMAS</w:t>
          </w:r>
        </w:p>
        <w:p>
          <w:pPr>
            <w:jc w:val="center"/>
            <w:rPr>
              <w:b/>
              <w:bCs/>
            </w:rPr>
          </w:pPr>
          <w:r>
            <w:rPr>
              <w:b/>
              <w:bCs/>
              <w:color w:val="000000"/>
              <w:szCs w:val="24"/>
              <w:lang w:eastAsia="lt-LT"/>
            </w:rPr>
            <w:t xml:space="preserve">DĖL </w:t>
          </w:r>
          <w:r>
            <w:rPr>
              <w:b/>
              <w:bCs/>
              <w:szCs w:val="24"/>
            </w:rPr>
            <w:t xml:space="preserve">RADVILIŠKIO RAJONO </w:t>
          </w:r>
          <w:r>
            <w:rPr>
              <w:b/>
              <w:bCs/>
              <w:color w:val="000000"/>
            </w:rPr>
            <w:t>SAVIVALDYBĖS TARYBOS </w:t>
          </w:r>
          <w:r>
            <w:rPr>
              <w:b/>
              <w:bCs/>
            </w:rPr>
            <w:t>2022 M. GRUODŽIO 22 D. SPRENDIMO NR. T-861 „DĖL RADVILIŠKIO RAJONO SAVIVALDYBĖS BIUDŽETINIŲ KULTŪROS IR TURIZMO ĮSTAIGŲ METINĖS VEIKLOS PLANŲ IR ATASKAITŲ RENGIMO TVARKOS APRAŠO PATVIRTINIMO“</w:t>
          </w:r>
        </w:p>
        <w:p>
          <w:pPr>
            <w:jc w:val="center"/>
            <w:rPr>
              <w:b/>
              <w:bCs/>
              <w:szCs w:val="24"/>
            </w:rPr>
          </w:pPr>
          <w:r>
            <w:rPr>
              <w:b/>
              <w:bCs/>
              <w:color w:val="000000"/>
            </w:rPr>
            <w:t>PRIPAŽINIMO NETEKUSIU GALIOS</w:t>
          </w:r>
        </w:p>
        <w:p>
          <w:pPr>
            <w:jc w:val="center"/>
            <w:rPr>
              <w:szCs w:val="24"/>
            </w:rPr>
          </w:pPr>
        </w:p>
        <w:p>
          <w:pPr>
            <w:jc w:val="center"/>
            <w:rPr>
              <w:szCs w:val="24"/>
            </w:rPr>
          </w:pPr>
          <w:r>
            <w:rPr>
              <w:szCs w:val="24"/>
            </w:rPr>
            <w:t xml:space="preserve">2025 m.                       d. Nr. </w:t>
          </w:r>
        </w:p>
        <w:p>
          <w:pPr>
            <w:jc w:val="center"/>
            <w:rPr>
              <w:szCs w:val="24"/>
            </w:rPr>
          </w:pPr>
          <w:r>
            <w:rPr>
              <w:szCs w:val="24"/>
            </w:rPr>
            <w:t>Radviliškis</w:t>
          </w:r>
        </w:p>
        <w:p>
          <w:pPr>
            <w:jc w:val="center"/>
            <w:rPr>
              <w:sz w:val="22"/>
              <w:szCs w:val="22"/>
            </w:rPr>
          </w:pPr>
        </w:p>
        <w:sdt>
          <w:sdtPr>
            <w:alias w:val="preambule"/>
            <w:tag w:val="part_eae0f7ac1859457eb3eb9e31b63d1335"/>
            <w:lock w:val="sdtLocked"/>
            <w:richText/>
          </w:sdtPr>
          <w:sdtContent>
            <w:p>
              <w:pPr>
                <w:ind w:firstLine="720"/>
                <w:jc w:val="both"/>
                <w:rPr>
                  <w:color w:val="000000"/>
                  <w:szCs w:val="24"/>
                </w:rPr>
              </w:pPr>
              <w:r>
                <w:rPr>
                  <w:color w:val="000000"/>
                  <w:szCs w:val="24"/>
                </w:rPr>
                <w:t xml:space="preserve">Radviliškio rajono savivaldybės taryba  </w:t>
              </w:r>
              <w:r>
                <w:rPr>
                  <w:color w:val="000000"/>
                  <w:spacing w:val="50"/>
                  <w:szCs w:val="24"/>
                </w:rPr>
                <w:t>nusprendži</w:t>
              </w:r>
              <w:r>
                <w:rPr>
                  <w:color w:val="000000"/>
                  <w:szCs w:val="24"/>
                </w:rPr>
                <w:t>a:</w:t>
              </w:r>
            </w:p>
          </w:sdtContent>
        </w:sdt>
        <w:sdt>
          <w:sdtPr>
            <w:alias w:val="pastraipa"/>
            <w:tag w:val="part_993ab260da45432a9014777b3ef41b0a"/>
            <w:lock w:val="sdtLocked"/>
            <w:richText/>
          </w:sdtPr>
          <w:sdtContent>
            <w:p>
              <w:pPr>
                <w:ind w:firstLine="720"/>
                <w:jc w:val="both"/>
                <w:rPr>
                  <w:szCs w:val="24"/>
                </w:rPr>
              </w:pPr>
              <w:r>
                <w:rPr>
                  <w:szCs w:val="24"/>
                </w:rPr>
                <w:t xml:space="preserve">Pripažinti netekusiu galios </w:t>
              </w:r>
              <w:r>
                <w:t xml:space="preserve">Radviliškio rajono savivaldybės tarybos 2022 gruodžio 22 d. sprendimą Nr. T-861 „Dėl Radviliškio rajono savivaldybės biudžetinių kultūros ir turizmo įstaigų metinės veiklos planų ir ataskaitų rengimo tvarkos aprašo patvirtinimo“. </w:t>
              </w:r>
            </w:p>
            <w:p>
              <w:pPr>
                <w:tabs>
                  <w:tab w:val="left" w:pos="709"/>
                </w:tabs>
                <w:rPr>
                  <w:szCs w:val="24"/>
                </w:rPr>
              </w:pPr>
            </w:p>
            <w:p>
              <w:pPr>
                <w:tabs>
                  <w:tab w:val="left" w:pos="709"/>
                </w:tabs>
              </w:pPr>
            </w:p>
            <w:p>
              <w:pPr>
                <w:tabs>
                  <w:tab w:val="left" w:pos="709"/>
                </w:tabs>
              </w:pPr>
            </w:p>
            <w:p>
              <w:pPr>
                <w:rPr>
                  <w:szCs w:val="24"/>
                </w:rPr>
              </w:pPr>
              <w:r>
                <w:rPr>
                  <w:szCs w:val="24"/>
                </w:rPr>
                <w:t xml:space="preserve">Savivaldybės meras </w:t>
                <w:tab/>
                <w:tab/>
                <w:tab/>
                <w:tab/>
                <w:tab/>
                <w:tab/>
                <w:tab/>
                <w:t xml:space="preserve">               </w:t>
              </w:r>
            </w:p>
            <w:p>
              <w:pPr>
                <w:rPr>
                  <w:szCs w:val="24"/>
                  <w:lang w:eastAsia="lt-LT"/>
                </w:rPr>
              </w:pPr>
            </w:p>
            <w:p>
              <w:pPr>
                <w:tabs>
                  <w:tab w:val="left" w:pos="315"/>
                </w:tabs>
                <w:rPr>
                  <w:b/>
                  <w:bCs/>
                  <w:sz w:val="28"/>
                  <w:szCs w:val="28"/>
                </w:rPr>
              </w:pPr>
            </w:p>
            <w:p>
              <w:pPr>
                <w:jc w:val="center"/>
                <w:rPr>
                  <w:b/>
                  <w:bCs/>
                  <w:sz w:val="28"/>
                  <w:szCs w:val="28"/>
                </w:rPr>
              </w:pPr>
            </w:p>
            <w:p>
              <w:pPr>
                <w:jc w:val="center"/>
                <w:rPr>
                  <w:b/>
                  <w:bCs/>
                  <w:sz w:val="28"/>
                  <w:szCs w:val="28"/>
                </w:rPr>
              </w:pPr>
            </w:p>
            <w:p>
              <w:pPr>
                <w:jc w:val="center"/>
                <w:rPr>
                  <w:b/>
                  <w:bCs/>
                  <w:sz w:val="28"/>
                  <w:szCs w:val="28"/>
                </w:rPr>
              </w:pPr>
            </w:p>
            <w:p>
              <w:pPr>
                <w:rPr>
                  <w:b/>
                  <w:bCs/>
                  <w:sz w:val="28"/>
                  <w:szCs w:val="28"/>
                </w:rPr>
              </w:pPr>
            </w:p>
            <w:p>
              <w:pPr>
                <w:rPr>
                  <w:b/>
                  <w:bCs/>
                  <w:sz w:val="28"/>
                  <w:szCs w:val="28"/>
                </w:rPr>
              </w:pPr>
            </w:p>
            <w:p>
              <w:pPr>
                <w:rPr>
                  <w:b/>
                  <w:bCs/>
                  <w:sz w:val="28"/>
                  <w:szCs w:val="28"/>
                </w:rPr>
              </w:pPr>
            </w:p>
            <w:p>
              <w:pPr>
                <w:rPr>
                  <w:b/>
                  <w:bCs/>
                  <w:sz w:val="28"/>
                  <w:szCs w:val="28"/>
                </w:rPr>
                <w:sectPr>
                  <w:headerReference w:type="even" r:id="rId7"/>
                  <w:headerReference w:type="default" r:id="rId8"/>
                  <w:footerReference w:type="even" r:id="rId9"/>
                  <w:footerReference w:type="default" r:id="rId10"/>
                  <w:headerReference w:type="first" r:id="rId11"/>
                  <w:footerReference w:type="first" r:id="rId12"/>
                  <w:pgSz w:w="11906" w:h="16838" w:code="9"/>
                  <w:pgMar w:top="1134" w:right="567" w:bottom="1134" w:left="1701" w:header="709" w:footer="709" w:gutter="0"/>
                  <w:cols w:space="708"/>
                  <w:titlePg/>
                  <w:docGrid w:linePitch="360"/>
                </w:sectPr>
              </w:pPr>
            </w:p>
          </w:sdtContent>
        </w:sdt>
        <w:sdt>
          <w:sdtPr>
            <w:alias w:val="lentele"/>
            <w:tag w:val="part_2f433952f30340dbafc4e922e8f454b8"/>
            <w:lock w:val="sdtLocked"/>
            <w:richText/>
          </w:sdtPr>
          <w:sdtContent>
            <w:tbl>
              <w:tblPr>
                <w:tblW w:w="0" w:type="auto"/>
                <w:tblLook w:val="04A0" w:firstRow="1" w:lastRow="0" w:firstColumn="1" w:lastColumn="0" w:noHBand="0" w:noVBand="1"/>
              </w:tblPr>
              <w:tblGrid>
                <w:gridCol w:w="3875"/>
              </w:tblGrid>
              <w:tr>
                <w:trPr>
                  <w:trHeight w:val="783"/>
                </w:trPr>
                <w:tc>
                  <w:tcPr>
                    <w:tcW w:w="3875" w:type="dxa"/>
                  </w:tcPr>
                  <w:p>
                    <w:pPr>
                      <w:tabs>
                        <w:tab w:val="center" w:pos="4819"/>
                        <w:tab w:val="right" w:pos="9638"/>
                      </w:tabs>
                      <w:rPr>
                        <w:sz w:val="22"/>
                        <w:szCs w:val="22"/>
                      </w:rPr>
                    </w:pPr>
                  </w:p>
                  <w:p>
                    <w:pPr>
                      <w:rPr>
                        <w:sz w:val="20"/>
                      </w:rPr>
                    </w:pPr>
                    <w:r>
                      <w:rPr>
                        <w:bCs/>
                        <w:sz w:val="20"/>
                      </w:rPr>
                      <w:t>PATVIRTINTA:</w:t>
                    </w:r>
                  </w:p>
                  <w:p>
                    <w:pPr>
                      <w:rPr>
                        <w:bCs/>
                        <w:sz w:val="20"/>
                      </w:rPr>
                    </w:pPr>
                    <w:r>
                      <w:rPr>
                        <w:bCs/>
                        <w:sz w:val="20"/>
                      </w:rPr>
                      <w:t xml:space="preserve">Radviliškio rajono savivaldybės tarybos </w:t>
                    </w:r>
                  </w:p>
                  <w:p>
                    <w:pPr>
                      <w:rPr>
                        <w:bCs/>
                        <w:sz w:val="20"/>
                      </w:rPr>
                    </w:pPr>
                    <w:r>
                      <w:rPr>
                        <w:bCs/>
                        <w:sz w:val="20"/>
                      </w:rPr>
                      <w:t>2023 m. lapkričio 16 d.</w:t>
                    </w:r>
                  </w:p>
                  <w:p>
                    <w:pPr>
                      <w:rPr>
                        <w:bCs/>
                        <w:sz w:val="20"/>
                      </w:rPr>
                    </w:pPr>
                    <w:r>
                      <w:rPr>
                        <w:bCs/>
                        <w:sz w:val="20"/>
                      </w:rPr>
                      <w:t>Sprendimu Nr. T-</w:t>
                    </w:r>
                  </w:p>
                  <w:p>
                    <w:pPr>
                      <w:rPr>
                        <w:bCs/>
                        <w:sz w:val="22"/>
                        <w:szCs w:val="24"/>
                      </w:rPr>
                    </w:pPr>
                  </w:p>
                </w:tc>
              </w:tr>
            </w:tbl>
            <w:p>
              <w:pPr>
                <w:ind w:right="278"/>
                <w:jc w:val="center"/>
                <w:rPr>
                  <w:b/>
                  <w:szCs w:val="24"/>
                </w:rPr>
              </w:pPr>
            </w:p>
          </w:sdtContent>
        </w:sdt>
        <w:sdt>
          <w:sdtPr>
            <w:alias w:val="skirsnis"/>
            <w:tag w:val="part_adebae2d413248329e6d59a185a247a9"/>
            <w:lock w:val="sdtLocked"/>
            <w:richText/>
          </w:sdtPr>
          <w:sdtContent>
            <w:sdt>
              <w:sdtPr>
                <w:alias w:val="Pavadinimas"/>
                <w:tag w:val="title_adebae2d413248329e6d59a185a247a9"/>
                <w:lock w:val="sdtLocked"/>
                <w:richText/>
              </w:sdtPr>
              <w:sdtContent>
                <w:p>
                  <w:pPr>
                    <w:ind w:right="278"/>
                    <w:jc w:val="center"/>
                    <w:rPr>
                      <w:b/>
                      <w:szCs w:val="24"/>
                    </w:rPr>
                  </w:pPr>
                  <w:r>
                    <w:rPr>
                      <w:b/>
                      <w:szCs w:val="24"/>
                    </w:rPr>
                    <w:t>RADVILIŠKIO RAJONO SAVIVALDYBĖS TARYBOS SPRENDIMO PROJEKTO</w:t>
                  </w:r>
                </w:p>
                <w:p>
                  <w:pPr>
                    <w:jc w:val="center"/>
                    <w:rPr>
                      <w:b/>
                      <w:bCs/>
                    </w:rPr>
                  </w:pPr>
                  <w:r>
                    <w:rPr>
                      <w:b/>
                      <w:bCs/>
                      <w:color w:val="000000"/>
                      <w:szCs w:val="24"/>
                      <w:lang w:eastAsia="lt-LT"/>
                    </w:rPr>
                    <w:t xml:space="preserve">DĖL </w:t>
                  </w:r>
                  <w:r>
                    <w:rPr>
                      <w:b/>
                      <w:bCs/>
                      <w:szCs w:val="24"/>
                    </w:rPr>
                    <w:t xml:space="preserve">RADVILIŠKIO RAJONO </w:t>
                  </w:r>
                  <w:r>
                    <w:rPr>
                      <w:b/>
                      <w:bCs/>
                      <w:color w:val="000000"/>
                    </w:rPr>
                    <w:t>SAVIVALDYBĖS TARYBOS </w:t>
                  </w:r>
                  <w:r>
                    <w:rPr>
                      <w:b/>
                      <w:bCs/>
                    </w:rPr>
                    <w:t>2022 M. GRUODŽIO 22 D. SPRENDIMO NR. T-861 „DĖL RADVILIŠKIO RAJONO SAVIVALDYBĖS BIUDŽETINIŲ KULTŪROS IR TURIZMO ĮSTAIGŲ METINĖS VEIKLOS PLANŲ IR ATASKAITŲ RENGIMO TVARKOS APRAŠO PATVIRTINIMO“</w:t>
                  </w:r>
                </w:p>
                <w:p>
                  <w:pPr>
                    <w:jc w:val="center"/>
                    <w:rPr>
                      <w:b/>
                      <w:bCs/>
                      <w:szCs w:val="24"/>
                    </w:rPr>
                  </w:pPr>
                  <w:r>
                    <w:rPr>
                      <w:b/>
                      <w:bCs/>
                      <w:color w:val="000000"/>
                    </w:rPr>
                    <w:t>PRIPAŽINIMO NETEKUSIU GALIOS</w:t>
                  </w:r>
                  <w:r>
                    <w:rPr>
                      <w:b/>
                      <w:szCs w:val="24"/>
                    </w:rPr>
                    <w:t xml:space="preserve"> </w:t>
                  </w:r>
                </w:p>
                <w:p>
                  <w:pPr>
                    <w:ind w:right="278"/>
                    <w:jc w:val="center"/>
                    <w:rPr>
                      <w:b/>
                      <w:bCs/>
                      <w:szCs w:val="24"/>
                    </w:rPr>
                  </w:pPr>
                  <w:r>
                    <w:rPr>
                      <w:b/>
                      <w:bCs/>
                      <w:szCs w:val="24"/>
                    </w:rPr>
                    <w:t>AIŠKINAMASIS RAŠTAS</w:t>
                  </w:r>
                </w:p>
              </w:sdtContent>
            </w:sdt>
            <w:p>
              <w:pPr>
                <w:ind w:right="177" w:firstLine="4925"/>
                <w:rPr>
                  <w:szCs w:val="24"/>
                </w:rPr>
              </w:pPr>
            </w:p>
            <w:p>
              <w:pPr>
                <w:ind w:right="177" w:firstLine="709"/>
                <w:jc w:val="center"/>
                <w:rPr>
                  <w:szCs w:val="24"/>
                </w:rPr>
              </w:pPr>
              <w:r>
                <w:rPr>
                  <w:szCs w:val="24"/>
                </w:rPr>
                <w:t xml:space="preserve">2025 m. sausio 22  d.</w:t>
              </w:r>
            </w:p>
            <w:p>
              <w:pPr>
                <w:ind w:right="177" w:firstLine="709"/>
                <w:jc w:val="center"/>
                <w:rPr>
                  <w:szCs w:val="24"/>
                </w:rPr>
              </w:pPr>
              <w:r>
                <w:rPr>
                  <w:szCs w:val="24"/>
                </w:rPr>
                <w:t>Radviliškis</w:t>
              </w:r>
            </w:p>
            <w:p>
              <w:pPr>
                <w:spacing w:line="276" w:lineRule="auto"/>
                <w:ind w:left="-120"/>
                <w:rPr>
                  <w:szCs w:val="24"/>
                </w:rPr>
              </w:pPr>
            </w:p>
            <w:sdt>
              <w:sdtPr>
                <w:alias w:val="1 p."/>
                <w:tag w:val="part_965b68b0f0bc4c489bc7fb3072f7f626"/>
                <w:lock w:val="sdtLocked"/>
                <w:richText/>
              </w:sdtPr>
              <w:sdtContent>
                <w:p>
                  <w:pPr>
                    <w:tabs>
                      <w:tab w:val="left" w:pos="993"/>
                    </w:tabs>
                    <w:spacing w:line="276" w:lineRule="auto"/>
                    <w:ind w:firstLine="709"/>
                    <w:jc w:val="both"/>
                    <w:rPr>
                      <w:b/>
                      <w:bCs/>
                      <w:szCs w:val="24"/>
                    </w:rPr>
                  </w:pPr>
                  <w:sdt>
                    <w:sdtPr>
                      <w:alias w:val="Numeris"/>
                      <w:tag w:val="nr_965b68b0f0bc4c489bc7fb3072f7f626"/>
                      <w:lock w:val="sdtLocked"/>
                      <w:richText/>
                    </w:sdtPr>
                    <w:sdtContent>
                      <w:r>
                        <w:rPr>
                          <w:b/>
                          <w:bCs/>
                          <w:szCs w:val="24"/>
                        </w:rPr>
                        <w:t>1</w:t>
                      </w:r>
                    </w:sdtContent>
                  </w:sdt>
                  <w:r>
                    <w:rPr>
                      <w:b/>
                      <w:bCs/>
                      <w:szCs w:val="24"/>
                    </w:rPr>
                    <w:t>.</w:t>
                    <w:tab/>
                    <w:t>Parengto sprendimo rengimą paskatinusios priežastys, parengto projekto tikslai, sprendimo projekto tikslai ir uždaviniai.</w:t>
                  </w:r>
                </w:p>
                <w:p>
                  <w:pPr>
                    <w:spacing w:line="276" w:lineRule="auto"/>
                    <w:ind w:firstLine="736"/>
                    <w:jc w:val="both"/>
                    <w:rPr>
                      <w:szCs w:val="24"/>
                    </w:rPr>
                  </w:pPr>
                  <w:r>
                    <w:rPr>
                      <w:szCs w:val="24"/>
                    </w:rPr>
                    <w:t>Sprendimo projektas rengiamas dėl 2025 m. sausio 22 d. patvirtinto</w:t>
                  </w:r>
                  <w:r>
                    <w:t xml:space="preserve"> </w:t>
                  </w:r>
                  <w:r>
                    <w:rPr>
                      <w:szCs w:val="24"/>
                    </w:rPr>
                    <w:t>Radviliškio rajono savivaldybės mero potvarkio Nr. M-32 (2.5 E) „Radviliškio rajono savivaldybės biudžetinių, viešųjų įstaigų ir savivaldybės valdomų įmonių metinių veiklos planų ir ataskaitų, ataskaitų rinkinių rengimo, teikimo tvirtinimui ir paskelbimo tvarkos aprašas“.</w:t>
                  </w:r>
                  <w:r>
                    <w:t xml:space="preserve"> </w:t>
                  </w:r>
                  <w:r>
                    <w:rPr>
                      <w:szCs w:val="24"/>
                    </w:rPr>
                    <w:t>Radviliškio rajono savivaldybės biudžetinių, viešųjų įstaigų ir Savivaldybės valdomų įmonių metinių veiklos planų ir ataskaitų, ataskaitų rinkinių rengimo, teikimo tvirtinimui ir paskelbimo tvarkos apraše nustatoma Radviliškio rajono savivaldybės, Radviliškio rajono savivaldybės administracijos, Savivaldybės biudžetinių ir viešųjų įstaigų bei Savivaldybės valdomų įmonių (toliau – subjektai) metinių veiklos planų ir ataskaitų, ataskaitų rinkinių rengimo tvarka, detalizuojama veiklos ataskaitoje teiktina informacija, sprendimų dėl šių ataskaitų priėmimas bei ataskaitų paskelbimo tvarka.</w:t>
                  </w:r>
                </w:p>
              </w:sdtContent>
            </w:sdt>
            <w:sdt>
              <w:sdtPr>
                <w:alias w:val="2 p."/>
                <w:tag w:val="part_c4de734bfde0430c82f8cb57eef5d23b"/>
                <w:lock w:val="sdtLocked"/>
                <w:richText/>
              </w:sdtPr>
              <w:sdtContent>
                <w:p>
                  <w:pPr>
                    <w:spacing w:line="276" w:lineRule="auto"/>
                    <w:ind w:firstLine="720"/>
                    <w:jc w:val="both"/>
                    <w:rPr>
                      <w:szCs w:val="24"/>
                    </w:rPr>
                  </w:pPr>
                  <w:sdt>
                    <w:sdtPr>
                      <w:alias w:val="Numeris"/>
                      <w:tag w:val="nr_c4de734bfde0430c82f8cb57eef5d23b"/>
                      <w:lock w:val="sdtLocked"/>
                      <w:richText/>
                    </w:sdtPr>
                    <w:sdtContent>
                      <w:r>
                        <w:rPr>
                          <w:b/>
                          <w:bCs/>
                          <w:szCs w:val="24"/>
                        </w:rPr>
                        <w:t>2</w:t>
                      </w:r>
                    </w:sdtContent>
                  </w:sdt>
                  <w:r>
                    <w:rPr>
                      <w:b/>
                      <w:bCs/>
                      <w:szCs w:val="24"/>
                    </w:rPr>
                    <w:t>. Projekto iniciatoriai (institucija, asmenys ar piliečių atstovai) ir rengėjai.</w:t>
                  </w:r>
                </w:p>
                <w:p>
                  <w:pPr>
                    <w:spacing w:line="276" w:lineRule="auto"/>
                    <w:ind w:firstLine="709"/>
                    <w:jc w:val="both"/>
                    <w:rPr>
                      <w:szCs w:val="24"/>
                    </w:rPr>
                  </w:pPr>
                  <w:r>
                    <w:rPr>
                      <w:lang w:bidi="he-IL"/>
                    </w:rPr>
                    <w:t>Projekto iniciatorius ir rengėjas – Radviliškio rajono savivaldybės administracijos Kultūros, paveldosaugos ir turizmo skyrius.</w:t>
                  </w:r>
                </w:p>
              </w:sdtContent>
            </w:sdt>
            <w:sdt>
              <w:sdtPr>
                <w:alias w:val="3 p."/>
                <w:tag w:val="part_96aca412c5374e09b0bed1145e8a12d2"/>
                <w:lock w:val="sdtLocked"/>
                <w:richText/>
              </w:sdtPr>
              <w:sdtContent>
                <w:p>
                  <w:pPr>
                    <w:spacing w:line="276" w:lineRule="auto"/>
                    <w:ind w:firstLine="709"/>
                    <w:jc w:val="both"/>
                    <w:rPr>
                      <w:b/>
                      <w:szCs w:val="24"/>
                    </w:rPr>
                  </w:pPr>
                  <w:sdt>
                    <w:sdtPr>
                      <w:alias w:val="Numeris"/>
                      <w:tag w:val="nr_96aca412c5374e09b0bed1145e8a12d2"/>
                      <w:lock w:val="sdtLocked"/>
                      <w:richText/>
                    </w:sdtPr>
                    <w:sdtContent>
                      <w:r>
                        <w:rPr>
                          <w:b/>
                          <w:bCs/>
                          <w:szCs w:val="24"/>
                        </w:rPr>
                        <w:t>3</w:t>
                      </w:r>
                    </w:sdtContent>
                  </w:sdt>
                  <w:r>
                    <w:rPr>
                      <w:b/>
                      <w:bCs/>
                      <w:szCs w:val="24"/>
                    </w:rPr>
                    <w:t xml:space="preserve">.  </w:t>
                  </w:r>
                  <w:r>
                    <w:rPr>
                      <w:b/>
                      <w:szCs w:val="24"/>
                    </w:rPr>
                    <w:t>Kaip šiuo metu yra reguliuojami sprendimo projekte aptarti teisiniai santykiai.</w:t>
                  </w:r>
                </w:p>
                <w:p>
                  <w:pPr>
                    <w:spacing w:line="276" w:lineRule="auto"/>
                    <w:ind w:firstLine="709"/>
                    <w:jc w:val="both"/>
                    <w:rPr>
                      <w:szCs w:val="24"/>
                    </w:rPr>
                  </w:pPr>
                  <w:r>
                    <w:rPr>
                      <w:szCs w:val="24"/>
                    </w:rPr>
                    <w:t>Kultūros ir turizmo įstaigų</w:t>
                  </w:r>
                  <w:r>
                    <w:t xml:space="preserve"> </w:t>
                  </w:r>
                  <w:r>
                    <w:rPr>
                      <w:szCs w:val="24"/>
                    </w:rPr>
                    <w:t xml:space="preserve">metinės veiklos planų ir ataskaitų rengimo tvarka buvo tvirtinta Savivaldybės tarybos sprendimu. </w:t>
                  </w:r>
                </w:p>
              </w:sdtContent>
            </w:sdt>
            <w:sdt>
              <w:sdtPr>
                <w:alias w:val="4 p."/>
                <w:tag w:val="part_32d3ddff38e7426c88359b3485982a03"/>
                <w:lock w:val="sdtLocked"/>
                <w:richText/>
              </w:sdtPr>
              <w:sdtContent>
                <w:p>
                  <w:pPr>
                    <w:spacing w:line="276" w:lineRule="auto"/>
                    <w:ind w:firstLine="771"/>
                    <w:jc w:val="both"/>
                    <w:rPr>
                      <w:b/>
                      <w:bCs/>
                      <w:szCs w:val="24"/>
                    </w:rPr>
                  </w:pPr>
                  <w:sdt>
                    <w:sdtPr>
                      <w:alias w:val="Numeris"/>
                      <w:tag w:val="nr_32d3ddff38e7426c88359b3485982a03"/>
                      <w:lock w:val="sdtLocked"/>
                      <w:richText/>
                    </w:sdtPr>
                    <w:sdtContent>
                      <w:r>
                        <w:rPr>
                          <w:b/>
                          <w:bCs/>
                          <w:szCs w:val="24"/>
                        </w:rPr>
                        <w:t>4</w:t>
                      </w:r>
                    </w:sdtContent>
                  </w:sdt>
                  <w:r>
                    <w:rPr>
                      <w:b/>
                      <w:bCs/>
                      <w:szCs w:val="24"/>
                    </w:rPr>
                    <w:t>. Kokios siūlomos naujos teisinio reguliavimo nuostatos, kokių teigiamų rezultatų laukiama.</w:t>
                  </w:r>
                </w:p>
                <w:p>
                  <w:pPr>
                    <w:spacing w:line="276" w:lineRule="auto"/>
                    <w:ind w:firstLine="771"/>
                    <w:jc w:val="both"/>
                    <w:rPr>
                      <w:szCs w:val="24"/>
                    </w:rPr>
                  </w:pPr>
                  <w:r>
                    <w:rPr>
                      <w:szCs w:val="24"/>
                    </w:rPr>
                    <w:t>Mero potvarkiu</w:t>
                  </w:r>
                  <w:r>
                    <w:t xml:space="preserve"> </w:t>
                  </w:r>
                  <w:r>
                    <w:rPr>
                      <w:szCs w:val="24"/>
                    </w:rPr>
                    <w:t xml:space="preserve">Savivaldybės subjektams nustatoma bendra veiklos planų, ataskaitų, ataskaitų rinkinių rengimo, teikimo tvirtinimui ir paskelbimo tvarka bei terminai.  </w:t>
                  </w:r>
                </w:p>
              </w:sdtContent>
            </w:sdt>
            <w:sdt>
              <w:sdtPr>
                <w:alias w:val="5 p."/>
                <w:tag w:val="part_aeea46e798974e0a9870399bd7b348d6"/>
                <w:lock w:val="sdtLocked"/>
                <w:richText/>
              </w:sdtPr>
              <w:sdtContent>
                <w:p>
                  <w:pPr>
                    <w:spacing w:line="276" w:lineRule="auto"/>
                    <w:ind w:firstLine="709"/>
                    <w:jc w:val="both"/>
                    <w:rPr>
                      <w:b/>
                      <w:bCs/>
                      <w:szCs w:val="24"/>
                    </w:rPr>
                  </w:pPr>
                  <w:sdt>
                    <w:sdtPr>
                      <w:alias w:val="Numeris"/>
                      <w:tag w:val="nr_aeea46e798974e0a9870399bd7b348d6"/>
                      <w:lock w:val="sdtLocked"/>
                      <w:richText/>
                    </w:sdtPr>
                    <w:sdtContent>
                      <w:r>
                        <w:rPr>
                          <w:b/>
                          <w:bCs/>
                          <w:szCs w:val="24"/>
                        </w:rPr>
                        <w:t>5</w:t>
                      </w:r>
                    </w:sdtContent>
                  </w:sdt>
                  <w:r>
                    <w:rPr>
                      <w:b/>
                      <w:bCs/>
                      <w:szCs w:val="24"/>
                    </w:rPr>
                    <w:t xml:space="preserve">. Galimos neigiamos priimto sprendimo projekto pasekmės ir kokių priemonių reikėtų imtis, kad tokių pasekmių būtų išvengta. </w:t>
                  </w:r>
                </w:p>
                <w:p>
                  <w:pPr>
                    <w:spacing w:line="276" w:lineRule="auto"/>
                    <w:ind w:firstLine="709"/>
                    <w:jc w:val="both"/>
                    <w:rPr>
                      <w:b/>
                      <w:bCs/>
                      <w:szCs w:val="24"/>
                    </w:rPr>
                  </w:pPr>
                  <w:r>
                    <w:rPr>
                      <w:szCs w:val="24"/>
                    </w:rPr>
                    <w:t xml:space="preserve">– </w:t>
                  </w:r>
                </w:p>
              </w:sdtContent>
            </w:sdt>
            <w:sdt>
              <w:sdtPr>
                <w:alias w:val="6 p."/>
                <w:tag w:val="part_802df09c95ef4ab79804bc449627a442"/>
                <w:lock w:val="sdtLocked"/>
                <w:richText/>
              </w:sdtPr>
              <w:sdtContent>
                <w:p>
                  <w:pPr>
                    <w:spacing w:line="276" w:lineRule="auto"/>
                    <w:ind w:firstLine="709"/>
                    <w:jc w:val="both"/>
                    <w:rPr>
                      <w:b/>
                      <w:bCs/>
                      <w:szCs w:val="24"/>
                    </w:rPr>
                  </w:pPr>
                  <w:sdt>
                    <w:sdtPr>
                      <w:alias w:val="Numeris"/>
                      <w:tag w:val="nr_802df09c95ef4ab79804bc449627a442"/>
                      <w:lock w:val="sdtLocked"/>
                      <w:richText/>
                    </w:sdtPr>
                    <w:sdtContent>
                      <w:r>
                        <w:rPr>
                          <w:b/>
                          <w:bCs/>
                          <w:szCs w:val="24"/>
                        </w:rPr>
                        <w:t>6</w:t>
                      </w:r>
                    </w:sdtContent>
                  </w:sdt>
                  <w:r>
                    <w:rPr>
                      <w:b/>
                      <w:bCs/>
                      <w:szCs w:val="24"/>
                    </w:rPr>
                    <w:t xml:space="preserve">. Kokius teisės aktus būtina priimti, kokius galiojančius teisės aktus būtina pakeisti ar pripažinti netekusiais galios priėmus sprendimo projektą. </w:t>
                  </w:r>
                </w:p>
                <w:p>
                  <w:pPr>
                    <w:spacing w:line="276" w:lineRule="auto"/>
                    <w:ind w:firstLine="709"/>
                    <w:jc w:val="both"/>
                    <w:rPr>
                      <w:b/>
                      <w:bCs/>
                      <w:szCs w:val="24"/>
                    </w:rPr>
                  </w:pPr>
                  <w:r>
                    <w:rPr>
                      <w:szCs w:val="24"/>
                    </w:rPr>
                    <w:t xml:space="preserve">– </w:t>
                  </w:r>
                </w:p>
              </w:sdtContent>
            </w:sdt>
            <w:sdt>
              <w:sdtPr>
                <w:alias w:val="7 p."/>
                <w:tag w:val="part_f633fa4293b043f79e7addc68b492285"/>
                <w:lock w:val="sdtLocked"/>
                <w:richText/>
              </w:sdtPr>
              <w:sdtContent>
                <w:p>
                  <w:pPr>
                    <w:spacing w:line="276" w:lineRule="auto"/>
                    <w:ind w:firstLine="709"/>
                    <w:jc w:val="both"/>
                    <w:rPr>
                      <w:b/>
                      <w:szCs w:val="24"/>
                    </w:rPr>
                  </w:pPr>
                  <w:sdt>
                    <w:sdtPr>
                      <w:alias w:val="Numeris"/>
                      <w:tag w:val="nr_f633fa4293b043f79e7addc68b492285"/>
                      <w:lock w:val="sdtLocked"/>
                      <w:richText/>
                    </w:sdtPr>
                    <w:sdtContent>
                      <w:r>
                        <w:rPr>
                          <w:b/>
                          <w:bCs/>
                          <w:szCs w:val="24"/>
                        </w:rPr>
                        <w:t>7</w:t>
                      </w:r>
                    </w:sdtContent>
                  </w:sdt>
                  <w:r>
                    <w:rPr>
                      <w:b/>
                      <w:bCs/>
                      <w:szCs w:val="24"/>
                    </w:rPr>
                    <w:t xml:space="preserve">. </w:t>
                  </w:r>
                  <w:r>
                    <w:rPr>
                      <w:b/>
                      <w:szCs w:val="24"/>
                    </w:rPr>
                    <w:t xml:space="preserve">Sprendimo projektui įgyvendinti reikalingos lėšos, finansavimo šaltiniai. </w:t>
                  </w:r>
                </w:p>
                <w:p>
                  <w:pPr>
                    <w:spacing w:line="276" w:lineRule="auto"/>
                    <w:ind w:firstLine="709"/>
                    <w:jc w:val="both"/>
                    <w:rPr>
                      <w:b/>
                      <w:szCs w:val="24"/>
                    </w:rPr>
                  </w:pPr>
                  <w:r>
                    <w:rPr>
                      <w:szCs w:val="24"/>
                    </w:rPr>
                    <w:t xml:space="preserve">– </w:t>
                  </w:r>
                </w:p>
              </w:sdtContent>
            </w:sdt>
            <w:sdt>
              <w:sdtPr>
                <w:alias w:val="8 p."/>
                <w:tag w:val="part_ba3b14c56617441593e73b7948320f0f"/>
                <w:lock w:val="sdtLocked"/>
                <w:richText/>
              </w:sdtPr>
              <w:sdtContent>
                <w:p>
                  <w:pPr>
                    <w:tabs>
                      <w:tab w:val="left" w:pos="1418"/>
                    </w:tabs>
                    <w:spacing w:line="276" w:lineRule="auto"/>
                    <w:ind w:left="709"/>
                    <w:jc w:val="both"/>
                    <w:rPr>
                      <w:b/>
                      <w:bCs/>
                      <w:szCs w:val="24"/>
                    </w:rPr>
                  </w:pPr>
                  <w:sdt>
                    <w:sdtPr>
                      <w:alias w:val="Numeris"/>
                      <w:tag w:val="nr_ba3b14c56617441593e73b7948320f0f"/>
                      <w:lock w:val="sdtLocked"/>
                      <w:richText/>
                    </w:sdtPr>
                    <w:sdtContent>
                      <w:r>
                        <w:rPr>
                          <w:b/>
                          <w:bCs/>
                          <w:szCs w:val="24"/>
                        </w:rPr>
                        <w:t>8</w:t>
                      </w:r>
                    </w:sdtContent>
                  </w:sdt>
                  <w:r>
                    <w:rPr>
                      <w:b/>
                      <w:bCs/>
                      <w:szCs w:val="24"/>
                    </w:rPr>
                    <w:t xml:space="preserve">. Sprendimo projekto rengimo metu gauti specialistų vertinimai ir išvados. </w:t>
                  </w: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bCs/>
                      <w:szCs w:val="24"/>
                    </w:rPr>
                  </w:pPr>
                  <w:r>
                    <w:rPr>
                      <w:bCs/>
                      <w:szCs w:val="24"/>
                    </w:rPr>
                    <w:t>Sprendimo projektas</w:t>
                  </w:r>
                  <w:r>
                    <w:rPr>
                      <w:b/>
                      <w:szCs w:val="24"/>
                    </w:rPr>
                    <w:t xml:space="preserve"> </w:t>
                  </w:r>
                  <w:r>
                    <w:rPr>
                      <w:bCs/>
                      <w:szCs w:val="24"/>
                    </w:rPr>
                    <w:t>suderintas su savivaldybės teisininku, kalbininku, Administracijos direktore, vicemerais ir meru.</w:t>
                  </w:r>
                </w:p>
              </w:sdtContent>
            </w:sdt>
            <w:sdt>
              <w:sdtPr>
                <w:alias w:val="9 p."/>
                <w:tag w:val="part_b485f9adb0b34bbbb81dd3328cb5f9d3"/>
                <w:lock w:val="sdtLocked"/>
                <w:richText/>
              </w:sdtPr>
              <w:sdtContent>
                <w:p>
                  <w:pPr>
                    <w:spacing w:line="276" w:lineRule="auto"/>
                    <w:ind w:left="709"/>
                    <w:jc w:val="both"/>
                    <w:rPr>
                      <w:b/>
                      <w:bCs/>
                      <w:szCs w:val="24"/>
                    </w:rPr>
                  </w:pPr>
                  <w:sdt>
                    <w:sdtPr>
                      <w:alias w:val="Numeris"/>
                      <w:tag w:val="nr_b485f9adb0b34bbbb81dd3328cb5f9d3"/>
                      <w:lock w:val="sdtLocked"/>
                      <w:richText/>
                    </w:sdtPr>
                    <w:sdtContent>
                      <w:r>
                        <w:rPr>
                          <w:b/>
                          <w:bCs/>
                          <w:szCs w:val="24"/>
                        </w:rPr>
                        <w:t>9</w:t>
                      </w:r>
                    </w:sdtContent>
                  </w:sdt>
                  <w:r>
                    <w:rPr>
                      <w:b/>
                      <w:bCs/>
                      <w:szCs w:val="24"/>
                    </w:rPr>
                    <w:t xml:space="preserve">. Numatomo teisinio reguliavimo poveikio vertinimo rezultatai. </w:t>
                  </w:r>
                  <w:r>
                    <w:rPr>
                      <w:szCs w:val="24"/>
                    </w:rPr>
                    <w:t xml:space="preserve">– </w:t>
                  </w:r>
                </w:p>
              </w:sdtContent>
            </w:sdt>
            <w:sdt>
              <w:sdtPr>
                <w:alias w:val="10 p."/>
                <w:tag w:val="part_bb270bf1f0ba425baef0f08809e5e61d"/>
                <w:lock w:val="sdtLocked"/>
                <w:richText/>
              </w:sdtPr>
              <w:sdtContent>
                <w:p>
                  <w:pPr>
                    <w:spacing w:line="276" w:lineRule="auto"/>
                    <w:ind w:left="709"/>
                    <w:jc w:val="both"/>
                    <w:rPr>
                      <w:b/>
                      <w:bCs/>
                      <w:szCs w:val="24"/>
                    </w:rPr>
                  </w:pPr>
                  <w:sdt>
                    <w:sdtPr>
                      <w:alias w:val="Numeris"/>
                      <w:tag w:val="nr_bb270bf1f0ba425baef0f08809e5e61d"/>
                      <w:lock w:val="sdtLocked"/>
                      <w:richText/>
                    </w:sdtPr>
                    <w:sdtContent>
                      <w:r>
                        <w:rPr>
                          <w:b/>
                          <w:bCs/>
                          <w:szCs w:val="24"/>
                        </w:rPr>
                        <w:t>10</w:t>
                      </w:r>
                    </w:sdtContent>
                  </w:sdt>
                  <w:r>
                    <w:rPr>
                      <w:b/>
                      <w:bCs/>
                      <w:szCs w:val="24"/>
                    </w:rPr>
                    <w:t>. Sprendimo projekto antikorupcinis vertinimas.</w:t>
                  </w:r>
                </w:p>
                <w:p>
                  <w:pPr>
                    <w:tabs>
                      <w:tab w:val="left" w:pos="1134"/>
                    </w:tabs>
                    <w:spacing w:line="276" w:lineRule="auto"/>
                    <w:ind w:firstLine="709"/>
                    <w:rPr>
                      <w:rFonts w:eastAsia="Calibri"/>
                      <w:szCs w:val="24"/>
                    </w:rPr>
                  </w:pPr>
                  <w:r>
                    <w:rPr>
                      <w:rFonts w:eastAsia="Calibri"/>
                      <w:szCs w:val="24"/>
                    </w:rPr>
                    <w:t>Teisės akto projektas antikorupciniam vertinimui neteikiamas.</w:t>
                  </w:r>
                </w:p>
              </w:sdtContent>
            </w:sdt>
            <w:sdt>
              <w:sdtPr>
                <w:alias w:val="11 p."/>
                <w:tag w:val="part_f170c88810c84bdf93d5a4926870003a"/>
                <w:lock w:val="sdtLocked"/>
                <w:richText/>
              </w:sdtPr>
              <w:sdtContent>
                <w:p>
                  <w:pPr>
                    <w:tabs>
                      <w:tab w:val="left" w:pos="1134"/>
                    </w:tabs>
                    <w:spacing w:line="276" w:lineRule="auto"/>
                    <w:ind w:firstLine="709"/>
                    <w:rPr>
                      <w:b/>
                      <w:bCs/>
                      <w:szCs w:val="24"/>
                    </w:rPr>
                  </w:pPr>
                  <w:sdt>
                    <w:sdtPr>
                      <w:alias w:val="Numeris"/>
                      <w:tag w:val="nr_f170c88810c84bdf93d5a4926870003a"/>
                      <w:lock w:val="sdtLocked"/>
                      <w:richText/>
                    </w:sdtPr>
                    <w:sdtContent>
                      <w:r>
                        <w:rPr>
                          <w:b/>
                          <w:bCs/>
                          <w:szCs w:val="24"/>
                        </w:rPr>
                        <w:t>11</w:t>
                      </w:r>
                    </w:sdtContent>
                  </w:sdt>
                  <w:r>
                    <w:rPr>
                      <w:b/>
                      <w:bCs/>
                      <w:szCs w:val="24"/>
                    </w:rPr>
                    <w:t xml:space="preserve">. Kiti, iniciatoriaus nuomone, reikalingi pagrindimai ir paaiškinimai. </w:t>
                  </w:r>
                </w:p>
                <w:p>
                  <w:pPr>
                    <w:tabs>
                      <w:tab w:val="left" w:pos="1134"/>
                    </w:tabs>
                    <w:spacing w:line="276" w:lineRule="auto"/>
                    <w:ind w:firstLine="709"/>
                    <w:rPr>
                      <w:b/>
                      <w:bCs/>
                      <w:szCs w:val="24"/>
                    </w:rPr>
                  </w:pPr>
                  <w:r>
                    <w:rPr>
                      <w:szCs w:val="24"/>
                    </w:rPr>
                    <w:t xml:space="preserve">– </w:t>
                  </w:r>
                </w:p>
              </w:sdtContent>
            </w:sdt>
            <w:sdt>
              <w:sdtPr>
                <w:alias w:val="12 p."/>
                <w:tag w:val="part_9ee4824a050e4a6885b17355c64cfa81"/>
                <w:lock w:val="sdtLocked"/>
                <w:richText/>
              </w:sdtPr>
              <w:sdtContent>
                <w:p>
                  <w:pPr>
                    <w:spacing w:line="276" w:lineRule="auto"/>
                    <w:ind w:left="709"/>
                    <w:jc w:val="both"/>
                    <w:rPr>
                      <w:b/>
                      <w:bCs/>
                      <w:szCs w:val="24"/>
                    </w:rPr>
                  </w:pPr>
                  <w:sdt>
                    <w:sdtPr>
                      <w:alias w:val="Numeris"/>
                      <w:tag w:val="nr_9ee4824a050e4a6885b17355c64cfa81"/>
                      <w:lock w:val="sdtLocked"/>
                      <w:richText/>
                    </w:sdtPr>
                    <w:sdtContent>
                      <w:r>
                        <w:rPr>
                          <w:b/>
                          <w:bCs/>
                          <w:szCs w:val="24"/>
                        </w:rPr>
                        <w:t>12</w:t>
                      </w:r>
                    </w:sdtContent>
                  </w:sdt>
                  <w:r>
                    <w:rPr>
                      <w:b/>
                      <w:bCs/>
                      <w:szCs w:val="24"/>
                    </w:rPr>
                    <w:t xml:space="preserve">. Pridedami dokumentai. </w:t>
                  </w:r>
                </w:p>
              </w:sdtContent>
            </w:sdt>
          </w:sdtContent>
        </w:sdt>
        <w:sdt>
          <w:sdtPr>
            <w:alias w:val="signatura"/>
            <w:tag w:val="part_fedd50e02413467286978474eda06743"/>
            <w:lock w:val="sdtLocked"/>
            <w:richText/>
          </w:sdtPr>
          <w:sdtContent>
            <w:p>
              <w:pPr>
                <w:spacing w:line="276" w:lineRule="auto"/>
                <w:ind w:left="709"/>
                <w:jc w:val="both"/>
                <w:rPr>
                  <w:b/>
                  <w:bCs/>
                  <w:szCs w:val="24"/>
                </w:rPr>
              </w:pPr>
              <w:r>
                <w:rPr>
                  <w:szCs w:val="24"/>
                </w:rPr>
                <w:t xml:space="preserve">– </w:t>
              </w:r>
            </w:p>
            <w:p>
              <w:pPr>
                <w:ind w:right="-1"/>
                <w:rPr>
                  <w:szCs w:val="24"/>
                </w:rPr>
              </w:pPr>
            </w:p>
            <w:p>
              <w:pPr>
                <w:ind w:right="-1"/>
                <w:rPr>
                  <w:szCs w:val="24"/>
                </w:rPr>
              </w:pPr>
            </w:p>
            <w:p>
              <w:pPr>
                <w:ind w:right="-1"/>
                <w:rPr>
                  <w:szCs w:val="24"/>
                </w:rPr>
              </w:pPr>
            </w:p>
            <w:p>
              <w:pPr>
                <w:ind w:right="-1"/>
                <w:rPr>
                  <w:szCs w:val="24"/>
                </w:rPr>
              </w:pPr>
              <w:r>
                <w:rPr>
                  <w:szCs w:val="24"/>
                </w:rPr>
                <w:t xml:space="preserve">Kultūros, paveldosaugos ir turizmo skyriaus vyriausioji specialistė                   Germantė Jucevičiūtė</w:t>
              </w:r>
            </w:p>
          </w:sdtContent>
        </w:sdt>
      </w:sdtContent>
    </w:sdt>
    <w:sectPr>
      <w:pgSz w:w="11906" w:h="16838" w:code="9"/>
      <w:pgMar w:top="1134" w:right="567" w:bottom="1134" w:left="1701" w:header="709" w:footer="709" w:gutter="0"/>
      <w:cols w:space="708"/>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TimesLT">
    <w:altName w:val="Times New Roman"/>
    <w:panose1 w:val="02020603050405020304"/>
    <w:charset w:val="BA"/>
    <w:family w:val="roman"/>
    <w:pitch w:val="variable"/>
    <w:sig w:usb0="80000027" w:usb1="00000000" w:usb2="00000000" w:usb3="00000000" w:csb0="0000008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overflowPunct w:val="0"/>
      <w:textAlignment w:val="baseline"/>
      <w:rPr>
        <w:rFonts w:ascii="TimesLT" w:hAnsi="TimesLT"/>
        <w:sz w:val="26"/>
        <w:lang w:val="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overflowPunct w:val="0"/>
      <w:textAlignment w:val="baseline"/>
      <w:rPr>
        <w:rFonts w:ascii="TimesLT" w:hAnsi="TimesLT"/>
        <w:sz w:val="26"/>
        <w:lang w:val="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overflowPunct w:val="0"/>
      <w:textAlignment w:val="baseline"/>
      <w:rPr>
        <w:rFonts w:ascii="TimesLT" w:hAnsi="TimesLT"/>
        <w:sz w:val="26"/>
        <w:lang w:val="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p/>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rawingGridHorizontalSpacing w:val="120"/>
  <w:displayHorizontalDrawingGridEvery w:val="0"/>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039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760FD0F5-1E35-4527-81FD-BA6C8A80668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145272432">
      <w:bodyDiv w:val="1"/>
      <w:marLeft w:val="0"/>
      <w:marRight w:val="0"/>
      <w:marTop w:val="0"/>
      <w:marBottom w:val="0"/>
      <w:divBdr>
        <w:top w:val="none" w:sz="0" w:space="0" w:color="auto"/>
        <w:left w:val="none" w:sz="0" w:space="0" w:color="auto"/>
        <w:bottom w:val="none" w:sz="0" w:space="0" w:color="auto"/>
        <w:right w:val="none" w:sz="0" w:space="0" w:color="auto"/>
      </w:divBdr>
    </w:div>
    <w:div w:id="1156606015">
      <w:bodyDiv w:val="1"/>
      <w:marLeft w:val="0"/>
      <w:marRight w:val="0"/>
      <w:marTop w:val="0"/>
      <w:marBottom w:val="0"/>
      <w:divBdr>
        <w:top w:val="none" w:sz="0" w:space="0" w:color="auto"/>
        <w:left w:val="none" w:sz="0" w:space="0" w:color="auto"/>
        <w:bottom w:val="none" w:sz="0" w:space="0" w:color="auto"/>
        <w:right w:val="none" w:sz="0" w:space="0" w:color="auto"/>
      </w:divBdr>
    </w:div>
    <w:div w:id="1526750670">
      <w:bodyDiv w:val="1"/>
      <w:marLeft w:val="0"/>
      <w:marRight w:val="0"/>
      <w:marTop w:val="0"/>
      <w:marBottom w:val="0"/>
      <w:divBdr>
        <w:top w:val="none" w:sz="0" w:space="0" w:color="auto"/>
        <w:left w:val="none" w:sz="0" w:space="0" w:color="auto"/>
        <w:bottom w:val="none" w:sz="0" w:space="0" w:color="auto"/>
        <w:right w:val="none" w:sz="0" w:space="0" w:color="auto"/>
      </w:divBdr>
      <w:divsChild>
        <w:div w:id="958992585">
          <w:marLeft w:val="0"/>
          <w:marRight w:val="0"/>
          <w:marTop w:val="0"/>
          <w:marBottom w:val="0"/>
          <w:divBdr>
            <w:top w:val="none" w:sz="0" w:space="0" w:color="auto"/>
            <w:left w:val="none" w:sz="0" w:space="0" w:color="auto"/>
            <w:bottom w:val="none" w:sz="0" w:space="0" w:color="auto"/>
            <w:right w:val="none" w:sz="0" w:space="0" w:color="auto"/>
          </w:divBdr>
          <w:divsChild>
            <w:div w:id="851997345">
              <w:marLeft w:val="0"/>
              <w:marRight w:val="0"/>
              <w:marTop w:val="0"/>
              <w:marBottom w:val="0"/>
              <w:divBdr>
                <w:top w:val="none" w:sz="0" w:space="0" w:color="auto"/>
                <w:left w:val="none" w:sz="0" w:space="0" w:color="auto"/>
                <w:bottom w:val="none" w:sz="0" w:space="0" w:color="auto"/>
                <w:right w:val="none" w:sz="0" w:space="0" w:color="auto"/>
              </w:divBdr>
              <w:divsChild>
                <w:div w:id="409929487">
                  <w:marLeft w:val="0"/>
                  <w:marRight w:val="0"/>
                  <w:marTop w:val="0"/>
                  <w:marBottom w:val="0"/>
                  <w:divBdr>
                    <w:top w:val="none" w:sz="0" w:space="0" w:color="auto"/>
                    <w:left w:val="none" w:sz="0" w:space="0" w:color="auto"/>
                    <w:bottom w:val="none" w:sz="0" w:space="0" w:color="auto"/>
                    <w:right w:val="none" w:sz="0" w:space="0" w:color="auto"/>
                  </w:divBdr>
                </w:div>
                <w:div w:id="1274629684">
                  <w:marLeft w:val="0"/>
                  <w:marRight w:val="0"/>
                  <w:marTop w:val="0"/>
                  <w:marBottom w:val="0"/>
                  <w:divBdr>
                    <w:top w:val="none" w:sz="0" w:space="0" w:color="auto"/>
                    <w:left w:val="none" w:sz="0" w:space="0" w:color="auto"/>
                    <w:bottom w:val="none" w:sz="0" w:space="0" w:color="auto"/>
                    <w:right w:val="none" w:sz="0" w:space="0" w:color="auto"/>
                  </w:divBdr>
                </w:div>
              </w:divsChild>
            </w:div>
            <w:div w:id="1154831397">
              <w:marLeft w:val="0"/>
              <w:marRight w:val="0"/>
              <w:marTop w:val="0"/>
              <w:marBottom w:val="0"/>
              <w:divBdr>
                <w:top w:val="none" w:sz="0" w:space="0" w:color="auto"/>
                <w:left w:val="none" w:sz="0" w:space="0" w:color="auto"/>
                <w:bottom w:val="none" w:sz="0" w:space="0" w:color="auto"/>
                <w:right w:val="none" w:sz="0" w:space="0" w:color="auto"/>
              </w:divBdr>
            </w:div>
          </w:divsChild>
        </w:div>
        <w:div w:id="87194132">
          <w:marLeft w:val="0"/>
          <w:marRight w:val="0"/>
          <w:marTop w:val="0"/>
          <w:marBottom w:val="0"/>
          <w:divBdr>
            <w:top w:val="none" w:sz="0" w:space="0" w:color="auto"/>
            <w:left w:val="none" w:sz="0" w:space="0" w:color="auto"/>
            <w:bottom w:val="none" w:sz="0" w:space="0" w:color="auto"/>
            <w:right w:val="none" w:sz="0" w:space="0" w:color="auto"/>
          </w:divBdr>
        </w:div>
        <w:div w:id="2020768342">
          <w:marLeft w:val="0"/>
          <w:marRight w:val="0"/>
          <w:marTop w:val="0"/>
          <w:marBottom w:val="0"/>
          <w:divBdr>
            <w:top w:val="none" w:sz="0" w:space="0" w:color="auto"/>
            <w:left w:val="none" w:sz="0" w:space="0" w:color="auto"/>
            <w:bottom w:val="none" w:sz="0" w:space="0" w:color="auto"/>
            <w:right w:val="none" w:sz="0" w:space="0" w:color="auto"/>
          </w:divBdr>
        </w:div>
      </w:divsChild>
    </w:div>
    <w:div w:id="19045618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Relationships xmlns="http://schemas.openxmlformats.org/package/2006/relationships">
  <Relationship Id="rId1" Type="http://schemas.microsoft.com/office/2011/relationships/webextension" Target="webextension1.xml"/>
</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7A60B68B-EF1C-45F9-883B-1F87F91AAA71}">
  <we:reference id="fdf991e6-9106-41cd-a3e3-a99d86201b80" version="1.0.0.0" store="\\localhost\DekaOfficeAddins" storeType="Filesystem"/>
  <we:alternateReferences/>
  <we:properties/>
  <we:bindings/>
  <we:snapshot xmlns:r="http://schemas.openxmlformats.org/officeDocument/2006/relationships"/>
</we:webextension>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0f4418ff400f4bd5820bd2961348bef8" PartId="0960158bf69e4e45b4160be858af8f38">
    <Part Type="preambule" DocPartId="324ce6ec72e94e8d8e677638f2147015" PartId="eae0f7ac1859457eb3eb9e31b63d1335"/>
    <Part Type="pastraipa" DocPartId="b594dd610d4a49508b5ec4d60a32e733" PartId="993ab260da45432a9014777b3ef41b0a"/>
    <Part Type="lentele" DocPartId="40c548a1539a4edea9994fe7edc17b3b" PartId="2f433952f30340dbafc4e922e8f454b8"/>
    <Part Type="skirsnis" Title="RADVILIŠKIO RAJONO SAVIVALDYBĖS TARYBOS SPRENDIMO PROJEKTO DĖL RADVILIŠKIO RAJONO SAVIVALDYBĖS TARYBOS 2022 M. GRUODŽIO 22 D. SPRENDIMO NR. T-861 „DĖL RADVILIŠKIO RAJONO SAVIVALDYBĖS BIUDŽETINIŲ KULTŪROS IR TURIZMO ĮSTAIGŲ METINĖS VEIKLOS PLANŲ IR ATASKAITŲ RENGIMO TVARKOS APRAŠO PATVIRTINIMO“ PRIPAŽINIMO NETEKUSIU GALIOS AIŠKINAMASIS RAŠTAS" DocPartId="8a30374f6d30492c97128dee6dda3c13" PartId="adebae2d413248329e6d59a185a247a9">
      <Part Type="punktas" Nr="1" Abbr="1 p." DocPartId="afb19a08a6e2444bb66351e9f6d2f3e5" PartId="965b68b0f0bc4c489bc7fb3072f7f626"/>
      <Part Type="punktas" Nr="2" Abbr="2 p." DocPartId="558b0e181e53474ea28344b2a9dbb44c" PartId="c4de734bfde0430c82f8cb57eef5d23b"/>
      <Part Type="punktas" Nr="3" Abbr="3 p." DocPartId="2846e2f4f93346958c4e9d80dedf97ff" PartId="96aca412c5374e09b0bed1145e8a12d2"/>
      <Part Type="punktas" Nr="4" Abbr="4 p." DocPartId="a3416f84953d4f2393225229a65f5734" PartId="32d3ddff38e7426c88359b3485982a03"/>
      <Part Type="punktas" Nr="5" Abbr="5 p." DocPartId="53dea6c2ed3f4b46b2515feed5a98192" PartId="aeea46e798974e0a9870399bd7b348d6"/>
      <Part Type="punktas" Nr="6" Abbr="6 p." DocPartId="30dfc9e39457457bba7ab4b4694ba12b" PartId="802df09c95ef4ab79804bc449627a442"/>
      <Part Type="punktas" Nr="7" Abbr="7 p." DocPartId="1c426472d1bd40d7986b363959d57a9c" PartId="f633fa4293b043f79e7addc68b492285"/>
      <Part Type="punktas" Nr="8" Abbr="8 p." DocPartId="f326217668d64a51ad1dedfcb072bce9" PartId="ba3b14c56617441593e73b7948320f0f"/>
      <Part Type="punktas" Nr="9" Abbr="9 p." DocPartId="fcafd76eeb3f4d3dbd74ef3fff70d29c" PartId="b485f9adb0b34bbbb81dd3328cb5f9d3"/>
      <Part Type="punktas" Nr="10" Abbr="10 p." DocPartId="5b2e28b1704e4feabc4d209fcc3afb14" PartId="bb270bf1f0ba425baef0f08809e5e61d"/>
      <Part Type="punktas" Nr="11" Abbr="11 p." DocPartId="bd63e44ceb9f438585cfd09f669e6ed8" PartId="f170c88810c84bdf93d5a4926870003a"/>
      <Part Type="punktas" Nr="12" Abbr="12 p." DocPartId="608e6575b5274606b1b57807557b8632" PartId="9ee4824a050e4a6885b17355c64cfa81"/>
    </Part>
    <Part Type="signatura" DocPartId="fd67efa6af7948508e7702b4b8024b60" PartId="fedd50e02413467286978474eda06743"/>
  </Part>
</Parts>
</file>

<file path=customXml/itemProps1.xml><?xml version="1.0" encoding="utf-8"?>
<ds:datastoreItem xmlns:ds="http://schemas.openxmlformats.org/officeDocument/2006/customXml" ds:itemID="{C7526D75-D385-421F-A60E-8F5C15EDF428}">
  <ds:schemaRefs>
    <ds:schemaRef ds:uri="http://schemas.openxmlformats.org/officeDocument/2006/bibliography"/>
  </ds:schemaRefs>
</ds:datastoreItem>
</file>

<file path=customXml/itemProps2.xml><?xml version="1.0" encoding="utf-8"?>
<ds:datastoreItem xmlns:ds="http://schemas.openxmlformats.org/officeDocument/2006/customXml" ds:itemID="{24406541-0D69-4C23-A360-4BA7C1F4661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475</Words>
  <Characters>3512</Characters>
  <Application>Microsoft Office Word</Application>
  <DocSecurity>4</DocSecurity>
  <Lines>97</Lines>
  <Paragraphs>47</Paragraphs>
  <ScaleCrop>false</ScaleCrop>
  <HeadingPairs>
    <vt:vector size="2" baseType="variant">
      <vt:variant>
        <vt:lpstr>Pavadinimas</vt:lpstr>
      </vt:variant>
      <vt:variant>
        <vt:i4>1</vt:i4>
      </vt:variant>
    </vt:vector>
  </HeadingPairs>
  <TitlesOfParts>
    <vt:vector size="1" baseType="lpstr">
      <vt:lpstr>2018-01-</vt:lpstr>
    </vt:vector>
  </TitlesOfParts>
  <Company/>
  <LinksUpToDate>false</LinksUpToDate>
  <CharactersWithSpaces>3940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2025-01-31T07:35:00Z</dcterms:created>
  <dc:creator>Vladislava</dc:creator>
  <lastModifiedBy>adlibuser</lastModifiedBy>
  <lastPrinted>2025-01-22T11:28:00Z</lastPrinted>
  <dcterms:modified xsi:type="dcterms:W3CDTF">2025-01-31T07:35:00Z</dcterms:modified>
  <revision>2</revision>
  <dc:title>2018-01-</dc:title>
</coreProperties>
</file>