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7fc71bd6a58460c9672e033487c1a6d"/>
        <w:lock w:val="sdtLocked"/>
        <w:richText/>
      </w:sdtPr>
      <w:sdtContent>
        <w:p>
          <w:pPr>
            <w:tabs>
              <w:tab w:val="left" w:pos="851"/>
            </w:tabs>
            <w:ind w:firstLine="4320"/>
            <w:jc w:val="both"/>
            <w:rPr>
              <w:b/>
              <w:szCs w:val="24"/>
              <w:lang w:eastAsia="lt-LT"/>
            </w:rPr>
          </w:pPr>
          <w:r>
            <w:rPr>
              <w:b/>
              <w:szCs w:val="24"/>
              <w:lang w:eastAsia="lt-LT"/>
            </w:rPr>
            <w:t>Projektas</w:t>
          </w:r>
        </w:p>
        <w:p>
          <w:pPr>
            <w:ind w:left="6480"/>
            <w:jc w:val="both"/>
            <w:rPr>
              <w:bCs/>
              <w:szCs w:val="24"/>
              <w:lang w:eastAsia="lt-LT"/>
            </w:rPr>
          </w:pPr>
          <w:r>
            <w:rPr>
              <w:bCs/>
              <w:szCs w:val="24"/>
              <w:lang w:eastAsia="lt-LT"/>
            </w:rPr>
            <w:t>Nr. TSP-161 (1.2 E)</w:t>
          </w:r>
        </w:p>
        <w:p>
          <w:pPr>
            <w:keepNext/>
            <w:rPr>
              <w:b/>
              <w:szCs w:val="24"/>
              <w:lang w:eastAsia="lt-LT"/>
            </w:rPr>
          </w:pPr>
        </w:p>
        <w:p>
          <w:pPr>
            <w:keepNext/>
            <w:jc w:val="center"/>
            <w:rPr>
              <w:b/>
              <w:szCs w:val="24"/>
              <w:lang w:eastAsia="lt-LT"/>
            </w:rPr>
          </w:pPr>
          <w:r>
            <w:rPr>
              <w:b/>
              <w:szCs w:val="24"/>
              <w:lang w:eastAsia="lt-LT"/>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jc w:val="center"/>
            <w:rPr>
              <w:b/>
              <w:szCs w:val="24"/>
              <w:lang w:eastAsia="lt-LT"/>
            </w:rPr>
          </w:pPr>
          <w:r>
            <w:rPr>
              <w:b/>
              <w:szCs w:val="24"/>
              <w:lang w:eastAsia="lt-LT"/>
            </w:rPr>
            <w:t xml:space="preserve">DĖL RADVILIŠKIO RAJONO SAVIVALDYBĖS REZULTATYVIAI </w:t>
          </w:r>
          <w:r>
            <w:rPr>
              <w:b/>
              <w:bCs/>
              <w:kern w:val="36"/>
              <w:szCs w:val="24"/>
              <w:lang w:eastAsia="lt-LT"/>
            </w:rPr>
            <w:t>DIRBANČIŲ MOKYTOJŲ SKATINIMO TVARKOS APRAŠO PATVIRTINIMO</w:t>
          </w:r>
        </w:p>
        <w:p>
          <w:pPr>
            <w:rPr>
              <w:szCs w:val="24"/>
              <w:lang w:eastAsia="lt-LT"/>
            </w:rPr>
          </w:pPr>
        </w:p>
        <w:p>
          <w:pPr>
            <w:jc w:val="center"/>
            <w:rPr>
              <w:szCs w:val="24"/>
              <w:lang w:eastAsia="lt-LT"/>
            </w:rPr>
          </w:pPr>
          <w:r>
            <w:rPr>
              <w:szCs w:val="24"/>
              <w:lang w:eastAsia="lt-LT"/>
            </w:rPr>
            <w:t xml:space="preserve">2025 m.                         d. Nr. T-</w:t>
          </w:r>
        </w:p>
        <w:p>
          <w:pPr>
            <w:jc w:val="center"/>
            <w:rPr>
              <w:szCs w:val="24"/>
              <w:lang w:eastAsia="lt-LT"/>
            </w:rPr>
          </w:pPr>
          <w:r>
            <w:rPr>
              <w:szCs w:val="24"/>
              <w:lang w:eastAsia="lt-LT"/>
            </w:rPr>
            <w:t>Radviliškis</w:t>
          </w:r>
        </w:p>
        <w:p>
          <w:pPr>
            <w:jc w:val="center"/>
            <w:rPr>
              <w:color w:val="FF0000"/>
              <w:szCs w:val="24"/>
              <w:lang w:eastAsia="lt-LT"/>
            </w:rPr>
          </w:pPr>
        </w:p>
        <w:sdt>
          <w:sdtPr>
            <w:alias w:val="preambule"/>
            <w:tag w:val="part_439c0bc4c37e42ab8e9a1e9f212738c7"/>
            <w:lock w:val="sdtLocked"/>
            <w:richText/>
          </w:sdtPr>
          <w:sdtContent>
            <w:p>
              <w:pPr>
                <w:ind w:firstLine="851"/>
                <w:jc w:val="both"/>
                <w:rPr>
                  <w:szCs w:val="24"/>
                  <w:lang w:eastAsia="lt-LT"/>
                </w:rPr>
              </w:pPr>
              <w:r>
                <w:rPr>
                  <w:szCs w:val="24"/>
                  <w:lang w:eastAsia="lt-LT"/>
                </w:rPr>
                <w:t xml:space="preserve">Vadovaudamasis Lietuvos Respublikos vietos savivaldos įstatymo 15 straipsnio 4 dalimi, 2025–2027 m. strateginio veiklos plano 2 programos  1 uždavinio 22 priemone „Skatinti rezultatyviai dirbančių mokytojų profesinę bei kūrybinę iniciatyvą“, patvirtinta Radviliškio rajono savivaldybės tarybos 2025 m. vasario 13 d. sprendimu Nr. T-556 „Dėl Radviliškio rajono savivaldybės 2025–2027 metų strateginio veiklos plano patvirtinimo“, Radviliškio rajono savivaldybės taryba </w:t>
              </w:r>
              <w:r>
                <w:rPr>
                  <w:spacing w:val="50"/>
                  <w:szCs w:val="24"/>
                  <w:lang w:eastAsia="lt-LT"/>
                </w:rPr>
                <w:t>nusprendži</w:t>
              </w:r>
              <w:r>
                <w:rPr>
                  <w:szCs w:val="24"/>
                  <w:lang w:eastAsia="lt-LT"/>
                </w:rPr>
                <w:t>a:</w:t>
              </w:r>
            </w:p>
          </w:sdtContent>
        </w:sdt>
        <w:sdt>
          <w:sdtPr>
            <w:alias w:val="pastraipa"/>
            <w:tag w:val="part_98eae8e9b7484fc88ab52b6e6be90b50"/>
            <w:lock w:val="sdtLocked"/>
            <w:richText/>
          </w:sdtPr>
          <w:sdtContent>
            <w:p>
              <w:pPr>
                <w:ind w:firstLine="851"/>
                <w:jc w:val="both"/>
                <w:rPr>
                  <w:szCs w:val="24"/>
                  <w:lang w:eastAsia="lt-LT"/>
                </w:rPr>
              </w:pPr>
              <w:r>
                <w:rPr>
                  <w:szCs w:val="24"/>
                  <w:lang w:eastAsia="lt-LT"/>
                </w:rPr>
                <w:t xml:space="preserve">Patvirtinti Radviliškio rajono savivaldybės rezultatyviai dirbančių mokytojų skatinimo  tvarkos aprašą (pridedama).</w:t>
              </w:r>
            </w:p>
            <w:p>
              <w:pPr>
                <w:ind w:firstLine="913"/>
                <w:jc w:val="both"/>
                <w:rPr>
                  <w:color w:val="000000"/>
                  <w:szCs w:val="24"/>
                  <w:lang w:eastAsia="lt-LT"/>
                </w:rPr>
              </w:pPr>
            </w:p>
            <w:p>
              <w:pPr>
                <w:tabs>
                  <w:tab w:val="left" w:pos="1134"/>
                  <w:tab w:val="left" w:pos="6946"/>
                </w:tabs>
                <w:jc w:val="both"/>
                <w:rPr>
                  <w:color w:val="000000"/>
                  <w:szCs w:val="24"/>
                  <w:lang w:eastAsia="lt-LT"/>
                </w:rPr>
              </w:pPr>
            </w:p>
            <w:p>
              <w:pPr>
                <w:tabs>
                  <w:tab w:val="left" w:pos="1134"/>
                  <w:tab w:val="left" w:pos="6946"/>
                </w:tabs>
                <w:jc w:val="both"/>
                <w:rPr>
                  <w:color w:val="000000"/>
                  <w:szCs w:val="24"/>
                  <w:lang w:eastAsia="lt-LT"/>
                </w:rPr>
              </w:pPr>
            </w:p>
          </w:sdtContent>
        </w:sdt>
        <w:sdt>
          <w:sdtPr>
            <w:alias w:val="signatura"/>
            <w:tag w:val="part_b33cd316bf194c68b5a032201df794da"/>
            <w:lock w:val="sdtLocked"/>
            <w:richText/>
          </w:sdtPr>
          <w:sdtContent>
            <w:p>
              <w:pPr>
                <w:tabs>
                  <w:tab w:val="left" w:pos="7655"/>
                </w:tabs>
                <w:rPr>
                  <w:szCs w:val="24"/>
                  <w:lang w:eastAsia="lt-LT"/>
                </w:rPr>
              </w:pPr>
              <w:r>
                <w:rPr>
                  <w:szCs w:val="24"/>
                  <w:lang w:eastAsia="lt-LT"/>
                </w:rPr>
                <w:t xml:space="preserve">Savivaldybės meras                                                                     </w:t>
              </w:r>
            </w:p>
            <w:p>
              <w:pPr>
                <w:tabs>
                  <w:tab w:val="left" w:pos="7655"/>
                </w:tabs>
                <w:rPr>
                  <w:szCs w:val="24"/>
                  <w:lang w:eastAsia="lt-LT"/>
                </w:rPr>
              </w:pPr>
            </w:p>
            <w:p>
              <w:pPr>
                <w:spacing w:line="256" w:lineRule="auto"/>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rPr>
                  <w:sz w:val="8"/>
                  <w:szCs w:val="8"/>
                </w:rPr>
              </w:pPr>
            </w:p>
            <w:p>
              <w:pPr>
                <w:spacing w:line="276" w:lineRule="auto"/>
                <w:jc w:val="center"/>
                <w:rPr>
                  <w:b/>
                  <w:bCs/>
                  <w:kern w:val="36"/>
                  <w:szCs w:val="24"/>
                  <w:lang w:eastAsia="lt-LT"/>
                </w:rPr>
              </w:pPr>
            </w:p>
            <w:p>
              <w:pPr>
                <w:rPr>
                  <w:sz w:val="8"/>
                  <w:szCs w:val="8"/>
                </w:rPr>
              </w:pPr>
            </w:p>
            <w:p>
              <w:pPr>
                <w:spacing w:line="276" w:lineRule="auto"/>
                <w:jc w:val="center"/>
                <w:rPr>
                  <w:b/>
                  <w:bCs/>
                  <w:kern w:val="36"/>
                  <w:szCs w:val="24"/>
                  <w:lang w:eastAsia="lt-LT"/>
                </w:rPr>
              </w:pPr>
            </w:p>
            <w:p>
              <w:pPr>
                <w:rPr>
                  <w:sz w:val="8"/>
                  <w:szCs w:val="8"/>
                </w:rPr>
              </w:pPr>
            </w:p>
            <w:p>
              <w:pPr>
                <w:spacing w:line="276" w:lineRule="auto"/>
                <w:jc w:val="center"/>
                <w:rPr>
                  <w:b/>
                  <w:bCs/>
                  <w:kern w:val="36"/>
                  <w:szCs w:val="24"/>
                  <w:lang w:eastAsia="lt-LT"/>
                </w:rPr>
              </w:pPr>
            </w:p>
            <w:p>
              <w:pPr>
                <w:rPr>
                  <w:sz w:val="8"/>
                  <w:szCs w:val="8"/>
                </w:rPr>
              </w:pPr>
            </w:p>
            <w:p>
              <w:pPr>
                <w:spacing w:line="276" w:lineRule="auto"/>
                <w:jc w:val="center"/>
                <w:rPr>
                  <w:b/>
                  <w:bCs/>
                  <w:kern w:val="36"/>
                  <w:szCs w:val="24"/>
                  <w:lang w:eastAsia="lt-LT"/>
                </w:rPr>
              </w:pPr>
            </w:p>
            <w:p>
              <w:pPr>
                <w:rPr>
                  <w:sz w:val="8"/>
                  <w:szCs w:val="8"/>
                </w:rPr>
              </w:pPr>
            </w:p>
            <w:p>
              <w:pPr>
                <w:spacing w:line="276" w:lineRule="auto"/>
                <w:jc w:val="center"/>
                <w:rPr>
                  <w:b/>
                  <w:bCs/>
                  <w:kern w:val="36"/>
                  <w:szCs w:val="24"/>
                  <w:lang w:eastAsia="lt-LT"/>
                </w:rPr>
              </w:pPr>
            </w:p>
            <w:p>
              <w:pPr>
                <w:rPr>
                  <w:sz w:val="8"/>
                  <w:szCs w:val="8"/>
                </w:rPr>
              </w:pPr>
            </w:p>
            <w:p>
              <w:pPr>
                <w:spacing w:line="276" w:lineRule="auto"/>
                <w:jc w:val="center"/>
                <w:rPr>
                  <w:b/>
                  <w:bCs/>
                  <w:kern w:val="36"/>
                  <w:szCs w:val="24"/>
                  <w:lang w:eastAsia="lt-LT"/>
                </w:rPr>
              </w:pPr>
            </w:p>
            <w:p>
              <w:pPr>
                <w:rPr>
                  <w:sz w:val="8"/>
                  <w:szCs w:val="8"/>
                </w:rPr>
              </w:pPr>
            </w:p>
            <w:p>
              <w:pPr>
                <w:spacing w:line="276" w:lineRule="auto"/>
                <w:jc w:val="center"/>
                <w:rPr>
                  <w:b/>
                  <w:bCs/>
                  <w:kern w:val="36"/>
                  <w:szCs w:val="24"/>
                  <w:lang w:eastAsia="lt-LT"/>
                </w:rPr>
              </w:pPr>
            </w:p>
            <w:p>
              <w:pPr>
                <w:rPr>
                  <w:sz w:val="8"/>
                  <w:szCs w:val="8"/>
                </w:rPr>
              </w:pPr>
            </w:p>
            <w:p>
              <w:pPr>
                <w:spacing w:line="276" w:lineRule="auto"/>
                <w:jc w:val="center"/>
                <w:rPr>
                  <w:b/>
                  <w:bCs/>
                  <w:kern w:val="36"/>
                  <w:szCs w:val="24"/>
                  <w:lang w:eastAsia="lt-LT"/>
                </w:rPr>
              </w:pPr>
            </w:p>
            <w:p>
              <w:pPr>
                <w:rPr>
                  <w:sz w:val="8"/>
                  <w:szCs w:val="8"/>
                </w:rPr>
              </w:pPr>
            </w:p>
            <w:p>
              <w:pPr>
                <w:rPr>
                  <w:szCs w:val="24"/>
                  <w:lang w:eastAsia="lt-LT"/>
                </w:rPr>
              </w:pPr>
            </w:p>
          </w:sdtContent>
        </w:sdt>
      </w:sdtContent>
    </w:sdt>
    <w:sdt>
      <w:sdtPr>
        <w:alias w:val="patvirtinta"/>
        <w:tag w:val="part_d5f1c22d9558433d8a4a571f9938aea8"/>
        <w:lock w:val="sdtLocked"/>
        <w:richText/>
      </w:sdtPr>
      <w:sdtContent>
        <w:p>
          <w:pPr>
            <w:ind w:left="3888" w:firstLine="1296"/>
            <w:rPr>
              <w:szCs w:val="24"/>
              <w:lang w:eastAsia="lt-LT"/>
            </w:rPr>
          </w:pPr>
          <w:r>
            <w:rPr>
              <w:szCs w:val="24"/>
              <w:lang w:eastAsia="lt-LT"/>
            </w:rPr>
            <w:t>PATVIRTINTA</w:t>
          </w:r>
        </w:p>
        <w:p>
          <w:pPr>
            <w:ind w:left="3888" w:firstLine="1296"/>
            <w:rPr>
              <w:szCs w:val="24"/>
              <w:lang w:eastAsia="lt-LT"/>
            </w:rPr>
          </w:pPr>
          <w:r>
            <w:rPr>
              <w:szCs w:val="24"/>
              <w:lang w:eastAsia="lt-LT"/>
            </w:rPr>
            <w:t xml:space="preserve">Radviliškio rajono savivaldybės tarybos                      </w:t>
          </w:r>
        </w:p>
        <w:p>
          <w:pPr>
            <w:ind w:left="3888" w:firstLine="1296"/>
            <w:rPr>
              <w:szCs w:val="24"/>
              <w:lang w:eastAsia="lt-LT"/>
            </w:rPr>
          </w:pPr>
          <w:r>
            <w:rPr>
              <w:szCs w:val="24"/>
              <w:lang w:eastAsia="lt-LT"/>
            </w:rPr>
            <w:t xml:space="preserve">2025 m. rugpjūčio     d.</w:t>
          </w:r>
        </w:p>
        <w:p>
          <w:pPr>
            <w:tabs>
              <w:tab w:val="left" w:pos="0"/>
            </w:tabs>
            <w:ind w:firstLine="2880"/>
            <w:rPr>
              <w:szCs w:val="24"/>
              <w:lang w:eastAsia="lt-LT"/>
            </w:rPr>
          </w:pPr>
          <w:r>
            <w:rPr>
              <w:szCs w:val="24"/>
              <w:lang w:eastAsia="lt-LT"/>
            </w:rPr>
            <w:t xml:space="preserve">sprendimu Nr. T- </w:t>
          </w:r>
        </w:p>
        <w:p>
          <w:pPr>
            <w:rPr>
              <w:sz w:val="8"/>
              <w:szCs w:val="8"/>
            </w:rPr>
          </w:pPr>
        </w:p>
        <w:p>
          <w:pPr>
            <w:tabs>
              <w:tab w:val="left" w:pos="142"/>
              <w:tab w:val="left" w:pos="567"/>
            </w:tabs>
            <w:spacing w:line="276" w:lineRule="auto"/>
            <w:jc w:val="center"/>
            <w:rPr>
              <w:b/>
              <w:bCs/>
              <w:kern w:val="36"/>
              <w:szCs w:val="24"/>
              <w:lang w:eastAsia="lt-LT"/>
            </w:rPr>
          </w:pPr>
          <w:sdt>
            <w:sdtPr>
              <w:alias w:val="Pavadinimas"/>
              <w:tag w:val="title_d5f1c22d9558433d8a4a571f9938aea8"/>
              <w:lock w:val="sdtLocked"/>
              <w:richText/>
            </w:sdtPr>
            <w:sdtContent>
              <w:r>
                <w:rPr>
                  <w:b/>
                  <w:bCs/>
                  <w:kern w:val="36"/>
                  <w:szCs w:val="24"/>
                  <w:lang w:eastAsia="lt-LT"/>
                </w:rPr>
                <w:t>RADVILIŠKIO RAJONO SAVIVALDYBĖS REZULTATYVIAI DIRBANČIŲ MOKYTOJŲ SKATINIMO TVARKOS APRAŠAS</w:t>
              </w:r>
            </w:sdtContent>
          </w:sdt>
        </w:p>
        <w:p>
          <w:pPr>
            <w:rPr>
              <w:sz w:val="8"/>
              <w:szCs w:val="8"/>
            </w:rPr>
          </w:pPr>
        </w:p>
        <w:sdt>
          <w:sdtPr>
            <w:alias w:val="skyrius"/>
            <w:tag w:val="part_f86b4a0b9e084a70882eb32a3e1473ca"/>
            <w:lock w:val="sdtLocked"/>
            <w:richText/>
          </w:sdtPr>
          <w:sdtContent>
            <w:p>
              <w:pPr>
                <w:spacing w:line="276" w:lineRule="auto"/>
                <w:jc w:val="center"/>
                <w:rPr>
                  <w:b/>
                  <w:szCs w:val="24"/>
                  <w:lang w:eastAsia="lt-LT"/>
                </w:rPr>
              </w:pPr>
              <w:sdt>
                <w:sdtPr>
                  <w:alias w:val="Numeris"/>
                  <w:tag w:val="nr_f86b4a0b9e084a70882eb32a3e1473ca"/>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f86b4a0b9e084a70882eb32a3e1473ca"/>
                  <w:lock w:val="sdtLocked"/>
                  <w:richText/>
                </w:sdtPr>
                <w:sdtContent>
                  <w:r>
                    <w:rPr>
                      <w:b/>
                      <w:szCs w:val="24"/>
                      <w:lang w:eastAsia="lt-LT"/>
                    </w:rPr>
                    <w:t>BENDROSIOS NUOSTATOS</w:t>
                  </w:r>
                </w:sdtContent>
              </w:sdt>
            </w:p>
            <w:sdt>
              <w:sdtPr>
                <w:alias w:val="1 p."/>
                <w:tag w:val="part_bd141a18b64446e295e4e6aa79a76e8c"/>
                <w:lock w:val="sdtLocked"/>
                <w:richText/>
              </w:sdtPr>
              <w:sdtContent>
                <w:p>
                  <w:pPr>
                    <w:tabs>
                      <w:tab w:val="left" w:pos="709"/>
                      <w:tab w:val="left" w:pos="1110"/>
                    </w:tabs>
                    <w:ind w:right="-2" w:firstLine="851"/>
                    <w:jc w:val="both"/>
                    <w:rPr>
                      <w:szCs w:val="24"/>
                      <w:lang w:eastAsia="lt-LT"/>
                    </w:rPr>
                  </w:pPr>
                  <w:sdt>
                    <w:sdtPr>
                      <w:alias w:val="Numeris"/>
                      <w:tag w:val="nr_bd141a18b64446e295e4e6aa79a76e8c"/>
                      <w:lock w:val="sdtLocked"/>
                      <w:richText/>
                    </w:sdtPr>
                    <w:sdtContent>
                      <w:r>
                        <w:rPr>
                          <w:color w:val="000000"/>
                          <w:szCs w:val="24"/>
                          <w:lang w:eastAsia="lt-LT"/>
                        </w:rPr>
                        <w:t>1</w:t>
                      </w:r>
                    </w:sdtContent>
                  </w:sdt>
                  <w:r>
                    <w:rPr>
                      <w:color w:val="000000"/>
                      <w:szCs w:val="24"/>
                      <w:lang w:eastAsia="lt-LT"/>
                    </w:rPr>
                    <w:t>.</w:t>
                    <w:tab/>
                  </w:r>
                  <w:r>
                    <w:rPr>
                      <w:szCs w:val="24"/>
                      <w:lang w:eastAsia="lt-LT"/>
                    </w:rPr>
                    <w:t>Radviliškio rajono savivaldybės rezultatyviai dirbančių mokytojų skatinimo tvarkos aprašas (toliau – Aprašas) reglamentuoja mokytojų skatinimo tvarką, kriterijus ir procedūras, siekiant įvertinti ir pripažinti pedagogų profesinės veiklos pasiekimus.</w:t>
                  </w:r>
                </w:p>
              </w:sdtContent>
            </w:sdt>
            <w:sdt>
              <w:sdtPr>
                <w:alias w:val="2 p."/>
                <w:tag w:val="part_26604b557e994bdfbabd4dbc10992a75"/>
                <w:lock w:val="sdtLocked"/>
                <w:richText/>
              </w:sdtPr>
              <w:sdtContent>
                <w:p>
                  <w:pPr>
                    <w:tabs>
                      <w:tab w:val="left" w:pos="284"/>
                      <w:tab w:val="left" w:pos="709"/>
                      <w:tab w:val="left" w:pos="1110"/>
                    </w:tabs>
                    <w:ind w:right="-2" w:firstLine="851"/>
                    <w:jc w:val="both"/>
                    <w:rPr>
                      <w:szCs w:val="24"/>
                      <w:lang w:eastAsia="lt-LT"/>
                    </w:rPr>
                  </w:pPr>
                  <w:sdt>
                    <w:sdtPr>
                      <w:alias w:val="Numeris"/>
                      <w:tag w:val="nr_26604b557e994bdfbabd4dbc10992a75"/>
                      <w:lock w:val="sdtLocked"/>
                      <w:richText/>
                    </w:sdtPr>
                    <w:sdtContent>
                      <w:r>
                        <w:rPr>
                          <w:color w:val="000000"/>
                          <w:szCs w:val="24"/>
                          <w:lang w:eastAsia="lt-LT"/>
                        </w:rPr>
                        <w:t>2</w:t>
                      </w:r>
                    </w:sdtContent>
                  </w:sdt>
                  <w:r>
                    <w:rPr>
                      <w:color w:val="000000"/>
                      <w:szCs w:val="24"/>
                      <w:lang w:eastAsia="lt-LT"/>
                    </w:rPr>
                    <w:t>.</w:t>
                    <w:tab/>
                  </w:r>
                  <w:r>
                    <w:rPr>
                      <w:szCs w:val="24"/>
                      <w:lang w:eastAsia="lt-LT"/>
                    </w:rPr>
                    <w:t xml:space="preserve">Aprašo </w:t>
                  </w:r>
                  <w:r>
                    <w:rPr>
                      <w:iCs/>
                      <w:szCs w:val="24"/>
                      <w:lang w:eastAsia="lt-LT"/>
                    </w:rPr>
                    <w:t>tikslas</w:t>
                  </w:r>
                  <w:r>
                    <w:rPr>
                      <w:i/>
                      <w:szCs w:val="24"/>
                      <w:lang w:eastAsia="lt-LT"/>
                    </w:rPr>
                    <w:t xml:space="preserve"> </w:t>
                  </w:r>
                  <w:r>
                    <w:rPr>
                      <w:szCs w:val="24"/>
                      <w:lang w:eastAsia="lt-LT"/>
                    </w:rPr>
                    <w:t>– nuosekliai įvertinti rezultatyviai dirbančių mokytojų profesinės veiklos pasiekimus, rezultatus ir skatinti jų profesinę bei kūrybinę iniciatyvą.</w:t>
                  </w:r>
                </w:p>
              </w:sdtContent>
            </w:sdt>
            <w:sdt>
              <w:sdtPr>
                <w:alias w:val="3 p."/>
                <w:tag w:val="part_eddba10281e54da59a7bfac79d443cda"/>
                <w:lock w:val="sdtLocked"/>
                <w:richText/>
              </w:sdtPr>
              <w:sdtContent>
                <w:p>
                  <w:pPr>
                    <w:tabs>
                      <w:tab w:val="left" w:pos="284"/>
                      <w:tab w:val="left" w:pos="709"/>
                      <w:tab w:val="left" w:pos="1110"/>
                    </w:tabs>
                    <w:ind w:right="-2" w:firstLine="851"/>
                    <w:jc w:val="both"/>
                    <w:rPr>
                      <w:szCs w:val="24"/>
                      <w:lang w:eastAsia="lt-LT"/>
                    </w:rPr>
                  </w:pPr>
                  <w:sdt>
                    <w:sdtPr>
                      <w:alias w:val="Numeris"/>
                      <w:tag w:val="nr_eddba10281e54da59a7bfac79d443cda"/>
                      <w:lock w:val="sdtLocked"/>
                      <w:richText/>
                    </w:sdtPr>
                    <w:sdtContent>
                      <w:r>
                        <w:rPr>
                          <w:color w:val="000000"/>
                          <w:szCs w:val="24"/>
                          <w:lang w:eastAsia="lt-LT"/>
                        </w:rPr>
                        <w:t>3</w:t>
                      </w:r>
                    </w:sdtContent>
                  </w:sdt>
                  <w:r>
                    <w:rPr>
                      <w:color w:val="000000"/>
                      <w:szCs w:val="24"/>
                      <w:lang w:eastAsia="lt-LT"/>
                    </w:rPr>
                    <w:t>.</w:t>
                    <w:tab/>
                  </w:r>
                  <w:r>
                    <w:rPr>
                      <w:szCs w:val="24"/>
                      <w:lang w:eastAsia="lt-LT"/>
                    </w:rPr>
                    <w:t>Skatinami Radviliškio rajono savivaldybės mokytojai, dirbantys pagal formaliojo ir neformaliojo (</w:t>
                  </w:r>
                  <w:r>
                    <w:rPr>
                      <w:szCs w:val="24"/>
                    </w:rPr>
                    <w:t xml:space="preserve">formalųjį švietimą papildantis </w:t>
                  </w:r>
                  <w:r>
                    <w:rPr>
                      <w:iCs/>
                      <w:szCs w:val="24"/>
                    </w:rPr>
                    <w:t>ugdymas)</w:t>
                  </w:r>
                  <w:r>
                    <w:rPr>
                      <w:i/>
                      <w:szCs w:val="24"/>
                    </w:rPr>
                    <w:t xml:space="preserve"> </w:t>
                  </w:r>
                  <w:r>
                    <w:rPr>
                      <w:szCs w:val="24"/>
                      <w:lang w:eastAsia="lt-LT"/>
                    </w:rPr>
                    <w:t>švietimo programas bei pagalbos mokiniui specialistai, kurie per pastaruosius mokslo metus pasiekė reikšmingų nuopelnų profesinėje veikloje, mokinių pasiekimų, švietimo srities tobulinimo ir visuomenės demokratinės kultūros bei bendražmogiškųjų vertybių ugdymo srityse.</w:t>
                  </w:r>
                </w:p>
              </w:sdtContent>
            </w:sdt>
            <w:sdt>
              <w:sdtPr>
                <w:alias w:val="4 p."/>
                <w:tag w:val="part_ff73f4eacc654d0d961179e4359903a7"/>
                <w:lock w:val="sdtLocked"/>
                <w:richText/>
              </w:sdtPr>
              <w:sdtContent>
                <w:p>
                  <w:pPr>
                    <w:tabs>
                      <w:tab w:val="left" w:pos="284"/>
                      <w:tab w:val="left" w:pos="709"/>
                      <w:tab w:val="left" w:pos="1110"/>
                    </w:tabs>
                    <w:ind w:right="-2" w:firstLine="851"/>
                    <w:jc w:val="both"/>
                    <w:rPr>
                      <w:color w:val="FF0000"/>
                      <w:szCs w:val="24"/>
                      <w:lang w:eastAsia="lt-LT"/>
                    </w:rPr>
                  </w:pPr>
                  <w:sdt>
                    <w:sdtPr>
                      <w:alias w:val="Numeris"/>
                      <w:tag w:val="nr_ff73f4eacc654d0d961179e4359903a7"/>
                      <w:lock w:val="sdtLocked"/>
                      <w:richText/>
                    </w:sdtPr>
                    <w:sdtContent>
                      <w:r>
                        <w:rPr>
                          <w:color w:val="000000"/>
                          <w:szCs w:val="24"/>
                          <w:lang w:eastAsia="lt-LT"/>
                        </w:rPr>
                        <w:t>4</w:t>
                      </w:r>
                    </w:sdtContent>
                  </w:sdt>
                  <w:r>
                    <w:rPr>
                      <w:color w:val="000000"/>
                      <w:szCs w:val="24"/>
                      <w:lang w:eastAsia="lt-LT"/>
                    </w:rPr>
                    <w:t>.</w:t>
                    <w:tab/>
                  </w:r>
                  <w:r>
                    <w:rPr>
                      <w:szCs w:val="24"/>
                    </w:rPr>
                    <w:t xml:space="preserve">Mokytojų skatinimas apima keturias ugdymo pakopas: ikimokyklinis ir priešmokyklinis, pradinis ir pagrindinis (1–10 kl.), vidurinis (11–12 kl.) bei neformalus ugdymas. </w:t>
                  </w:r>
                </w:p>
              </w:sdtContent>
            </w:sdt>
            <w:sdt>
              <w:sdtPr>
                <w:alias w:val="5 p."/>
                <w:tag w:val="part_0863abedc2a2443f8cc95de82aeec336"/>
                <w:lock w:val="sdtLocked"/>
                <w:richText/>
              </w:sdtPr>
              <w:sdtContent>
                <w:p>
                  <w:pPr>
                    <w:tabs>
                      <w:tab w:val="left" w:pos="284"/>
                      <w:tab w:val="left" w:pos="709"/>
                    </w:tabs>
                    <w:ind w:right="-2" w:firstLine="851"/>
                    <w:jc w:val="both"/>
                    <w:rPr>
                      <w:szCs w:val="24"/>
                      <w:lang w:eastAsia="lt-LT"/>
                    </w:rPr>
                  </w:pPr>
                  <w:sdt>
                    <w:sdtPr>
                      <w:alias w:val="Numeris"/>
                      <w:tag w:val="nr_0863abedc2a2443f8cc95de82aeec336"/>
                      <w:lock w:val="sdtLocked"/>
                      <w:richText/>
                    </w:sdtPr>
                    <w:sdtContent>
                      <w:r>
                        <w:rPr>
                          <w:color w:val="000000"/>
                          <w:szCs w:val="24"/>
                          <w:lang w:eastAsia="lt-LT"/>
                        </w:rPr>
                        <w:t>5</w:t>
                      </w:r>
                    </w:sdtContent>
                  </w:sdt>
                  <w:r>
                    <w:rPr>
                      <w:color w:val="000000"/>
                      <w:szCs w:val="24"/>
                      <w:lang w:eastAsia="lt-LT"/>
                    </w:rPr>
                    <w:t>.</w:t>
                    <w:tab/>
                  </w:r>
                  <w:r>
                    <w:rPr>
                      <w:szCs w:val="24"/>
                      <w:lang w:eastAsia="lt-LT"/>
                    </w:rPr>
                    <w:t>Kiekvienoje kategorijoje mokytojai, pagal Aprašo kriterijus surinkę daugiausiai balų, apdovanojami piniginėmis premijomis, atminimo dovanomis ir kt.</w:t>
                  </w:r>
                </w:p>
              </w:sdtContent>
            </w:sdt>
            <w:sdt>
              <w:sdtPr>
                <w:alias w:val="6 p."/>
                <w:tag w:val="part_ab4c89d69e3c4f37894ee93322963619"/>
                <w:lock w:val="sdtLocked"/>
                <w:richText/>
              </w:sdtPr>
              <w:sdtContent>
                <w:p>
                  <w:pPr>
                    <w:tabs>
                      <w:tab w:val="left" w:pos="284"/>
                      <w:tab w:val="left" w:pos="709"/>
                      <w:tab w:val="left" w:pos="1110"/>
                    </w:tabs>
                    <w:ind w:right="-2" w:firstLine="851"/>
                    <w:jc w:val="both"/>
                    <w:rPr>
                      <w:szCs w:val="24"/>
                      <w:lang w:eastAsia="lt-LT"/>
                    </w:rPr>
                  </w:pPr>
                  <w:sdt>
                    <w:sdtPr>
                      <w:alias w:val="Numeris"/>
                      <w:tag w:val="nr_ab4c89d69e3c4f37894ee93322963619"/>
                      <w:lock w:val="sdtLocked"/>
                      <w:richText/>
                    </w:sdtPr>
                    <w:sdtContent>
                      <w:r>
                        <w:rPr>
                          <w:color w:val="000000"/>
                          <w:szCs w:val="24"/>
                          <w:lang w:eastAsia="lt-LT"/>
                        </w:rPr>
                        <w:t>6</w:t>
                      </w:r>
                    </w:sdtContent>
                  </w:sdt>
                  <w:r>
                    <w:rPr>
                      <w:color w:val="000000"/>
                      <w:szCs w:val="24"/>
                      <w:lang w:eastAsia="lt-LT"/>
                    </w:rPr>
                    <w:t>.</w:t>
                    <w:tab/>
                  </w:r>
                  <w:r>
                    <w:rPr>
                      <w:szCs w:val="24"/>
                      <w:lang w:eastAsia="lt-LT"/>
                    </w:rPr>
                    <w:t>Lėšos, skirtos mokytojų</w:t>
                  </w:r>
                  <w:r>
                    <w:rPr>
                      <w:szCs w:val="24"/>
                    </w:rPr>
                    <w:t xml:space="preserve"> </w:t>
                  </w:r>
                  <w:r>
                    <w:rPr>
                      <w:szCs w:val="24"/>
                      <w:lang w:eastAsia="lt-LT"/>
                    </w:rPr>
                    <w:t xml:space="preserve">skatinimui pagal šį tvarkos aprašą, skiriamos iš Radviliškio rajono savivaldybės biudžeto. </w:t>
                  </w:r>
                </w:p>
              </w:sdtContent>
            </w:sdt>
            <w:sdt>
              <w:sdtPr>
                <w:alias w:val="7 p."/>
                <w:tag w:val="part_c665901084194656a1eda54de713c80f"/>
                <w:lock w:val="sdtLocked"/>
                <w:richText/>
              </w:sdtPr>
              <w:sdtContent>
                <w:p>
                  <w:pPr>
                    <w:tabs>
                      <w:tab w:val="left" w:pos="284"/>
                      <w:tab w:val="left" w:pos="709"/>
                      <w:tab w:val="left" w:pos="851"/>
                      <w:tab w:val="left" w:pos="1110"/>
                    </w:tabs>
                    <w:ind w:right="-2" w:firstLine="851"/>
                    <w:jc w:val="both"/>
                    <w:rPr>
                      <w:szCs w:val="24"/>
                      <w:lang w:eastAsia="lt-LT"/>
                    </w:rPr>
                  </w:pPr>
                  <w:sdt>
                    <w:sdtPr>
                      <w:alias w:val="Numeris"/>
                      <w:tag w:val="nr_c665901084194656a1eda54de713c80f"/>
                      <w:lock w:val="sdtLocked"/>
                      <w:richText/>
                    </w:sdtPr>
                    <w:sdtContent>
                      <w:r>
                        <w:rPr>
                          <w:color w:val="000000"/>
                          <w:szCs w:val="24"/>
                          <w:lang w:eastAsia="lt-LT"/>
                        </w:rPr>
                        <w:t>7</w:t>
                      </w:r>
                    </w:sdtContent>
                  </w:sdt>
                  <w:r>
                    <w:rPr>
                      <w:color w:val="000000"/>
                      <w:szCs w:val="24"/>
                      <w:lang w:eastAsia="lt-LT"/>
                    </w:rPr>
                    <w:t>.</w:t>
                    <w:tab/>
                  </w:r>
                  <w:r>
                    <w:rPr>
                      <w:szCs w:val="24"/>
                      <w:lang w:eastAsia="lt-LT"/>
                    </w:rPr>
                    <w:t>Mokytojai apdovanojami piniginėmis premijomis (toliau – Premija) vieną kartą per metus. Tam pačiam asmeniui Premija gali būti skiriama ne dažniau kaip vieną kartą per du metus.</w:t>
                  </w:r>
                </w:p>
                <w:p>
                  <w:pPr>
                    <w:rPr>
                      <w:sz w:val="8"/>
                      <w:szCs w:val="8"/>
                    </w:rPr>
                  </w:pPr>
                </w:p>
              </w:sdtContent>
            </w:sdt>
          </w:sdtContent>
        </w:sdt>
        <w:sdt>
          <w:sdtPr>
            <w:alias w:val="skyrius"/>
            <w:tag w:val="part_1c53ec9ae36d4c4c944175353fb6e096"/>
            <w:lock w:val="sdtLocked"/>
            <w:richText/>
          </w:sdtPr>
          <w:sdtContent>
            <w:p>
              <w:pPr>
                <w:ind w:right="-2"/>
                <w:jc w:val="center"/>
                <w:rPr>
                  <w:b/>
                  <w:szCs w:val="24"/>
                  <w:lang w:eastAsia="lt-LT"/>
                </w:rPr>
              </w:pPr>
              <w:sdt>
                <w:sdtPr>
                  <w:alias w:val="Numeris"/>
                  <w:tag w:val="nr_1c53ec9ae36d4c4c944175353fb6e096"/>
                  <w:lock w:val="sdtLocked"/>
                  <w:richText/>
                </w:sdtPr>
                <w:sdtContent>
                  <w:r>
                    <w:rPr>
                      <w:b/>
                      <w:szCs w:val="24"/>
                      <w:lang w:eastAsia="lt-LT"/>
                    </w:rPr>
                    <w:t>II</w:t>
                  </w:r>
                </w:sdtContent>
              </w:sdt>
              <w:r>
                <w:rPr>
                  <w:b/>
                  <w:szCs w:val="24"/>
                  <w:lang w:eastAsia="lt-LT"/>
                </w:rPr>
                <w:t xml:space="preserve"> SKYRIUS</w:t>
              </w:r>
            </w:p>
            <w:sdt>
              <w:sdtPr>
                <w:alias w:val="Pavadinimas"/>
                <w:tag w:val="title_1c53ec9ae36d4c4c944175353fb6e096"/>
                <w:lock w:val="sdtLocked"/>
                <w:richText/>
              </w:sdtPr>
              <w:sdtContent>
                <w:p>
                  <w:pPr>
                    <w:ind w:right="-2"/>
                    <w:jc w:val="center"/>
                    <w:rPr>
                      <w:b/>
                      <w:szCs w:val="24"/>
                      <w:lang w:eastAsia="lt-LT"/>
                    </w:rPr>
                  </w:pPr>
                  <w:r>
                    <w:rPr>
                      <w:b/>
                      <w:szCs w:val="24"/>
                      <w:lang w:eastAsia="lt-LT"/>
                    </w:rPr>
                    <w:t>REZULTATYVIAI DIRBANČIŲ MOKYTOJŲ SKATINIMO</w:t>
                  </w:r>
                </w:p>
                <w:p>
                  <w:pPr>
                    <w:ind w:right="-2" w:firstLine="851"/>
                    <w:jc w:val="center"/>
                    <w:rPr>
                      <w:b/>
                      <w:szCs w:val="24"/>
                      <w:lang w:eastAsia="lt-LT"/>
                    </w:rPr>
                  </w:pPr>
                  <w:r>
                    <w:rPr>
                      <w:b/>
                      <w:szCs w:val="24"/>
                      <w:lang w:eastAsia="lt-LT"/>
                    </w:rPr>
                    <w:t>ATRANKOS DARBO GRUPĖS VEIKLOS ORGANIZAVIMAS</w:t>
                  </w:r>
                </w:p>
              </w:sdtContent>
            </w:sdt>
            <w:p>
              <w:pPr>
                <w:ind w:right="-2" w:firstLine="851"/>
                <w:jc w:val="both"/>
                <w:rPr>
                  <w:b/>
                  <w:szCs w:val="24"/>
                  <w:lang w:eastAsia="lt-LT"/>
                </w:rPr>
              </w:pPr>
            </w:p>
            <w:sdt>
              <w:sdtPr>
                <w:alias w:val="8 p."/>
                <w:tag w:val="part_b51647dd0acd4cf9b8ff9c97eba2748e"/>
                <w:lock w:val="sdtLocked"/>
                <w:richText/>
              </w:sdtPr>
              <w:sdtContent>
                <w:p>
                  <w:pPr>
                    <w:tabs>
                      <w:tab w:val="left" w:pos="0"/>
                      <w:tab w:val="left" w:pos="709"/>
                      <w:tab w:val="left" w:pos="1110"/>
                    </w:tabs>
                    <w:ind w:right="-2" w:firstLine="851"/>
                    <w:jc w:val="both"/>
                    <w:rPr>
                      <w:szCs w:val="24"/>
                      <w:lang w:eastAsia="lt-LT"/>
                    </w:rPr>
                  </w:pPr>
                  <w:sdt>
                    <w:sdtPr>
                      <w:alias w:val="Numeris"/>
                      <w:tag w:val="nr_b51647dd0acd4cf9b8ff9c97eba2748e"/>
                      <w:lock w:val="sdtLocked"/>
                      <w:richText/>
                    </w:sdtPr>
                    <w:sdtContent>
                      <w:r>
                        <w:rPr>
                          <w:color w:val="000000"/>
                          <w:szCs w:val="24"/>
                          <w:lang w:eastAsia="lt-LT"/>
                        </w:rPr>
                        <w:t>8</w:t>
                      </w:r>
                    </w:sdtContent>
                  </w:sdt>
                  <w:r>
                    <w:rPr>
                      <w:color w:val="000000"/>
                      <w:szCs w:val="24"/>
                      <w:lang w:eastAsia="lt-LT"/>
                    </w:rPr>
                    <w:t>.</w:t>
                    <w:tab/>
                  </w:r>
                  <w:r>
                    <w:rPr>
                      <w:szCs w:val="24"/>
                    </w:rPr>
                    <w:t xml:space="preserve">Rezultatyviai dirbančių mokytojų skatinimo atrankai vykdyti Savivaldybės meras tvirtina 5 narių darbo grupę (toliau – Darbo grupė). Darbo grupė sudaroma iš Savivaldybės vicemero, kuruojančio švietimo sritį, Savivaldybės administracijos Švietimo ir sporto skyriaus  2 atstovų, Radviliškio rajono savivaldybės švietimo ir sporto paslaugų centro Suaugusiųjų ir jaunimo neformaliojo ugdymo skyriaus 2 atstovų.</w:t>
                  </w:r>
                </w:p>
              </w:sdtContent>
            </w:sdt>
            <w:sdt>
              <w:sdtPr>
                <w:alias w:val="9 p."/>
                <w:tag w:val="part_6d71e46281a946b0b4ce2bbb8a29040c"/>
                <w:lock w:val="sdtLocked"/>
                <w:richText/>
              </w:sdtPr>
              <w:sdtContent>
                <w:p>
                  <w:pPr>
                    <w:tabs>
                      <w:tab w:val="left" w:pos="0"/>
                      <w:tab w:val="left" w:pos="709"/>
                      <w:tab w:val="left" w:pos="851"/>
                      <w:tab w:val="left" w:pos="1110"/>
                    </w:tabs>
                    <w:ind w:right="-2" w:firstLine="851"/>
                    <w:jc w:val="both"/>
                    <w:rPr>
                      <w:szCs w:val="24"/>
                      <w:lang w:eastAsia="lt-LT"/>
                    </w:rPr>
                  </w:pPr>
                  <w:sdt>
                    <w:sdtPr>
                      <w:alias w:val="Numeris"/>
                      <w:tag w:val="nr_6d71e46281a946b0b4ce2bbb8a29040c"/>
                      <w:lock w:val="sdtLocked"/>
                      <w:richText/>
                    </w:sdtPr>
                    <w:sdtContent>
                      <w:r>
                        <w:rPr>
                          <w:color w:val="000000"/>
                          <w:szCs w:val="24"/>
                          <w:lang w:eastAsia="lt-LT"/>
                        </w:rPr>
                        <w:t>9</w:t>
                      </w:r>
                    </w:sdtContent>
                  </w:sdt>
                  <w:r>
                    <w:rPr>
                      <w:color w:val="000000"/>
                      <w:szCs w:val="24"/>
                      <w:lang w:eastAsia="lt-LT"/>
                    </w:rPr>
                    <w:t>.</w:t>
                    <w:tab/>
                  </w:r>
                  <w:r>
                    <w:rPr>
                      <w:szCs w:val="24"/>
                    </w:rPr>
                    <w:t>Darbo grupė savo veikloje vadovaujasi mero potvarkiu patvirtintu Darbo grupės reglamentu.</w:t>
                  </w:r>
                </w:p>
              </w:sdtContent>
            </w:sdt>
            <w:sdt>
              <w:sdtPr>
                <w:alias w:val="10 p."/>
                <w:tag w:val="part_0285877130d74d1982d6ce2d2d44ec8d"/>
                <w:lock w:val="sdtLocked"/>
                <w:richText/>
              </w:sdtPr>
              <w:sdtContent>
                <w:p>
                  <w:pPr>
                    <w:tabs>
                      <w:tab w:val="left" w:pos="0"/>
                      <w:tab w:val="left" w:pos="709"/>
                      <w:tab w:val="left" w:pos="851"/>
                      <w:tab w:val="left" w:pos="1110"/>
                    </w:tabs>
                    <w:ind w:right="-2" w:firstLine="851"/>
                    <w:jc w:val="both"/>
                    <w:rPr>
                      <w:szCs w:val="24"/>
                      <w:lang w:eastAsia="lt-LT"/>
                    </w:rPr>
                  </w:pPr>
                  <w:sdt>
                    <w:sdtPr>
                      <w:alias w:val="Numeris"/>
                      <w:tag w:val="nr_0285877130d74d1982d6ce2d2d44ec8d"/>
                      <w:lock w:val="sdtLocked"/>
                      <w:richText/>
                    </w:sdtPr>
                    <w:sdtContent>
                      <w:r>
                        <w:rPr>
                          <w:color w:val="000000"/>
                          <w:szCs w:val="24"/>
                          <w:lang w:eastAsia="lt-LT"/>
                        </w:rPr>
                        <w:t>10</w:t>
                      </w:r>
                    </w:sdtContent>
                  </w:sdt>
                  <w:r>
                    <w:rPr>
                      <w:color w:val="000000"/>
                      <w:szCs w:val="24"/>
                      <w:lang w:eastAsia="lt-LT"/>
                    </w:rPr>
                    <w:t>.</w:t>
                    <w:tab/>
                  </w:r>
                  <w:r>
                    <w:rPr>
                      <w:szCs w:val="24"/>
                      <w:lang w:eastAsia="lt-LT"/>
                    </w:rPr>
                    <w:t xml:space="preserve">Informaciją apie rezultatyviai dirbančius mokytojus, jų pasiekimus pagal šiame Apraše numatytus kriterijus Radviliškio rajono savivaldybės Švietimo ir sporto paslaugų centro Suaugusiųjų ir jaunimo neformaliojo ugdymo skyrius teikia svarstyti Darbo grupei ne vėliau kaip </w:t>
                  </w:r>
                  <w:r>
                    <w:rPr>
                      <w:szCs w:val="24"/>
                      <w:u w:val="single"/>
                      <w:lang w:eastAsia="lt-LT"/>
                    </w:rPr>
                    <w:t>iki einamųjų metų rugsėjo 7 d.,</w:t>
                  </w:r>
                  <w:r>
                    <w:rPr>
                      <w:szCs w:val="24"/>
                      <w:lang w:eastAsia="lt-LT"/>
                    </w:rPr>
                    <w:t xml:space="preserve"> už praėjusius (paskutinius) mokslo metus.</w:t>
                  </w:r>
                </w:p>
              </w:sdtContent>
            </w:sdt>
            <w:sdt>
              <w:sdtPr>
                <w:alias w:val="11 p."/>
                <w:tag w:val="part_ee3ff12a6249479bb4810a7dfe8afb7b"/>
                <w:lock w:val="sdtLocked"/>
                <w:richText/>
              </w:sdtPr>
              <w:sdtContent>
                <w:p>
                  <w:pPr>
                    <w:tabs>
                      <w:tab w:val="left" w:pos="709"/>
                      <w:tab w:val="left" w:pos="851"/>
                    </w:tabs>
                    <w:ind w:right="-2" w:firstLine="833"/>
                    <w:jc w:val="both"/>
                    <w:rPr>
                      <w:szCs w:val="24"/>
                      <w:lang w:val="en-US" w:eastAsia="lt-LT"/>
                    </w:rPr>
                  </w:pPr>
                  <w:sdt>
                    <w:sdtPr>
                      <w:alias w:val="Numeris"/>
                      <w:tag w:val="nr_ee3ff12a6249479bb4810a7dfe8afb7b"/>
                      <w:lock w:val="sdtLocked"/>
                      <w:richText/>
                    </w:sdtPr>
                    <w:sdtContent>
                      <w:r>
                        <w:rPr>
                          <w:szCs w:val="24"/>
                          <w:lang w:eastAsia="lt-LT"/>
                        </w:rPr>
                        <w:t>11</w:t>
                      </w:r>
                    </w:sdtContent>
                  </w:sdt>
                  <w:r>
                    <w:rPr>
                      <w:szCs w:val="24"/>
                      <w:lang w:eastAsia="lt-LT"/>
                    </w:rPr>
                    <w:t xml:space="preserve">. </w:t>
                  </w:r>
                  <w:r>
                    <w:rPr>
                      <w:szCs w:val="24"/>
                    </w:rPr>
                    <w:t>Kiekvienoje pakopoje mokytojai, pagal Aprašo kriterijus surinkę daugiausiai balų, apdovanojami vienodo dydžio Premijomis. Premijos dydis – 1250 EUR. Per metus skiriamos 4 Premijos.</w:t>
                  </w:r>
                </w:p>
              </w:sdtContent>
            </w:sdt>
            <w:sdt>
              <w:sdtPr>
                <w:alias w:val="12 p."/>
                <w:tag w:val="part_547b13365d2c4a598aa42f510cfb794c"/>
                <w:lock w:val="sdtLocked"/>
                <w:richText/>
              </w:sdtPr>
              <w:sdtContent>
                <w:p>
                  <w:pPr>
                    <w:tabs>
                      <w:tab w:val="left" w:pos="1276"/>
                    </w:tabs>
                    <w:ind w:right="-2" w:firstLine="851"/>
                    <w:jc w:val="both"/>
                    <w:rPr>
                      <w:szCs w:val="24"/>
                      <w:lang w:eastAsia="lt-LT"/>
                    </w:rPr>
                  </w:pPr>
                  <w:sdt>
                    <w:sdtPr>
                      <w:alias w:val="Numeris"/>
                      <w:tag w:val="nr_547b13365d2c4a598aa42f510cfb794c"/>
                      <w:lock w:val="sdtLocked"/>
                      <w:richText/>
                    </w:sdtPr>
                    <w:sdtContent>
                      <w:r>
                        <w:rPr>
                          <w:szCs w:val="24"/>
                          <w:lang w:eastAsia="lt-LT"/>
                        </w:rPr>
                        <w:t>12</w:t>
                      </w:r>
                    </w:sdtContent>
                  </w:sdt>
                  <w:r>
                    <w:rPr>
                      <w:szCs w:val="24"/>
                      <w:lang w:eastAsia="lt-LT"/>
                    </w:rPr>
                    <w:t xml:space="preserve">. </w:t>
                  </w:r>
                  <w:r>
                    <w:rPr>
                      <w:szCs w:val="24"/>
                    </w:rPr>
                    <w:t xml:space="preserve">Darbo grupė, apsvarsčiusi pateiktą informaciją, protokoliniu sprendimu dėl skatintinų asmenų teikia siūlymą merui tvirtinti skatinamų asmenų vardinį sąrašą. </w:t>
                  </w:r>
                  <w:r>
                    <w:rPr>
                      <w:szCs w:val="24"/>
                      <w:lang w:eastAsia="lt-LT"/>
                    </w:rPr>
                    <w:t xml:space="preserve">Darbo grupės siūlymai  įforminami protokolu. Darbo grupė, organizuodama savo darbą, negali viršyti kalendoriniams metams skirtų Savivaldybės biudžeto lėšų, numatytų rezultatyviai dirbančių mokytojų skatinimui. Premijos skiriamos mero potvarkiu.</w:t>
                  </w:r>
                </w:p>
              </w:sdtContent>
            </w:sdt>
            <w:sdt>
              <w:sdtPr>
                <w:alias w:val="13 p."/>
                <w:tag w:val="part_0aefcfa71db641068a9ccf4c128d3614"/>
                <w:lock w:val="sdtLocked"/>
                <w:richText/>
              </w:sdtPr>
              <w:sdtContent>
                <w:p>
                  <w:pPr>
                    <w:ind w:right="-2" w:firstLine="851"/>
                    <w:jc w:val="both"/>
                    <w:rPr>
                      <w:szCs w:val="24"/>
                      <w:lang w:eastAsia="lt-LT"/>
                    </w:rPr>
                  </w:pPr>
                  <w:sdt>
                    <w:sdtPr>
                      <w:alias w:val="Numeris"/>
                      <w:tag w:val="nr_0aefcfa71db641068a9ccf4c128d3614"/>
                      <w:lock w:val="sdtLocked"/>
                      <w:richText/>
                    </w:sdtPr>
                    <w:sdtContent>
                      <w:r>
                        <w:rPr>
                          <w:szCs w:val="24"/>
                          <w:lang w:val="en-US" w:eastAsia="lt-LT"/>
                        </w:rPr>
                        <w:t>13</w:t>
                      </w:r>
                    </w:sdtContent>
                  </w:sdt>
                  <w:r>
                    <w:rPr>
                      <w:szCs w:val="24"/>
                      <w:lang w:val="en-US" w:eastAsia="lt-LT"/>
                    </w:rPr>
                    <w:t xml:space="preserve">. </w:t>
                  </w:r>
                  <w:r>
                    <w:rPr>
                      <w:szCs w:val="24"/>
                      <w:lang w:eastAsia="lt-LT"/>
                    </w:rPr>
                    <w:t>Sprendimai dėl skatinimo priimami ne vėliau kaip iki einamųjų metų rugsėjo 20 d.</w:t>
                  </w:r>
                </w:p>
                <w:p>
                  <w:pPr>
                    <w:ind w:right="-2" w:firstLine="851"/>
                    <w:jc w:val="both"/>
                    <w:rPr>
                      <w:szCs w:val="24"/>
                      <w:lang w:val="en-US" w:eastAsia="lt-LT"/>
                    </w:rPr>
                  </w:pPr>
                </w:p>
              </w:sdtContent>
            </w:sdt>
          </w:sdtContent>
        </w:sdt>
        <w:sdt>
          <w:sdtPr>
            <w:alias w:val="skyrius"/>
            <w:tag w:val="part_5306327db91148bfbeeb1d913ba6d71f"/>
            <w:lock w:val="sdtLocked"/>
            <w:richText/>
          </w:sdtPr>
          <w:sdtContent>
            <w:p>
              <w:pPr>
                <w:ind w:right="-2"/>
                <w:jc w:val="center"/>
                <w:rPr>
                  <w:b/>
                  <w:szCs w:val="24"/>
                  <w:lang w:eastAsia="lt-LT"/>
                </w:rPr>
              </w:pPr>
              <w:sdt>
                <w:sdtPr>
                  <w:alias w:val="Numeris"/>
                  <w:tag w:val="nr_5306327db91148bfbeeb1d913ba6d71f"/>
                  <w:lock w:val="sdtLocked"/>
                  <w:richText/>
                </w:sdtPr>
                <w:sdtContent>
                  <w:r>
                    <w:rPr>
                      <w:b/>
                      <w:szCs w:val="24"/>
                      <w:lang w:eastAsia="lt-LT"/>
                    </w:rPr>
                    <w:t>III</w:t>
                  </w:r>
                </w:sdtContent>
              </w:sdt>
              <w:r>
                <w:rPr>
                  <w:b/>
                  <w:szCs w:val="24"/>
                  <w:lang w:eastAsia="lt-LT"/>
                </w:rPr>
                <w:t xml:space="preserve"> SKYRIUS</w:t>
              </w:r>
            </w:p>
            <w:p>
              <w:pPr>
                <w:ind w:right="-2"/>
                <w:jc w:val="center"/>
                <w:rPr>
                  <w:b/>
                  <w:szCs w:val="24"/>
                  <w:lang w:eastAsia="lt-LT"/>
                </w:rPr>
              </w:pPr>
              <w:sdt>
                <w:sdtPr>
                  <w:alias w:val="Pavadinimas"/>
                  <w:tag w:val="title_5306327db91148bfbeeb1d913ba6d71f"/>
                  <w:lock w:val="sdtLocked"/>
                  <w:richText/>
                </w:sdtPr>
                <w:sdtContent>
                  <w:r>
                    <w:rPr>
                      <w:b/>
                      <w:szCs w:val="24"/>
                      <w:lang w:eastAsia="lt-LT"/>
                    </w:rPr>
                    <w:t>REZULTATYVIAI DIRBANČIŲ SAVIVALDYBĖS MOKYTOJŲ SKATINIMAS</w:t>
                  </w:r>
                </w:sdtContent>
              </w:sdt>
            </w:p>
            <w:p>
              <w:pPr>
                <w:ind w:right="-2" w:firstLine="851"/>
                <w:jc w:val="both"/>
                <w:rPr>
                  <w:b/>
                  <w:szCs w:val="24"/>
                  <w:lang w:eastAsia="lt-LT"/>
                </w:rPr>
              </w:pPr>
            </w:p>
            <w:sdt>
              <w:sdtPr>
                <w:alias w:val="14 p."/>
                <w:tag w:val="part_677e49e8df344fd09e95987d60742a3e"/>
                <w:lock w:val="sdtLocked"/>
                <w:richText/>
              </w:sdtPr>
              <w:sdtContent>
                <w:p>
                  <w:pPr>
                    <w:tabs>
                      <w:tab w:val="left" w:pos="426"/>
                      <w:tab w:val="left" w:pos="851"/>
                    </w:tabs>
                    <w:ind w:right="-2" w:firstLine="851"/>
                    <w:jc w:val="both"/>
                    <w:rPr>
                      <w:szCs w:val="24"/>
                      <w:lang w:eastAsia="lt-LT"/>
                    </w:rPr>
                  </w:pPr>
                  <w:sdt>
                    <w:sdtPr>
                      <w:alias w:val="Numeris"/>
                      <w:tag w:val="nr_677e49e8df344fd09e95987d60742a3e"/>
                      <w:lock w:val="sdtLocked"/>
                      <w:richText/>
                    </w:sdtPr>
                    <w:sdtContent>
                      <w:r>
                        <w:rPr>
                          <w:szCs w:val="24"/>
                          <w:lang w:eastAsia="lt-LT"/>
                        </w:rPr>
                        <w:t>14</w:t>
                      </w:r>
                    </w:sdtContent>
                  </w:sdt>
                  <w:r>
                    <w:rPr>
                      <w:szCs w:val="24"/>
                      <w:lang w:eastAsia="lt-LT"/>
                    </w:rPr>
                    <w:t>.</w:t>
                    <w:tab/>
                    <w:t>Rezultatyviai dirbančius mokytojus atrenka Darbo grupė, atsižvelgdama į vertinimo kriterijus (1 priedas).</w:t>
                  </w:r>
                </w:p>
              </w:sdtContent>
            </w:sdt>
            <w:sdt>
              <w:sdtPr>
                <w:alias w:val="15 p."/>
                <w:tag w:val="part_08c77609aeb04abcb91e387d970d62d7"/>
                <w:lock w:val="sdtLocked"/>
                <w:richText/>
              </w:sdtPr>
              <w:sdtContent>
                <w:p>
                  <w:pPr>
                    <w:tabs>
                      <w:tab w:val="left" w:pos="426"/>
                      <w:tab w:val="left" w:pos="993"/>
                      <w:tab w:val="left" w:pos="1110"/>
                    </w:tabs>
                    <w:ind w:right="-2" w:firstLine="851"/>
                    <w:jc w:val="both"/>
                    <w:rPr>
                      <w:szCs w:val="24"/>
                      <w:lang w:eastAsia="lt-LT"/>
                    </w:rPr>
                  </w:pPr>
                  <w:sdt>
                    <w:sdtPr>
                      <w:alias w:val="Numeris"/>
                      <w:tag w:val="nr_08c77609aeb04abcb91e387d970d62d7"/>
                      <w:lock w:val="sdtLocked"/>
                      <w:richText/>
                    </w:sdtPr>
                    <w:sdtContent>
                      <w:r>
                        <w:rPr>
                          <w:szCs w:val="24"/>
                          <w:lang w:eastAsia="lt-LT"/>
                        </w:rPr>
                        <w:t>15</w:t>
                      </w:r>
                    </w:sdtContent>
                  </w:sdt>
                  <w:r>
                    <w:rPr>
                      <w:szCs w:val="24"/>
                      <w:lang w:eastAsia="lt-LT"/>
                    </w:rPr>
                    <w:t>.</w:t>
                    <w:tab/>
                    <w:t xml:space="preserve">Skatinimo </w:t>
                  </w:r>
                  <w:r>
                    <w:rPr>
                      <w:iCs/>
                      <w:szCs w:val="24"/>
                      <w:lang w:eastAsia="lt-LT"/>
                    </w:rPr>
                    <w:t>tikslai</w:t>
                  </w:r>
                  <w:r>
                    <w:rPr>
                      <w:szCs w:val="24"/>
                      <w:lang w:eastAsia="lt-LT"/>
                    </w:rPr>
                    <w:t>:</w:t>
                  </w:r>
                </w:p>
                <w:sdt>
                  <w:sdtPr>
                    <w:alias w:val="15.1 pp."/>
                    <w:tag w:val="part_12734a92088347d28bcb38a037f441fe"/>
                    <w:lock w:val="sdtLocked"/>
                    <w:richText/>
                  </w:sdtPr>
                  <w:sdtContent>
                    <w:p>
                      <w:pPr>
                        <w:ind w:right="-2" w:firstLine="851"/>
                        <w:jc w:val="both"/>
                        <w:rPr>
                          <w:szCs w:val="24"/>
                          <w:lang w:eastAsia="lt-LT"/>
                        </w:rPr>
                      </w:pPr>
                      <w:sdt>
                        <w:sdtPr>
                          <w:alias w:val="Numeris"/>
                          <w:tag w:val="nr_12734a92088347d28bcb38a037f441fe"/>
                          <w:lock w:val="sdtLocked"/>
                          <w:richText/>
                        </w:sdtPr>
                        <w:sdtContent>
                          <w:r>
                            <w:rPr>
                              <w:szCs w:val="24"/>
                              <w:lang w:eastAsia="lt-LT"/>
                            </w:rPr>
                            <w:t>15.1</w:t>
                          </w:r>
                        </w:sdtContent>
                      </w:sdt>
                      <w:r>
                        <w:rPr>
                          <w:szCs w:val="24"/>
                          <w:lang w:eastAsia="lt-LT"/>
                        </w:rPr>
                        <w:t>. siekti teigiamos profesinės motyvacijos bei iniciatyvos;</w:t>
                      </w:r>
                    </w:p>
                  </w:sdtContent>
                </w:sdt>
                <w:sdt>
                  <w:sdtPr>
                    <w:alias w:val="15.2 pp."/>
                    <w:tag w:val="part_b9bd66559c6844798a6bd98a9ac55efc"/>
                    <w:lock w:val="sdtLocked"/>
                    <w:richText/>
                  </w:sdtPr>
                  <w:sdtContent>
                    <w:p>
                      <w:pPr>
                        <w:ind w:right="-2" w:firstLine="851"/>
                        <w:jc w:val="both"/>
                        <w:rPr>
                          <w:szCs w:val="24"/>
                          <w:lang w:eastAsia="lt-LT"/>
                        </w:rPr>
                      </w:pPr>
                      <w:sdt>
                        <w:sdtPr>
                          <w:alias w:val="Numeris"/>
                          <w:tag w:val="nr_b9bd66559c6844798a6bd98a9ac55efc"/>
                          <w:lock w:val="sdtLocked"/>
                          <w:richText/>
                        </w:sdtPr>
                        <w:sdtContent>
                          <w:r>
                            <w:rPr>
                              <w:szCs w:val="24"/>
                              <w:lang w:eastAsia="lt-LT"/>
                            </w:rPr>
                            <w:t>15.2</w:t>
                          </w:r>
                        </w:sdtContent>
                      </w:sdt>
                      <w:r>
                        <w:rPr>
                          <w:szCs w:val="24"/>
                          <w:lang w:eastAsia="lt-LT"/>
                        </w:rPr>
                        <w:t>. įvertinti rezultatyvią pedagogų veiklą bei jų pasiekimus.</w:t>
                      </w:r>
                    </w:p>
                  </w:sdtContent>
                </w:sdt>
              </w:sdtContent>
            </w:sdt>
            <w:sdt>
              <w:sdtPr>
                <w:alias w:val="16 p."/>
                <w:tag w:val="part_f946dafe8a0142e69fa7df086e18fe81"/>
                <w:lock w:val="sdtLocked"/>
                <w:richText/>
              </w:sdtPr>
              <w:sdtContent>
                <w:p>
                  <w:pPr>
                    <w:tabs>
                      <w:tab w:val="left" w:pos="567"/>
                      <w:tab w:val="left" w:pos="993"/>
                      <w:tab w:val="left" w:pos="1110"/>
                    </w:tabs>
                    <w:ind w:right="-2" w:firstLine="851"/>
                    <w:jc w:val="both"/>
                    <w:rPr>
                      <w:szCs w:val="24"/>
                      <w:lang w:eastAsia="lt-LT"/>
                    </w:rPr>
                  </w:pPr>
                  <w:sdt>
                    <w:sdtPr>
                      <w:alias w:val="Numeris"/>
                      <w:tag w:val="nr_f946dafe8a0142e69fa7df086e18fe81"/>
                      <w:lock w:val="sdtLocked"/>
                      <w:richText/>
                    </w:sdtPr>
                    <w:sdtContent>
                      <w:r>
                        <w:rPr>
                          <w:szCs w:val="24"/>
                          <w:lang w:eastAsia="lt-LT"/>
                        </w:rPr>
                        <w:t>16</w:t>
                      </w:r>
                    </w:sdtContent>
                  </w:sdt>
                  <w:r>
                    <w:rPr>
                      <w:szCs w:val="24"/>
                      <w:lang w:eastAsia="lt-LT"/>
                    </w:rPr>
                    <w:t>.</w:t>
                    <w:tab/>
                    <w:t>Skatinimas grindžiamas einamųjų mokslo metų darbo veiklos rezultatų kriterijais, kuriuos fiksuoja Radviliškio r</w:t>
                  </w:r>
                  <w:r>
                    <w:rPr>
                      <w:szCs w:val="24"/>
                      <w:lang w:val="en-US" w:eastAsia="lt-LT"/>
                    </w:rPr>
                    <w:t>ajono savivaldybės</w:t>
                  </w:r>
                  <w:r>
                    <w:rPr>
                      <w:szCs w:val="24"/>
                      <w:lang w:eastAsia="lt-LT"/>
                    </w:rPr>
                    <w:t xml:space="preserve"> švietimo ir sporto paslaugų centro Suaugusiųjų ir jaunimo neformaliojo ugdymo skyrius.</w:t>
                  </w:r>
                </w:p>
              </w:sdtContent>
            </w:sdt>
            <w:sdt>
              <w:sdtPr>
                <w:alias w:val="17 p."/>
                <w:tag w:val="part_c4bb8a64e55e4ec382311bcf2c1be6c0"/>
                <w:lock w:val="sdtLocked"/>
                <w:richText/>
              </w:sdtPr>
              <w:sdtContent>
                <w:p>
                  <w:pPr>
                    <w:tabs>
                      <w:tab w:val="left" w:pos="567"/>
                      <w:tab w:val="left" w:pos="993"/>
                      <w:tab w:val="left" w:pos="1110"/>
                    </w:tabs>
                    <w:ind w:right="-2" w:firstLine="851"/>
                    <w:jc w:val="both"/>
                    <w:rPr>
                      <w:szCs w:val="24"/>
                      <w:lang w:eastAsia="lt-LT"/>
                    </w:rPr>
                  </w:pPr>
                  <w:sdt>
                    <w:sdtPr>
                      <w:alias w:val="Numeris"/>
                      <w:tag w:val="nr_c4bb8a64e55e4ec382311bcf2c1be6c0"/>
                      <w:lock w:val="sdtLocked"/>
                      <w:richText/>
                    </w:sdtPr>
                    <w:sdtContent>
                      <w:r>
                        <w:rPr>
                          <w:szCs w:val="24"/>
                          <w:lang w:eastAsia="lt-LT"/>
                        </w:rPr>
                        <w:t>17</w:t>
                      </w:r>
                    </w:sdtContent>
                  </w:sdt>
                  <w:r>
                    <w:rPr>
                      <w:szCs w:val="24"/>
                      <w:lang w:eastAsia="lt-LT"/>
                    </w:rPr>
                    <w:t>.</w:t>
                    <w:tab/>
                  </w:r>
                  <w:r>
                    <w:rPr>
                      <w:szCs w:val="24"/>
                    </w:rPr>
                    <w:t xml:space="preserve">Mokytojai, dalyvavę Tvarkos apraše nurodytose veiklose už Savivaldybės ribų, pateikia </w:t>
                  </w:r>
                  <w:r>
                    <w:rPr>
                      <w:szCs w:val="24"/>
                      <w:lang w:eastAsia="lt-LT"/>
                    </w:rPr>
                    <w:t xml:space="preserve">Radviliškio r. sav. švietimo ir sporto paslaugų centro Suaugusiųjų ir jaunimo neformaliojo ugdymo skyriui </w:t>
                  </w:r>
                  <w:r>
                    <w:rPr>
                      <w:szCs w:val="24"/>
                    </w:rPr>
                    <w:t xml:space="preserve">patvirtinančius dokumentus </w:t>
                  </w:r>
                  <w:r>
                    <w:rPr>
                      <w:szCs w:val="24"/>
                      <w:u w:val="single"/>
                    </w:rPr>
                    <w:t>iki einamųjų metų rugsėjo 1 dienos.</w:t>
                  </w:r>
                </w:p>
              </w:sdtContent>
            </w:sdt>
            <w:sdt>
              <w:sdtPr>
                <w:alias w:val="18 p."/>
                <w:tag w:val="part_4bd90c3bdd714300a1a3f0c5adc8ce54"/>
                <w:lock w:val="sdtLocked"/>
                <w:richText/>
              </w:sdtPr>
              <w:sdtContent>
                <w:p>
                  <w:pPr>
                    <w:tabs>
                      <w:tab w:val="left" w:pos="0"/>
                      <w:tab w:val="left" w:pos="567"/>
                    </w:tabs>
                    <w:ind w:right="-2" w:firstLine="851"/>
                    <w:jc w:val="both"/>
                    <w:rPr>
                      <w:szCs w:val="24"/>
                      <w:lang w:eastAsia="lt-LT"/>
                    </w:rPr>
                  </w:pPr>
                  <w:sdt>
                    <w:sdtPr>
                      <w:alias w:val="Numeris"/>
                      <w:tag w:val="nr_4bd90c3bdd714300a1a3f0c5adc8ce54"/>
                      <w:lock w:val="sdtLocked"/>
                      <w:richText/>
                    </w:sdtPr>
                    <w:sdtContent>
                      <w:r>
                        <w:rPr>
                          <w:szCs w:val="24"/>
                          <w:lang w:eastAsia="lt-LT"/>
                        </w:rPr>
                        <w:t>18</w:t>
                      </w:r>
                    </w:sdtContent>
                  </w:sdt>
                  <w:r>
                    <w:rPr>
                      <w:szCs w:val="24"/>
                      <w:lang w:eastAsia="lt-LT"/>
                    </w:rPr>
                    <w:t>.</w:t>
                    <w:tab/>
                  </w:r>
                  <w:r>
                    <w:rPr>
                      <w:szCs w:val="24"/>
                    </w:rPr>
                    <w:t>Mokytojas, kuriam paskirta Premija, Savivaldybės administracijai pateikia prašymą pervesti premiją į jo nurodytą atsiskaitomąją sąskaitą.</w:t>
                  </w:r>
                </w:p>
                <w:p>
                  <w:pPr>
                    <w:tabs>
                      <w:tab w:val="left" w:pos="0"/>
                      <w:tab w:val="left" w:pos="567"/>
                      <w:tab w:val="left" w:pos="1110"/>
                    </w:tabs>
                    <w:ind w:left="750" w:right="-2"/>
                    <w:jc w:val="both"/>
                    <w:rPr>
                      <w:szCs w:val="24"/>
                      <w:lang w:eastAsia="lt-LT"/>
                    </w:rPr>
                  </w:pPr>
                </w:p>
              </w:sdtContent>
            </w:sdt>
          </w:sdtContent>
        </w:sdt>
        <w:sdt>
          <w:sdtPr>
            <w:alias w:val="skyrius"/>
            <w:tag w:val="part_2811ed0d63234f46a9ea9eed7a40a888"/>
            <w:lock w:val="sdtLocked"/>
            <w:richText/>
          </w:sdtPr>
          <w:sdtContent>
            <w:p>
              <w:pPr>
                <w:ind w:right="-2"/>
                <w:jc w:val="center"/>
                <w:rPr>
                  <w:b/>
                  <w:szCs w:val="24"/>
                  <w:lang w:eastAsia="lt-LT"/>
                </w:rPr>
              </w:pPr>
              <w:sdt>
                <w:sdtPr>
                  <w:alias w:val="Numeris"/>
                  <w:tag w:val="nr_2811ed0d63234f46a9ea9eed7a40a888"/>
                  <w:lock w:val="sdtLocked"/>
                  <w:richText/>
                </w:sdtPr>
                <w:sdtContent>
                  <w:r>
                    <w:rPr>
                      <w:b/>
                      <w:szCs w:val="24"/>
                      <w:lang w:eastAsia="lt-LT"/>
                    </w:rPr>
                    <w:t>IV</w:t>
                  </w:r>
                </w:sdtContent>
              </w:sdt>
              <w:r>
                <w:rPr>
                  <w:b/>
                  <w:szCs w:val="24"/>
                  <w:lang w:eastAsia="lt-LT"/>
                </w:rPr>
                <w:t xml:space="preserve"> SKYRIUS</w:t>
              </w:r>
            </w:p>
            <w:p>
              <w:pPr>
                <w:ind w:right="-2"/>
                <w:jc w:val="center"/>
                <w:rPr>
                  <w:b/>
                  <w:szCs w:val="24"/>
                  <w:lang w:eastAsia="lt-LT"/>
                </w:rPr>
              </w:pPr>
              <w:sdt>
                <w:sdtPr>
                  <w:alias w:val="Pavadinimas"/>
                  <w:tag w:val="title_2811ed0d63234f46a9ea9eed7a40a888"/>
                  <w:lock w:val="sdtLocked"/>
                  <w:richText/>
                </w:sdtPr>
                <w:sdtContent>
                  <w:r>
                    <w:rPr>
                      <w:b/>
                      <w:szCs w:val="24"/>
                      <w:lang w:eastAsia="lt-LT"/>
                    </w:rPr>
                    <w:t>BAIGIAMOSIOS NUOSTATOS</w:t>
                  </w:r>
                </w:sdtContent>
              </w:sdt>
            </w:p>
            <w:p>
              <w:pPr>
                <w:ind w:right="-2" w:firstLine="851"/>
                <w:jc w:val="both"/>
                <w:rPr>
                  <w:b/>
                  <w:szCs w:val="24"/>
                  <w:lang w:eastAsia="lt-LT"/>
                </w:rPr>
              </w:pPr>
            </w:p>
            <w:sdt>
              <w:sdtPr>
                <w:alias w:val="19 p."/>
                <w:tag w:val="part_b17aed1bddf24e06807c2dee37b5351d"/>
                <w:lock w:val="sdtLocked"/>
                <w:richText/>
              </w:sdtPr>
              <w:sdtContent>
                <w:p>
                  <w:pPr>
                    <w:tabs>
                      <w:tab w:val="left" w:pos="567"/>
                      <w:tab w:val="left" w:pos="993"/>
                      <w:tab w:val="left" w:pos="1110"/>
                    </w:tabs>
                    <w:ind w:right="-2" w:firstLine="851"/>
                    <w:jc w:val="both"/>
                    <w:rPr>
                      <w:szCs w:val="24"/>
                      <w:lang w:eastAsia="lt-LT"/>
                    </w:rPr>
                  </w:pPr>
                  <w:sdt>
                    <w:sdtPr>
                      <w:alias w:val="Numeris"/>
                      <w:tag w:val="nr_b17aed1bddf24e06807c2dee37b5351d"/>
                      <w:lock w:val="sdtLocked"/>
                      <w:richText/>
                    </w:sdtPr>
                    <w:sdtContent>
                      <w:r>
                        <w:rPr>
                          <w:szCs w:val="24"/>
                          <w:lang w:eastAsia="lt-LT"/>
                        </w:rPr>
                        <w:t>19</w:t>
                      </w:r>
                    </w:sdtContent>
                  </w:sdt>
                  <w:r>
                    <w:rPr>
                      <w:szCs w:val="24"/>
                      <w:lang w:eastAsia="lt-LT"/>
                    </w:rPr>
                    <w:t>.</w:t>
                    <w:tab/>
                    <w:t xml:space="preserve">Šis Aprašas  įsigalioja nuo jo patvirtinimo dienos Savivaldybės taryboje.</w:t>
                  </w:r>
                </w:p>
              </w:sdtContent>
            </w:sdt>
            <w:sdt>
              <w:sdtPr>
                <w:alias w:val="20 p."/>
                <w:tag w:val="part_3ed8b0beb4a6434f843cd8e169c3752d"/>
                <w:lock w:val="sdtLocked"/>
                <w:richText/>
              </w:sdtPr>
              <w:sdtContent>
                <w:p>
                  <w:pPr>
                    <w:tabs>
                      <w:tab w:val="left" w:pos="567"/>
                      <w:tab w:val="left" w:pos="993"/>
                      <w:tab w:val="left" w:pos="1110"/>
                    </w:tabs>
                    <w:ind w:right="-2" w:firstLine="851"/>
                    <w:jc w:val="both"/>
                    <w:rPr>
                      <w:szCs w:val="24"/>
                      <w:lang w:eastAsia="lt-LT"/>
                    </w:rPr>
                  </w:pPr>
                  <w:sdt>
                    <w:sdtPr>
                      <w:alias w:val="Numeris"/>
                      <w:tag w:val="nr_3ed8b0beb4a6434f843cd8e169c3752d"/>
                      <w:lock w:val="sdtLocked"/>
                      <w:richText/>
                    </w:sdtPr>
                    <w:sdtContent>
                      <w:r>
                        <w:rPr>
                          <w:szCs w:val="24"/>
                          <w:lang w:eastAsia="lt-LT"/>
                        </w:rPr>
                        <w:t>20</w:t>
                      </w:r>
                    </w:sdtContent>
                  </w:sdt>
                  <w:r>
                    <w:rPr>
                      <w:szCs w:val="24"/>
                      <w:lang w:eastAsia="lt-LT"/>
                    </w:rPr>
                    <w:t>.</w:t>
                    <w:tab/>
                    <w:t xml:space="preserve">Aprašas gali būti keičiamas ir tobulinamas Savivaldybės tarybos sprendimu, atsižvelgiant į švietimo sistemos pokyčius ir metodinės veiklos aktualijas. </w:t>
                  </w:r>
                </w:p>
              </w:sdtContent>
            </w:sdt>
            <w:sdt>
              <w:sdtPr>
                <w:alias w:val="21 p."/>
                <w:tag w:val="part_6d859d9993364b03a68858b78d98b60b"/>
                <w:lock w:val="sdtLocked"/>
                <w:richText/>
              </w:sdtPr>
              <w:sdtContent>
                <w:p>
                  <w:pPr>
                    <w:tabs>
                      <w:tab w:val="left" w:pos="567"/>
                      <w:tab w:val="left" w:pos="993"/>
                      <w:tab w:val="left" w:pos="1110"/>
                    </w:tabs>
                    <w:ind w:right="-2" w:firstLine="851"/>
                    <w:jc w:val="both"/>
                    <w:rPr>
                      <w:szCs w:val="24"/>
                      <w:lang w:eastAsia="lt-LT"/>
                    </w:rPr>
                  </w:pPr>
                  <w:sdt>
                    <w:sdtPr>
                      <w:alias w:val="Numeris"/>
                      <w:tag w:val="nr_6d859d9993364b03a68858b78d98b60b"/>
                      <w:lock w:val="sdtLocked"/>
                      <w:richText/>
                    </w:sdtPr>
                    <w:sdtContent>
                      <w:r>
                        <w:rPr>
                          <w:szCs w:val="24"/>
                          <w:lang w:eastAsia="lt-LT"/>
                        </w:rPr>
                        <w:t>21</w:t>
                      </w:r>
                    </w:sdtContent>
                  </w:sdt>
                  <w:r>
                    <w:rPr>
                      <w:szCs w:val="24"/>
                      <w:lang w:eastAsia="lt-LT"/>
                    </w:rPr>
                    <w:t>.</w:t>
                    <w:tab/>
                    <w:t xml:space="preserve">Aprašo įgyvendinimo priežiūrą vykdo Savivaldybės administracijos Švietimo ir sporto skyrius. </w:t>
                  </w:r>
                </w:p>
              </w:sdtContent>
            </w:sdt>
            <w:sdt>
              <w:sdtPr>
                <w:alias w:val="22 p."/>
                <w:tag w:val="part_6c4ebc0c35314d1f89319fc63e6fc3d9"/>
                <w:lock w:val="sdtLocked"/>
                <w:richText/>
              </w:sdtPr>
              <w:sdtContent>
                <w:p>
                  <w:pPr>
                    <w:tabs>
                      <w:tab w:val="left" w:pos="567"/>
                      <w:tab w:val="left" w:pos="993"/>
                      <w:tab w:val="left" w:pos="1110"/>
                    </w:tabs>
                    <w:ind w:right="-2" w:firstLine="851"/>
                    <w:jc w:val="both"/>
                    <w:rPr>
                      <w:szCs w:val="24"/>
                      <w:lang w:eastAsia="lt-LT"/>
                    </w:rPr>
                  </w:pPr>
                  <w:sdt>
                    <w:sdtPr>
                      <w:alias w:val="Numeris"/>
                      <w:tag w:val="nr_6c4ebc0c35314d1f89319fc63e6fc3d9"/>
                      <w:lock w:val="sdtLocked"/>
                      <w:richText/>
                    </w:sdtPr>
                    <w:sdtContent>
                      <w:r>
                        <w:rPr>
                          <w:szCs w:val="24"/>
                          <w:lang w:eastAsia="lt-LT"/>
                        </w:rPr>
                        <w:t>22</w:t>
                      </w:r>
                    </w:sdtContent>
                  </w:sdt>
                  <w:r>
                    <w:rPr>
                      <w:szCs w:val="24"/>
                      <w:lang w:eastAsia="lt-LT"/>
                    </w:rPr>
                    <w:t>.</w:t>
                    <w:tab/>
                    <w:t>Visi su šio Aprašo taikymu kilę ginčai sprendžiami derybų būdu, o nesutarus – Lietuvos Respublikos įstatymų nustatyta tvarka.</w:t>
                  </w: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pPr>
                </w:p>
                <w:p>
                  <w:pPr>
                    <w:tabs>
                      <w:tab w:val="left" w:pos="567"/>
                      <w:tab w:val="left" w:pos="993"/>
                      <w:tab w:val="left" w:pos="1110"/>
                    </w:tabs>
                    <w:spacing w:line="276" w:lineRule="auto"/>
                    <w:jc w:val="both"/>
                    <w:rPr>
                      <w:szCs w:val="24"/>
                      <w:lang w:eastAsia="lt-LT"/>
                    </w:rPr>
                    <w:sectPr>
                      <w:pgSz w:w="11906" w:h="16838"/>
                      <w:pgMar w:top="1134" w:right="567" w:bottom="1134" w:left="1701" w:header="567" w:footer="567" w:gutter="0"/>
                      <w:cols w:space="1296"/>
                      <w:docGrid w:linePitch="360"/>
                    </w:sectPr>
                  </w:pPr>
                </w:p>
              </w:sdtContent>
            </w:sdt>
          </w:sdtContent>
        </w:sdt>
      </w:sdtContent>
    </w:sdt>
    <w:sdt>
      <w:sdtPr>
        <w:alias w:val="1 pr."/>
        <w:tag w:val="part_6bd57930372643c3941a1a5c5ffd4d6c"/>
        <w:lock w:val="sdtLocked"/>
        <w:richText/>
      </w:sdtPr>
      <w:sdtContent>
        <w:p>
          <w:pPr>
            <w:ind w:left="9432" w:firstLine="936"/>
            <w:rPr>
              <w:bCs/>
              <w:szCs w:val="24"/>
            </w:rPr>
          </w:pPr>
          <w:r>
            <w:rPr>
              <w:bCs/>
              <w:szCs w:val="24"/>
            </w:rPr>
            <w:t xml:space="preserve">Radviliškio rajono savivaldybės </w:t>
          </w:r>
        </w:p>
        <w:p>
          <w:pPr>
            <w:ind w:left="9432" w:firstLine="936"/>
            <w:rPr>
              <w:bCs/>
              <w:szCs w:val="24"/>
            </w:rPr>
          </w:pPr>
          <w:r>
            <w:rPr>
              <w:bCs/>
              <w:szCs w:val="24"/>
            </w:rPr>
            <w:t xml:space="preserve">rezultatyviai dirbančių mokytojų </w:t>
          </w:r>
        </w:p>
        <w:p>
          <w:pPr>
            <w:ind w:left="9432" w:firstLine="936"/>
            <w:rPr>
              <w:bCs/>
              <w:szCs w:val="24"/>
            </w:rPr>
          </w:pPr>
          <w:r>
            <w:rPr>
              <w:bCs/>
              <w:szCs w:val="24"/>
            </w:rPr>
            <w:t>skatinimo tvarkos aprašo</w:t>
          </w:r>
        </w:p>
        <w:p>
          <w:pPr>
            <w:ind w:left="9432" w:firstLine="936"/>
            <w:rPr>
              <w:bCs/>
              <w:szCs w:val="24"/>
            </w:rPr>
          </w:pPr>
          <w:sdt>
            <w:sdtPr>
              <w:alias w:val="Numeris"/>
              <w:tag w:val="nr_6bd57930372643c3941a1a5c5ffd4d6c"/>
              <w:lock w:val="sdtLocked"/>
              <w:richText/>
            </w:sdtPr>
            <w:sdtContent>
              <w:r>
                <w:rPr>
                  <w:bCs/>
                  <w:szCs w:val="24"/>
                </w:rPr>
                <w:t>1</w:t>
              </w:r>
            </w:sdtContent>
          </w:sdt>
          <w:r>
            <w:rPr>
              <w:bCs/>
              <w:szCs w:val="24"/>
            </w:rPr>
            <w:t xml:space="preserve"> priedas</w:t>
          </w:r>
        </w:p>
        <w:p>
          <w:pPr>
            <w:rPr>
              <w:bCs/>
              <w:szCs w:val="24"/>
            </w:rPr>
          </w:pPr>
        </w:p>
        <w:p>
          <w:pPr>
            <w:spacing w:line="276" w:lineRule="auto"/>
            <w:jc w:val="center"/>
            <w:rPr>
              <w:b/>
              <w:szCs w:val="24"/>
            </w:rPr>
          </w:pPr>
          <w:sdt>
            <w:sdtPr>
              <w:alias w:val="Pavadinimas"/>
              <w:tag w:val="title_6bd57930372643c3941a1a5c5ffd4d6c"/>
              <w:lock w:val="sdtLocked"/>
              <w:richText/>
            </w:sdtPr>
            <w:sdtContent>
              <w:r>
                <w:rPr>
                  <w:b/>
                  <w:szCs w:val="24"/>
                </w:rPr>
                <w:t xml:space="preserve">RADVILIŠKIO RAJONO SAVIVALDYBĖS REZULTATYVIAI DIRBANČIŲ MOKYTOJŲ SKATINIMO </w:t>
              </w:r>
            </w:sdtContent>
          </w:sdt>
        </w:p>
        <w:p>
          <w:pPr>
            <w:rPr>
              <w:sz w:val="18"/>
              <w:szCs w:val="18"/>
            </w:rPr>
          </w:pPr>
        </w:p>
        <w:sdt>
          <w:sdtPr>
            <w:alias w:val="lentele"/>
            <w:tag w:val="part_9eb531d9999c4b83a0857424dbe2c780"/>
            <w:lock w:val="sdtLocked"/>
            <w:richText/>
          </w:sdtPr>
          <w:sdtContent>
            <w:p>
              <w:pPr>
                <w:spacing w:line="276" w:lineRule="auto"/>
                <w:jc w:val="center"/>
                <w:rPr>
                  <w:b/>
                  <w:szCs w:val="24"/>
                </w:rPr>
              </w:pPr>
              <w:sdt>
                <w:sdtPr>
                  <w:alias w:val="Pavadinimas"/>
                  <w:tag w:val="title_9eb531d9999c4b83a0857424dbe2c780"/>
                  <w:lock w:val="sdtLocked"/>
                  <w:richText/>
                </w:sdtPr>
                <w:sdtContent>
                  <w:r>
                    <w:rPr>
                      <w:b/>
                      <w:szCs w:val="24"/>
                    </w:rPr>
                    <w:t>VERTINIMO KRITERIJAI</w:t>
                  </w:r>
                </w:sdtContent>
              </w:sdt>
            </w:p>
            <w:p>
              <w:pPr>
                <w:rPr>
                  <w:sz w:val="18"/>
                  <w:szCs w:val="18"/>
                </w:rPr>
              </w:pPr>
            </w:p>
            <w:tbl>
              <w:tblPr>
                <w:tblW w:w="1200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00" w:type="dxa"/>
                  <w:left w:w="100" w:type="dxa"/>
                  <w:bottom w:w="100" w:type="dxa"/>
                  <w:right w:w="100" w:type="dxa"/>
                </w:tblCellMar>
                <w:tblLook w:val="04A0" w:firstRow="1" w:lastRow="0" w:firstColumn="1" w:lastColumn="0" w:noHBand="0" w:noVBand="1"/>
              </w:tblPr>
              <w:tblGrid>
                <w:gridCol w:w="585"/>
                <w:gridCol w:w="6776"/>
                <w:gridCol w:w="4639"/>
              </w:tblGrid>
              <w:tr>
                <w:trPr>
                  <w:jc w:val="center"/>
                </w:trPr>
                <w:tc>
                  <w:tcPr>
                    <w:tcW w:w="585" w:type="dxa"/>
                    <w:tcMar>
                      <w:top w:w="100" w:type="dxa"/>
                      <w:left w:w="100" w:type="dxa"/>
                      <w:bottom w:w="100" w:type="dxa"/>
                      <w:right w:w="100" w:type="dxa"/>
                    </w:tcMar>
                    <w:vAlign w:val="center"/>
                  </w:tcPr>
                  <w:p>
                    <w:pPr>
                      <w:widowControl w:val="0"/>
                      <w:jc w:val="center"/>
                      <w:rPr>
                        <w:b/>
                        <w:szCs w:val="24"/>
                      </w:rPr>
                    </w:pPr>
                    <w:r>
                      <w:rPr>
                        <w:b/>
                        <w:szCs w:val="24"/>
                      </w:rPr>
                      <w:t>Eil. Nr.</w:t>
                    </w:r>
                  </w:p>
                </w:tc>
                <w:tc>
                  <w:tcPr>
                    <w:tcW w:w="6776" w:type="dxa"/>
                    <w:tcMar>
                      <w:top w:w="100" w:type="dxa"/>
                      <w:left w:w="100" w:type="dxa"/>
                      <w:bottom w:w="100" w:type="dxa"/>
                      <w:right w:w="100" w:type="dxa"/>
                    </w:tcMar>
                    <w:vAlign w:val="center"/>
                  </w:tcPr>
                  <w:p>
                    <w:pPr>
                      <w:widowControl w:val="0"/>
                      <w:jc w:val="center"/>
                      <w:rPr>
                        <w:b/>
                        <w:szCs w:val="24"/>
                      </w:rPr>
                    </w:pPr>
                    <w:r>
                      <w:rPr>
                        <w:b/>
                        <w:szCs w:val="24"/>
                      </w:rPr>
                      <w:t>Vertinimo kriterijus</w:t>
                    </w:r>
                  </w:p>
                </w:tc>
                <w:tc>
                  <w:tcPr>
                    <w:tcW w:w="4639" w:type="dxa"/>
                    <w:tcMar>
                      <w:top w:w="100" w:type="dxa"/>
                      <w:left w:w="100" w:type="dxa"/>
                      <w:bottom w:w="100" w:type="dxa"/>
                      <w:right w:w="100" w:type="dxa"/>
                    </w:tcMar>
                    <w:vAlign w:val="center"/>
                  </w:tcPr>
                  <w:p>
                    <w:pPr>
                      <w:widowControl w:val="0"/>
                      <w:jc w:val="center"/>
                      <w:rPr>
                        <w:b/>
                        <w:szCs w:val="24"/>
                      </w:rPr>
                    </w:pPr>
                    <w:r>
                      <w:rPr>
                        <w:b/>
                        <w:szCs w:val="24"/>
                      </w:rPr>
                      <w:t>Vertinant atitiktį vertinimo kriterijui</w:t>
                    </w:r>
                  </w:p>
                  <w:p>
                    <w:pPr>
                      <w:widowControl w:val="0"/>
                      <w:ind w:firstLine="62"/>
                      <w:jc w:val="center"/>
                      <w:rPr>
                        <w:b/>
                        <w:szCs w:val="24"/>
                      </w:rPr>
                    </w:pPr>
                    <w:r>
                      <w:rPr>
                        <w:b/>
                        <w:szCs w:val="24"/>
                      </w:rPr>
                      <w:t>galimi skirti balai</w:t>
                    </w:r>
                  </w:p>
                </w:tc>
              </w:tr>
              <w:tr>
                <w:trPr>
                  <w:trHeight w:val="299"/>
                  <w:jc w:val="center"/>
                </w:trPr>
                <w:tc>
                  <w:tcPr>
                    <w:tcW w:w="585" w:type="dxa"/>
                    <w:vMerge w:val="restart"/>
                    <w:tcMar>
                      <w:top w:w="100" w:type="dxa"/>
                      <w:left w:w="100" w:type="dxa"/>
                      <w:bottom w:w="100" w:type="dxa"/>
                      <w:right w:w="100" w:type="dxa"/>
                    </w:tcMar>
                    <w:vAlign w:val="center"/>
                  </w:tcPr>
                  <w:p>
                    <w:pPr>
                      <w:widowControl w:val="0"/>
                      <w:jc w:val="center"/>
                      <w:rPr>
                        <w:b/>
                        <w:szCs w:val="24"/>
                      </w:rPr>
                    </w:pPr>
                    <w:r>
                      <w:rPr>
                        <w:szCs w:val="24"/>
                      </w:rPr>
                      <w:t>1</w:t>
                    </w:r>
                    <w:r>
                      <w:rPr>
                        <w:b/>
                        <w:szCs w:val="24"/>
                      </w:rPr>
                      <w:t>.</w:t>
                    </w:r>
                  </w:p>
                </w:tc>
                <w:tc>
                  <w:tcPr>
                    <w:tcW w:w="6776" w:type="dxa"/>
                    <w:vMerge w:val="restart"/>
                    <w:tcMar>
                      <w:top w:w="100" w:type="dxa"/>
                      <w:left w:w="100" w:type="dxa"/>
                      <w:bottom w:w="100" w:type="dxa"/>
                      <w:right w:w="100" w:type="dxa"/>
                    </w:tcMar>
                    <w:vAlign w:val="center"/>
                  </w:tcPr>
                  <w:p>
                    <w:pPr>
                      <w:widowControl w:val="0"/>
                      <w:rPr>
                        <w:szCs w:val="24"/>
                      </w:rPr>
                    </w:pPr>
                    <w:r>
                      <w:rPr>
                        <w:szCs w:val="24"/>
                      </w:rPr>
                      <w:t xml:space="preserve">Tarptautinių* olimpiadų, konkursų ir sporto varžybų** </w:t>
                    </w:r>
                  </w:p>
                  <w:p>
                    <w:pPr>
                      <w:widowControl w:val="0"/>
                      <w:rPr>
                        <w:b/>
                        <w:szCs w:val="24"/>
                      </w:rPr>
                    </w:pPr>
                    <w:r>
                      <w:rPr>
                        <w:szCs w:val="24"/>
                      </w:rPr>
                      <w:t>I–III vietų laimėtojų skaičius</w:t>
                    </w:r>
                  </w:p>
                </w:tc>
                <w:tc>
                  <w:tcPr>
                    <w:tcW w:w="4639" w:type="dxa"/>
                    <w:tcMar>
                      <w:top w:w="100" w:type="dxa"/>
                      <w:left w:w="100" w:type="dxa"/>
                      <w:bottom w:w="100" w:type="dxa"/>
                      <w:right w:w="100" w:type="dxa"/>
                    </w:tcMar>
                    <w:vAlign w:val="center"/>
                  </w:tcPr>
                  <w:p>
                    <w:pPr>
                      <w:widowControl w:val="0"/>
                      <w:jc w:val="center"/>
                      <w:rPr>
                        <w:b/>
                        <w:szCs w:val="24"/>
                      </w:rPr>
                    </w:pPr>
                    <w:r>
                      <w:rPr>
                        <w:szCs w:val="24"/>
                      </w:rPr>
                      <w:t>I vietos laimėtojas – 6 balai</w:t>
                    </w:r>
                  </w:p>
                </w:tc>
              </w:tr>
              <w:tr>
                <w:trPr>
                  <w:trHeight w:val="275"/>
                  <w:jc w:val="center"/>
                </w:trPr>
                <w:tc>
                  <w:tcPr>
                    <w:tcW w:w="585" w:type="dxa"/>
                    <w:vMerge/>
                    <w:tcMar>
                      <w:top w:w="100" w:type="dxa"/>
                      <w:left w:w="100" w:type="dxa"/>
                      <w:bottom w:w="100" w:type="dxa"/>
                      <w:right w:w="100" w:type="dxa"/>
                    </w:tcMar>
                    <w:vAlign w:val="center"/>
                  </w:tcPr>
                  <w:p>
                    <w:pPr>
                      <w:widowControl w:val="0"/>
                      <w:jc w:val="center"/>
                      <w:rPr>
                        <w:b/>
                        <w:szCs w:val="24"/>
                      </w:rPr>
                    </w:pPr>
                  </w:p>
                </w:tc>
                <w:tc>
                  <w:tcPr>
                    <w:tcW w:w="6776" w:type="dxa"/>
                    <w:vMerge/>
                    <w:tcMar>
                      <w:top w:w="100" w:type="dxa"/>
                      <w:left w:w="100" w:type="dxa"/>
                      <w:bottom w:w="100" w:type="dxa"/>
                      <w:right w:w="100" w:type="dxa"/>
                    </w:tcMar>
                    <w:vAlign w:val="center"/>
                  </w:tcPr>
                  <w:p>
                    <w:pPr>
                      <w:widowControl w:val="0"/>
                      <w:rPr>
                        <w:szCs w:val="24"/>
                      </w:rPr>
                    </w:pPr>
                  </w:p>
                </w:tc>
                <w:tc>
                  <w:tcPr>
                    <w:tcW w:w="4639" w:type="dxa"/>
                    <w:tcMar>
                      <w:top w:w="100" w:type="dxa"/>
                      <w:left w:w="100" w:type="dxa"/>
                      <w:bottom w:w="100" w:type="dxa"/>
                      <w:right w:w="100" w:type="dxa"/>
                    </w:tcMar>
                    <w:vAlign w:val="center"/>
                  </w:tcPr>
                  <w:p>
                    <w:pPr>
                      <w:widowControl w:val="0"/>
                      <w:jc w:val="center"/>
                      <w:rPr>
                        <w:b/>
                        <w:szCs w:val="24"/>
                      </w:rPr>
                    </w:pPr>
                    <w:r>
                      <w:rPr>
                        <w:szCs w:val="24"/>
                      </w:rPr>
                      <w:t>II vietos laimėtojas – 5 balai</w:t>
                    </w:r>
                  </w:p>
                </w:tc>
              </w:tr>
              <w:tr>
                <w:trPr>
                  <w:trHeight w:val="275"/>
                  <w:jc w:val="center"/>
                </w:trPr>
                <w:tc>
                  <w:tcPr>
                    <w:tcW w:w="585" w:type="dxa"/>
                    <w:vMerge/>
                    <w:tcMar>
                      <w:top w:w="100" w:type="dxa"/>
                      <w:left w:w="100" w:type="dxa"/>
                      <w:bottom w:w="100" w:type="dxa"/>
                      <w:right w:w="100" w:type="dxa"/>
                    </w:tcMar>
                    <w:vAlign w:val="center"/>
                  </w:tcPr>
                  <w:p>
                    <w:pPr>
                      <w:widowControl w:val="0"/>
                      <w:jc w:val="center"/>
                      <w:rPr>
                        <w:b/>
                        <w:szCs w:val="24"/>
                      </w:rPr>
                    </w:pPr>
                  </w:p>
                </w:tc>
                <w:tc>
                  <w:tcPr>
                    <w:tcW w:w="6776" w:type="dxa"/>
                    <w:vMerge/>
                    <w:tcMar>
                      <w:top w:w="100" w:type="dxa"/>
                      <w:left w:w="100" w:type="dxa"/>
                      <w:bottom w:w="100" w:type="dxa"/>
                      <w:right w:w="100" w:type="dxa"/>
                    </w:tcMar>
                    <w:vAlign w:val="center"/>
                  </w:tcPr>
                  <w:p>
                    <w:pPr>
                      <w:widowControl w:val="0"/>
                      <w:rPr>
                        <w:szCs w:val="24"/>
                      </w:rPr>
                    </w:pPr>
                  </w:p>
                </w:tc>
                <w:tc>
                  <w:tcPr>
                    <w:tcW w:w="4639" w:type="dxa"/>
                    <w:tcMar>
                      <w:top w:w="100" w:type="dxa"/>
                      <w:left w:w="100" w:type="dxa"/>
                      <w:bottom w:w="100" w:type="dxa"/>
                      <w:right w:w="100" w:type="dxa"/>
                    </w:tcMar>
                    <w:vAlign w:val="center"/>
                  </w:tcPr>
                  <w:p>
                    <w:pPr>
                      <w:widowControl w:val="0"/>
                      <w:jc w:val="center"/>
                      <w:rPr>
                        <w:b/>
                        <w:szCs w:val="24"/>
                      </w:rPr>
                    </w:pPr>
                    <w:r>
                      <w:rPr>
                        <w:szCs w:val="24"/>
                      </w:rPr>
                      <w:t>III vietos laimėtojas – 4 balai</w:t>
                    </w:r>
                  </w:p>
                </w:tc>
              </w:tr>
              <w:tr>
                <w:trPr>
                  <w:trHeight w:val="409"/>
                  <w:jc w:val="center"/>
                </w:trPr>
                <w:tc>
                  <w:tcPr>
                    <w:tcW w:w="585" w:type="dxa"/>
                    <w:vMerge w:val="restart"/>
                    <w:tcMar>
                      <w:top w:w="100" w:type="dxa"/>
                      <w:left w:w="100" w:type="dxa"/>
                      <w:bottom w:w="100" w:type="dxa"/>
                      <w:right w:w="100" w:type="dxa"/>
                    </w:tcMar>
                    <w:vAlign w:val="center"/>
                  </w:tcPr>
                  <w:p>
                    <w:pPr>
                      <w:widowControl w:val="0"/>
                      <w:jc w:val="center"/>
                      <w:rPr>
                        <w:szCs w:val="24"/>
                      </w:rPr>
                    </w:pPr>
                    <w:r>
                      <w:rPr>
                        <w:szCs w:val="24"/>
                      </w:rPr>
                      <w:t>2.</w:t>
                    </w:r>
                  </w:p>
                </w:tc>
                <w:tc>
                  <w:tcPr>
                    <w:tcW w:w="6776" w:type="dxa"/>
                    <w:vMerge w:val="restart"/>
                    <w:tcMar>
                      <w:top w:w="100" w:type="dxa"/>
                      <w:left w:w="100" w:type="dxa"/>
                      <w:bottom w:w="100" w:type="dxa"/>
                      <w:right w:w="100" w:type="dxa"/>
                    </w:tcMar>
                    <w:vAlign w:val="center"/>
                  </w:tcPr>
                  <w:p>
                    <w:pPr>
                      <w:widowControl w:val="0"/>
                      <w:rPr>
                        <w:szCs w:val="24"/>
                      </w:rPr>
                    </w:pPr>
                    <w:r>
                      <w:rPr>
                        <w:szCs w:val="24"/>
                      </w:rPr>
                      <w:t>Šalies* olimpiadų, konkursų ir sporto varžybų** I–III vietų laimėtojų skaičius</w:t>
                    </w:r>
                  </w:p>
                </w:tc>
                <w:tc>
                  <w:tcPr>
                    <w:tcW w:w="4639" w:type="dxa"/>
                    <w:tcMar>
                      <w:top w:w="100" w:type="dxa"/>
                      <w:left w:w="100" w:type="dxa"/>
                      <w:bottom w:w="100" w:type="dxa"/>
                      <w:right w:w="100" w:type="dxa"/>
                    </w:tcMar>
                    <w:vAlign w:val="center"/>
                  </w:tcPr>
                  <w:p>
                    <w:pPr>
                      <w:widowControl w:val="0"/>
                      <w:jc w:val="center"/>
                      <w:rPr>
                        <w:szCs w:val="24"/>
                      </w:rPr>
                    </w:pPr>
                    <w:r>
                      <w:rPr>
                        <w:szCs w:val="24"/>
                      </w:rPr>
                      <w:t>I vietos laimėtojas – 5 balai</w:t>
                    </w:r>
                  </w:p>
                </w:tc>
              </w:tr>
              <w:tr>
                <w:trPr>
                  <w:trHeight w:val="275"/>
                  <w:jc w:val="center"/>
                </w:trPr>
                <w:tc>
                  <w:tcPr>
                    <w:tcW w:w="585" w:type="dxa"/>
                    <w:vMerge/>
                    <w:tcMar>
                      <w:top w:w="100" w:type="dxa"/>
                      <w:left w:w="100" w:type="dxa"/>
                      <w:bottom w:w="100" w:type="dxa"/>
                      <w:right w:w="100" w:type="dxa"/>
                    </w:tcMar>
                    <w:vAlign w:val="center"/>
                  </w:tcPr>
                  <w:p>
                    <w:pPr>
                      <w:widowControl w:val="0"/>
                      <w:jc w:val="center"/>
                      <w:rPr>
                        <w:b/>
                        <w:szCs w:val="24"/>
                      </w:rPr>
                    </w:pPr>
                  </w:p>
                </w:tc>
                <w:tc>
                  <w:tcPr>
                    <w:tcW w:w="6776" w:type="dxa"/>
                    <w:vMerge/>
                    <w:tcMar>
                      <w:top w:w="100" w:type="dxa"/>
                      <w:left w:w="100" w:type="dxa"/>
                      <w:bottom w:w="100" w:type="dxa"/>
                      <w:right w:w="100" w:type="dxa"/>
                    </w:tcMar>
                    <w:vAlign w:val="center"/>
                  </w:tcPr>
                  <w:p>
                    <w:pPr>
                      <w:widowControl w:val="0"/>
                      <w:rPr>
                        <w:szCs w:val="24"/>
                      </w:rPr>
                    </w:pPr>
                  </w:p>
                </w:tc>
                <w:tc>
                  <w:tcPr>
                    <w:tcW w:w="4639" w:type="dxa"/>
                    <w:tcMar>
                      <w:top w:w="100" w:type="dxa"/>
                      <w:left w:w="100" w:type="dxa"/>
                      <w:bottom w:w="100" w:type="dxa"/>
                      <w:right w:w="100" w:type="dxa"/>
                    </w:tcMar>
                    <w:vAlign w:val="center"/>
                  </w:tcPr>
                  <w:p>
                    <w:pPr>
                      <w:widowControl w:val="0"/>
                      <w:jc w:val="center"/>
                      <w:rPr>
                        <w:szCs w:val="24"/>
                      </w:rPr>
                    </w:pPr>
                    <w:r>
                      <w:rPr>
                        <w:szCs w:val="24"/>
                      </w:rPr>
                      <w:t>II vietos laimėtojas – 4 balai</w:t>
                    </w:r>
                  </w:p>
                </w:tc>
              </w:tr>
              <w:tr>
                <w:trPr>
                  <w:trHeight w:val="275"/>
                  <w:jc w:val="center"/>
                </w:trPr>
                <w:tc>
                  <w:tcPr>
                    <w:tcW w:w="585" w:type="dxa"/>
                    <w:vMerge/>
                    <w:tcMar>
                      <w:top w:w="100" w:type="dxa"/>
                      <w:left w:w="100" w:type="dxa"/>
                      <w:bottom w:w="100" w:type="dxa"/>
                      <w:right w:w="100" w:type="dxa"/>
                    </w:tcMar>
                    <w:vAlign w:val="center"/>
                  </w:tcPr>
                  <w:p>
                    <w:pPr>
                      <w:widowControl w:val="0"/>
                      <w:jc w:val="center"/>
                      <w:rPr>
                        <w:b/>
                        <w:szCs w:val="24"/>
                      </w:rPr>
                    </w:pPr>
                  </w:p>
                </w:tc>
                <w:tc>
                  <w:tcPr>
                    <w:tcW w:w="6776" w:type="dxa"/>
                    <w:vMerge/>
                    <w:tcMar>
                      <w:top w:w="100" w:type="dxa"/>
                      <w:left w:w="100" w:type="dxa"/>
                      <w:bottom w:w="100" w:type="dxa"/>
                      <w:right w:w="100" w:type="dxa"/>
                    </w:tcMar>
                    <w:vAlign w:val="center"/>
                  </w:tcPr>
                  <w:p>
                    <w:pPr>
                      <w:widowControl w:val="0"/>
                      <w:rPr>
                        <w:szCs w:val="24"/>
                      </w:rPr>
                    </w:pPr>
                  </w:p>
                </w:tc>
                <w:tc>
                  <w:tcPr>
                    <w:tcW w:w="4639" w:type="dxa"/>
                    <w:tcMar>
                      <w:top w:w="100" w:type="dxa"/>
                      <w:left w:w="100" w:type="dxa"/>
                      <w:bottom w:w="100" w:type="dxa"/>
                      <w:right w:w="100" w:type="dxa"/>
                    </w:tcMar>
                    <w:vAlign w:val="center"/>
                  </w:tcPr>
                  <w:p>
                    <w:pPr>
                      <w:widowControl w:val="0"/>
                      <w:jc w:val="center"/>
                      <w:rPr>
                        <w:szCs w:val="24"/>
                      </w:rPr>
                    </w:pPr>
                    <w:r>
                      <w:rPr>
                        <w:szCs w:val="24"/>
                      </w:rPr>
                      <w:t>III vietos laimėtojas – 3 balai</w:t>
                    </w:r>
                  </w:p>
                </w:tc>
              </w:tr>
              <w:tr>
                <w:trPr>
                  <w:trHeight w:val="275"/>
                  <w:jc w:val="center"/>
                </w:trPr>
                <w:tc>
                  <w:tcPr>
                    <w:tcW w:w="585" w:type="dxa"/>
                    <w:vMerge w:val="restart"/>
                    <w:tcMar>
                      <w:top w:w="100" w:type="dxa"/>
                      <w:left w:w="100" w:type="dxa"/>
                      <w:bottom w:w="100" w:type="dxa"/>
                      <w:right w:w="100" w:type="dxa"/>
                    </w:tcMar>
                    <w:vAlign w:val="center"/>
                  </w:tcPr>
                  <w:p>
                    <w:pPr>
                      <w:widowControl w:val="0"/>
                      <w:jc w:val="center"/>
                      <w:rPr>
                        <w:szCs w:val="24"/>
                      </w:rPr>
                    </w:pPr>
                    <w:r>
                      <w:rPr>
                        <w:szCs w:val="24"/>
                      </w:rPr>
                      <w:t xml:space="preserve">3. </w:t>
                    </w:r>
                  </w:p>
                </w:tc>
                <w:tc>
                  <w:tcPr>
                    <w:tcW w:w="6776" w:type="dxa"/>
                    <w:vMerge w:val="restart"/>
                    <w:tcMar>
                      <w:top w:w="100" w:type="dxa"/>
                      <w:left w:w="100" w:type="dxa"/>
                      <w:bottom w:w="100" w:type="dxa"/>
                      <w:right w:w="100" w:type="dxa"/>
                    </w:tcMar>
                    <w:vAlign w:val="center"/>
                  </w:tcPr>
                  <w:p>
                    <w:pPr>
                      <w:widowControl w:val="0"/>
                      <w:rPr>
                        <w:szCs w:val="24"/>
                      </w:rPr>
                    </w:pPr>
                    <w:r>
                      <w:rPr>
                        <w:szCs w:val="24"/>
                      </w:rPr>
                      <w:t>Regiono* olimpiadų, konkursų ir sporto varžybų** I–III vietų laimėtojų skaičius</w:t>
                    </w:r>
                  </w:p>
                </w:tc>
                <w:tc>
                  <w:tcPr>
                    <w:tcW w:w="4639" w:type="dxa"/>
                    <w:tcMar>
                      <w:top w:w="100" w:type="dxa"/>
                      <w:left w:w="100" w:type="dxa"/>
                      <w:bottom w:w="100" w:type="dxa"/>
                      <w:right w:w="100" w:type="dxa"/>
                    </w:tcMar>
                    <w:vAlign w:val="center"/>
                  </w:tcPr>
                  <w:p>
                    <w:pPr>
                      <w:widowControl w:val="0"/>
                      <w:jc w:val="center"/>
                      <w:rPr>
                        <w:szCs w:val="24"/>
                      </w:rPr>
                    </w:pPr>
                    <w:r>
                      <w:rPr>
                        <w:szCs w:val="24"/>
                      </w:rPr>
                      <w:t>I vietos laimėtojas – 4 balai</w:t>
                    </w:r>
                  </w:p>
                </w:tc>
              </w:tr>
              <w:tr>
                <w:trPr>
                  <w:trHeight w:val="275"/>
                  <w:jc w:val="center"/>
                </w:trPr>
                <w:tc>
                  <w:tcPr>
                    <w:tcW w:w="585" w:type="dxa"/>
                    <w:vMerge/>
                    <w:tcMar>
                      <w:top w:w="100" w:type="dxa"/>
                      <w:left w:w="100" w:type="dxa"/>
                      <w:bottom w:w="100" w:type="dxa"/>
                      <w:right w:w="100" w:type="dxa"/>
                    </w:tcMar>
                    <w:vAlign w:val="center"/>
                  </w:tcPr>
                  <w:p>
                    <w:pPr>
                      <w:widowControl w:val="0"/>
                      <w:jc w:val="center"/>
                      <w:rPr>
                        <w:b/>
                        <w:szCs w:val="24"/>
                      </w:rPr>
                    </w:pPr>
                  </w:p>
                </w:tc>
                <w:tc>
                  <w:tcPr>
                    <w:tcW w:w="6776" w:type="dxa"/>
                    <w:vMerge/>
                    <w:tcMar>
                      <w:top w:w="100" w:type="dxa"/>
                      <w:left w:w="100" w:type="dxa"/>
                      <w:bottom w:w="100" w:type="dxa"/>
                      <w:right w:w="100" w:type="dxa"/>
                    </w:tcMar>
                    <w:vAlign w:val="center"/>
                  </w:tcPr>
                  <w:p>
                    <w:pPr>
                      <w:widowControl w:val="0"/>
                      <w:rPr>
                        <w:b/>
                        <w:szCs w:val="24"/>
                      </w:rPr>
                    </w:pPr>
                  </w:p>
                </w:tc>
                <w:tc>
                  <w:tcPr>
                    <w:tcW w:w="4639" w:type="dxa"/>
                    <w:tcMar>
                      <w:top w:w="100" w:type="dxa"/>
                      <w:left w:w="100" w:type="dxa"/>
                      <w:bottom w:w="100" w:type="dxa"/>
                      <w:right w:w="100" w:type="dxa"/>
                    </w:tcMar>
                    <w:vAlign w:val="center"/>
                  </w:tcPr>
                  <w:p>
                    <w:pPr>
                      <w:widowControl w:val="0"/>
                      <w:jc w:val="center"/>
                      <w:rPr>
                        <w:szCs w:val="24"/>
                      </w:rPr>
                    </w:pPr>
                    <w:r>
                      <w:rPr>
                        <w:szCs w:val="24"/>
                      </w:rPr>
                      <w:t>II vietos laimėtojas – 3 balai</w:t>
                    </w:r>
                  </w:p>
                </w:tc>
              </w:tr>
              <w:tr>
                <w:trPr>
                  <w:trHeight w:val="275"/>
                  <w:jc w:val="center"/>
                </w:trPr>
                <w:tc>
                  <w:tcPr>
                    <w:tcW w:w="585" w:type="dxa"/>
                    <w:vMerge/>
                    <w:tcMar>
                      <w:top w:w="100" w:type="dxa"/>
                      <w:left w:w="100" w:type="dxa"/>
                      <w:bottom w:w="100" w:type="dxa"/>
                      <w:right w:w="100" w:type="dxa"/>
                    </w:tcMar>
                    <w:vAlign w:val="center"/>
                  </w:tcPr>
                  <w:p>
                    <w:pPr>
                      <w:widowControl w:val="0"/>
                      <w:jc w:val="center"/>
                      <w:rPr>
                        <w:b/>
                        <w:szCs w:val="24"/>
                      </w:rPr>
                    </w:pPr>
                  </w:p>
                </w:tc>
                <w:tc>
                  <w:tcPr>
                    <w:tcW w:w="6776" w:type="dxa"/>
                    <w:vMerge/>
                    <w:tcMar>
                      <w:top w:w="100" w:type="dxa"/>
                      <w:left w:w="100" w:type="dxa"/>
                      <w:bottom w:w="100" w:type="dxa"/>
                      <w:right w:w="100" w:type="dxa"/>
                    </w:tcMar>
                    <w:vAlign w:val="center"/>
                  </w:tcPr>
                  <w:p>
                    <w:pPr>
                      <w:widowControl w:val="0"/>
                      <w:rPr>
                        <w:b/>
                        <w:szCs w:val="24"/>
                      </w:rPr>
                    </w:pPr>
                  </w:p>
                </w:tc>
                <w:tc>
                  <w:tcPr>
                    <w:tcW w:w="4639" w:type="dxa"/>
                    <w:tcMar>
                      <w:top w:w="100" w:type="dxa"/>
                      <w:left w:w="100" w:type="dxa"/>
                      <w:bottom w:w="100" w:type="dxa"/>
                      <w:right w:w="100" w:type="dxa"/>
                    </w:tcMar>
                    <w:vAlign w:val="center"/>
                  </w:tcPr>
                  <w:p>
                    <w:pPr>
                      <w:widowControl w:val="0"/>
                      <w:jc w:val="center"/>
                      <w:rPr>
                        <w:szCs w:val="24"/>
                      </w:rPr>
                    </w:pPr>
                    <w:r>
                      <w:rPr>
                        <w:szCs w:val="24"/>
                      </w:rPr>
                      <w:t>III vietos laimėtojas – 2 balai</w:t>
                    </w:r>
                  </w:p>
                </w:tc>
              </w:tr>
              <w:tr>
                <w:trPr>
                  <w:trHeight w:val="440"/>
                  <w:jc w:val="center"/>
                </w:trPr>
                <w:tc>
                  <w:tcPr>
                    <w:tcW w:w="585" w:type="dxa"/>
                    <w:vMerge w:val="restart"/>
                    <w:tcMar>
                      <w:top w:w="100" w:type="dxa"/>
                      <w:left w:w="100" w:type="dxa"/>
                      <w:bottom w:w="100" w:type="dxa"/>
                      <w:right w:w="100" w:type="dxa"/>
                    </w:tcMar>
                    <w:vAlign w:val="center"/>
                  </w:tcPr>
                  <w:p>
                    <w:pPr>
                      <w:widowControl w:val="0"/>
                      <w:jc w:val="center"/>
                      <w:rPr>
                        <w:szCs w:val="24"/>
                      </w:rPr>
                    </w:pPr>
                    <w:r>
                      <w:rPr>
                        <w:szCs w:val="24"/>
                      </w:rPr>
                      <w:t>4.</w:t>
                    </w:r>
                  </w:p>
                </w:tc>
                <w:tc>
                  <w:tcPr>
                    <w:tcW w:w="6776" w:type="dxa"/>
                    <w:vMerge w:val="restart"/>
                    <w:tcMar>
                      <w:top w:w="100" w:type="dxa"/>
                      <w:left w:w="100" w:type="dxa"/>
                      <w:bottom w:w="100" w:type="dxa"/>
                      <w:right w:w="100" w:type="dxa"/>
                    </w:tcMar>
                    <w:vAlign w:val="center"/>
                  </w:tcPr>
                  <w:p>
                    <w:pPr>
                      <w:widowControl w:val="0"/>
                      <w:rPr>
                        <w:szCs w:val="24"/>
                      </w:rPr>
                    </w:pPr>
                    <w:r>
                      <w:rPr>
                        <w:szCs w:val="24"/>
                      </w:rPr>
                      <w:t>Šalies savivaldybės etapo ir mažųjų olimpiadų (5–8 kl.) konkursų ir sporto varžybų I–III vietų laimėtojų skaičius</w:t>
                    </w:r>
                  </w:p>
                </w:tc>
                <w:tc>
                  <w:tcPr>
                    <w:tcW w:w="4639" w:type="dxa"/>
                    <w:tcMar>
                      <w:top w:w="100" w:type="dxa"/>
                      <w:left w:w="100" w:type="dxa"/>
                      <w:bottom w:w="100" w:type="dxa"/>
                      <w:right w:w="100" w:type="dxa"/>
                    </w:tcMar>
                    <w:vAlign w:val="center"/>
                  </w:tcPr>
                  <w:p>
                    <w:pPr>
                      <w:widowControl w:val="0"/>
                      <w:jc w:val="center"/>
                      <w:rPr>
                        <w:szCs w:val="24"/>
                      </w:rPr>
                    </w:pPr>
                    <w:r>
                      <w:rPr>
                        <w:szCs w:val="24"/>
                      </w:rPr>
                      <w:t xml:space="preserve">I  vietos laimėtojas – 3 balai</w:t>
                    </w:r>
                  </w:p>
                </w:tc>
              </w:tr>
              <w:tr>
                <w:trPr>
                  <w:trHeight w:val="440"/>
                  <w:jc w:val="center"/>
                </w:trPr>
                <w:tc>
                  <w:tcPr>
                    <w:tcW w:w="585" w:type="dxa"/>
                    <w:vMerge/>
                    <w:tcMar>
                      <w:top w:w="100" w:type="dxa"/>
                      <w:left w:w="100" w:type="dxa"/>
                      <w:bottom w:w="100" w:type="dxa"/>
                      <w:right w:w="100" w:type="dxa"/>
                    </w:tcMar>
                    <w:vAlign w:val="center"/>
                  </w:tcPr>
                  <w:p>
                    <w:pPr>
                      <w:widowControl w:val="0"/>
                      <w:rPr>
                        <w:b/>
                        <w:szCs w:val="24"/>
                      </w:rPr>
                    </w:pPr>
                  </w:p>
                </w:tc>
                <w:tc>
                  <w:tcPr>
                    <w:tcW w:w="6776" w:type="dxa"/>
                    <w:vMerge/>
                    <w:tcMar>
                      <w:top w:w="100" w:type="dxa"/>
                      <w:left w:w="100" w:type="dxa"/>
                      <w:bottom w:w="100" w:type="dxa"/>
                      <w:right w:w="100" w:type="dxa"/>
                    </w:tcMar>
                    <w:vAlign w:val="center"/>
                  </w:tcPr>
                  <w:p>
                    <w:pPr>
                      <w:widowControl w:val="0"/>
                      <w:rPr>
                        <w:b/>
                        <w:szCs w:val="24"/>
                      </w:rPr>
                    </w:pPr>
                  </w:p>
                </w:tc>
                <w:tc>
                  <w:tcPr>
                    <w:tcW w:w="4639" w:type="dxa"/>
                    <w:tcMar>
                      <w:top w:w="100" w:type="dxa"/>
                      <w:left w:w="100" w:type="dxa"/>
                      <w:bottom w:w="100" w:type="dxa"/>
                      <w:right w:w="100" w:type="dxa"/>
                    </w:tcMar>
                    <w:vAlign w:val="center"/>
                  </w:tcPr>
                  <w:p>
                    <w:pPr>
                      <w:widowControl w:val="0"/>
                      <w:jc w:val="center"/>
                      <w:rPr>
                        <w:szCs w:val="24"/>
                      </w:rPr>
                    </w:pPr>
                    <w:r>
                      <w:rPr>
                        <w:szCs w:val="24"/>
                      </w:rPr>
                      <w:t>II vietos laimėtojas – 2 balai</w:t>
                    </w:r>
                  </w:p>
                </w:tc>
              </w:tr>
              <w:tr>
                <w:trPr>
                  <w:trHeight w:val="278"/>
                  <w:jc w:val="center"/>
                </w:trPr>
                <w:tc>
                  <w:tcPr>
                    <w:tcW w:w="585" w:type="dxa"/>
                    <w:vMerge/>
                    <w:tcMar>
                      <w:top w:w="100" w:type="dxa"/>
                      <w:left w:w="100" w:type="dxa"/>
                      <w:bottom w:w="100" w:type="dxa"/>
                      <w:right w:w="100" w:type="dxa"/>
                    </w:tcMar>
                    <w:vAlign w:val="center"/>
                  </w:tcPr>
                  <w:p>
                    <w:pPr>
                      <w:widowControl w:val="0"/>
                      <w:rPr>
                        <w:b/>
                        <w:szCs w:val="24"/>
                      </w:rPr>
                    </w:pPr>
                  </w:p>
                </w:tc>
                <w:tc>
                  <w:tcPr>
                    <w:tcW w:w="6776" w:type="dxa"/>
                    <w:vMerge/>
                    <w:tcMar>
                      <w:top w:w="100" w:type="dxa"/>
                      <w:left w:w="100" w:type="dxa"/>
                      <w:bottom w:w="100" w:type="dxa"/>
                      <w:right w:w="100" w:type="dxa"/>
                    </w:tcMar>
                    <w:vAlign w:val="center"/>
                  </w:tcPr>
                  <w:p>
                    <w:pPr>
                      <w:widowControl w:val="0"/>
                      <w:rPr>
                        <w:b/>
                        <w:szCs w:val="24"/>
                      </w:rPr>
                    </w:pPr>
                  </w:p>
                </w:tc>
                <w:tc>
                  <w:tcPr>
                    <w:tcW w:w="4639" w:type="dxa"/>
                    <w:tcMar>
                      <w:top w:w="100" w:type="dxa"/>
                      <w:left w:w="100" w:type="dxa"/>
                      <w:bottom w:w="100" w:type="dxa"/>
                      <w:right w:w="100" w:type="dxa"/>
                    </w:tcMar>
                    <w:vAlign w:val="center"/>
                  </w:tcPr>
                  <w:p>
                    <w:pPr>
                      <w:widowControl w:val="0"/>
                      <w:jc w:val="center"/>
                      <w:rPr>
                        <w:szCs w:val="24"/>
                      </w:rPr>
                    </w:pPr>
                    <w:r>
                      <w:rPr>
                        <w:szCs w:val="24"/>
                      </w:rPr>
                      <w:t>III vietos laimėtojas – 1 balas</w:t>
                    </w:r>
                  </w:p>
                </w:tc>
              </w:tr>
              <w:tr>
                <w:trPr>
                  <w:trHeight w:val="277"/>
                  <w:jc w:val="center"/>
                </w:trPr>
                <w:tc>
                  <w:tcPr>
                    <w:tcW w:w="585" w:type="dxa"/>
                    <w:vMerge/>
                    <w:tcMar>
                      <w:top w:w="100" w:type="dxa"/>
                      <w:left w:w="100" w:type="dxa"/>
                      <w:bottom w:w="100" w:type="dxa"/>
                      <w:right w:w="100" w:type="dxa"/>
                    </w:tcMar>
                    <w:vAlign w:val="center"/>
                  </w:tcPr>
                  <w:p>
                    <w:pPr>
                      <w:widowControl w:val="0"/>
                      <w:rPr>
                        <w:b/>
                        <w:szCs w:val="24"/>
                      </w:rPr>
                    </w:pPr>
                  </w:p>
                </w:tc>
                <w:tc>
                  <w:tcPr>
                    <w:tcW w:w="6776" w:type="dxa"/>
                    <w:vMerge/>
                    <w:tcMar>
                      <w:top w:w="100" w:type="dxa"/>
                      <w:left w:w="100" w:type="dxa"/>
                      <w:bottom w:w="100" w:type="dxa"/>
                      <w:right w:w="100" w:type="dxa"/>
                    </w:tcMar>
                    <w:vAlign w:val="center"/>
                  </w:tcPr>
                  <w:p>
                    <w:pPr>
                      <w:widowControl w:val="0"/>
                      <w:rPr>
                        <w:b/>
                        <w:szCs w:val="24"/>
                      </w:rPr>
                    </w:pPr>
                  </w:p>
                </w:tc>
                <w:tc>
                  <w:tcPr>
                    <w:tcW w:w="4639" w:type="dxa"/>
                    <w:tcMar>
                      <w:top w:w="100" w:type="dxa"/>
                      <w:left w:w="100" w:type="dxa"/>
                      <w:bottom w:w="100" w:type="dxa"/>
                      <w:right w:w="100" w:type="dxa"/>
                    </w:tcMar>
                    <w:vAlign w:val="center"/>
                  </w:tcPr>
                  <w:p>
                    <w:pPr>
                      <w:widowControl w:val="0"/>
                      <w:jc w:val="center"/>
                      <w:rPr>
                        <w:szCs w:val="24"/>
                      </w:rPr>
                    </w:pPr>
                    <w:r>
                      <w:rPr>
                        <w:szCs w:val="24"/>
                      </w:rPr>
                      <w:t>Už vieno vaiko dalyvavimą olimpiadoje ar konkurse – 0,5 balo</w:t>
                    </w:r>
                  </w:p>
                </w:tc>
              </w:tr>
              <w:tr>
                <w:trPr>
                  <w:trHeight w:val="447"/>
                  <w:jc w:val="center"/>
                </w:trPr>
                <w:tc>
                  <w:tcPr>
                    <w:tcW w:w="585" w:type="dxa"/>
                    <w:tcMar>
                      <w:top w:w="100" w:type="dxa"/>
                      <w:left w:w="100" w:type="dxa"/>
                      <w:bottom w:w="100" w:type="dxa"/>
                      <w:right w:w="100" w:type="dxa"/>
                    </w:tcMar>
                    <w:vAlign w:val="center"/>
                  </w:tcPr>
                  <w:p>
                    <w:pPr>
                      <w:widowControl w:val="0"/>
                      <w:ind w:firstLine="124"/>
                      <w:rPr>
                        <w:szCs w:val="24"/>
                      </w:rPr>
                    </w:pPr>
                    <w:r>
                      <w:rPr>
                        <w:szCs w:val="24"/>
                      </w:rPr>
                      <w:t>5.</w:t>
                    </w:r>
                  </w:p>
                </w:tc>
                <w:tc>
                  <w:tcPr>
                    <w:tcW w:w="6776" w:type="dxa"/>
                    <w:tcMar>
                      <w:top w:w="100" w:type="dxa"/>
                      <w:left w:w="100" w:type="dxa"/>
                      <w:bottom w:w="100" w:type="dxa"/>
                      <w:right w:w="100" w:type="dxa"/>
                    </w:tcMar>
                    <w:vAlign w:val="center"/>
                  </w:tcPr>
                  <w:p>
                    <w:pPr>
                      <w:widowControl w:val="0"/>
                      <w:rPr>
                        <w:szCs w:val="24"/>
                      </w:rPr>
                    </w:pPr>
                    <w:r>
                      <w:rPr>
                        <w:szCs w:val="24"/>
                      </w:rPr>
                      <w:t xml:space="preserve">Užduočių, skirtų </w:t>
                    </w:r>
                    <w:r>
                      <w:rPr>
                        <w:i/>
                        <w:szCs w:val="24"/>
                      </w:rPr>
                      <w:t>šalies, regiono*</w:t>
                    </w:r>
                    <w:r>
                      <w:rPr>
                        <w:szCs w:val="24"/>
                      </w:rPr>
                      <w:t xml:space="preserve"> ir savivaldybės dalykinėms olimpiadoms ir konkursams, Valstybiniams brandos egzaminams (toliau –VBE) rengimas</w:t>
                    </w:r>
                  </w:p>
                </w:tc>
                <w:tc>
                  <w:tcPr>
                    <w:tcW w:w="4639" w:type="dxa"/>
                    <w:tcMar>
                      <w:top w:w="100" w:type="dxa"/>
                      <w:left w:w="100" w:type="dxa"/>
                      <w:bottom w:w="100" w:type="dxa"/>
                      <w:right w:w="100" w:type="dxa"/>
                    </w:tcMar>
                    <w:vAlign w:val="center"/>
                  </w:tcPr>
                  <w:p>
                    <w:pPr>
                      <w:widowControl w:val="0"/>
                      <w:jc w:val="center"/>
                      <w:rPr>
                        <w:szCs w:val="24"/>
                      </w:rPr>
                    </w:pPr>
                    <w:r>
                      <w:rPr>
                        <w:szCs w:val="24"/>
                      </w:rPr>
                      <w:t xml:space="preserve">Užduočių rengimas vienai olimpiadai  ar  konkursui – 5 balai</w:t>
                    </w:r>
                  </w:p>
                  <w:p>
                    <w:pPr>
                      <w:jc w:val="center"/>
                      <w:rPr>
                        <w:szCs w:val="24"/>
                      </w:rPr>
                    </w:pPr>
                  </w:p>
                </w:tc>
              </w:tr>
              <w:tr>
                <w:trPr>
                  <w:trHeight w:val="447"/>
                  <w:jc w:val="center"/>
                </w:trPr>
                <w:tc>
                  <w:tcPr>
                    <w:tcW w:w="585" w:type="dxa"/>
                    <w:tcMar>
                      <w:top w:w="100" w:type="dxa"/>
                      <w:left w:w="100" w:type="dxa"/>
                      <w:bottom w:w="100" w:type="dxa"/>
                      <w:right w:w="100" w:type="dxa"/>
                    </w:tcMar>
                    <w:vAlign w:val="center"/>
                  </w:tcPr>
                  <w:p>
                    <w:pPr>
                      <w:widowControl w:val="0"/>
                      <w:jc w:val="center"/>
                      <w:rPr>
                        <w:color w:val="000000"/>
                        <w:szCs w:val="24"/>
                      </w:rPr>
                    </w:pPr>
                    <w:r>
                      <w:rPr>
                        <w:color w:val="000000"/>
                        <w:szCs w:val="24"/>
                      </w:rPr>
                      <w:t xml:space="preserve">6. </w:t>
                    </w:r>
                  </w:p>
                </w:tc>
                <w:tc>
                  <w:tcPr>
                    <w:tcW w:w="6776" w:type="dxa"/>
                    <w:tcMar>
                      <w:top w:w="100" w:type="dxa"/>
                      <w:left w:w="100" w:type="dxa"/>
                      <w:bottom w:w="100" w:type="dxa"/>
                      <w:right w:w="100" w:type="dxa"/>
                    </w:tcMar>
                    <w:vAlign w:val="center"/>
                  </w:tcPr>
                  <w:p>
                    <w:pPr>
                      <w:widowControl w:val="0"/>
                      <w:rPr>
                        <w:color w:val="000000"/>
                        <w:szCs w:val="24"/>
                      </w:rPr>
                    </w:pPr>
                    <w:r>
                      <w:rPr>
                        <w:color w:val="000000"/>
                        <w:szCs w:val="24"/>
                      </w:rPr>
                      <w:t xml:space="preserve">Darbas komisijų darbe, vertinant </w:t>
                    </w:r>
                    <w:r>
                      <w:rPr>
                        <w:i/>
                        <w:color w:val="000000"/>
                        <w:szCs w:val="24"/>
                      </w:rPr>
                      <w:t>šalies, regiono*</w:t>
                    </w:r>
                    <w:r>
                      <w:rPr>
                        <w:color w:val="000000"/>
                        <w:szCs w:val="24"/>
                      </w:rPr>
                      <w:t xml:space="preserve"> ir savivaldybės, olimpiadų ir konkursų, VBE dalyvių darbus</w:t>
                    </w:r>
                  </w:p>
                </w:tc>
                <w:tc>
                  <w:tcPr>
                    <w:tcW w:w="4639" w:type="dxa"/>
                    <w:tcMar>
                      <w:top w:w="100" w:type="dxa"/>
                      <w:left w:w="100" w:type="dxa"/>
                      <w:bottom w:w="100" w:type="dxa"/>
                      <w:right w:w="100" w:type="dxa"/>
                    </w:tcMar>
                    <w:vAlign w:val="center"/>
                  </w:tcPr>
                  <w:p>
                    <w:pPr>
                      <w:widowControl w:val="0"/>
                      <w:jc w:val="center"/>
                      <w:rPr>
                        <w:color w:val="000000"/>
                        <w:szCs w:val="24"/>
                      </w:rPr>
                    </w:pPr>
                    <w:r>
                      <w:rPr>
                        <w:color w:val="000000"/>
                        <w:szCs w:val="24"/>
                      </w:rPr>
                      <w:t>Darbas komisijos darbe vertinant vieną olimpiadą ar konkursą – 5 balai</w:t>
                    </w:r>
                  </w:p>
                </w:tc>
              </w:tr>
              <w:tr>
                <w:trPr>
                  <w:trHeight w:val="440"/>
                  <w:jc w:val="center"/>
                </w:trPr>
                <w:tc>
                  <w:tcPr>
                    <w:tcW w:w="585" w:type="dxa"/>
                    <w:vMerge w:val="restart"/>
                    <w:shd w:val="clear" w:color="auto" w:fill="FFFFFF"/>
                    <w:tcMar>
                      <w:top w:w="100" w:type="dxa"/>
                      <w:left w:w="100" w:type="dxa"/>
                      <w:bottom w:w="100" w:type="dxa"/>
                      <w:right w:w="100" w:type="dxa"/>
                    </w:tcMar>
                    <w:vAlign w:val="center"/>
                  </w:tcPr>
                  <w:p>
                    <w:pPr>
                      <w:widowControl w:val="0"/>
                      <w:jc w:val="center"/>
                      <w:rPr>
                        <w:b/>
                        <w:szCs w:val="24"/>
                        <w:highlight w:val="white"/>
                      </w:rPr>
                    </w:pPr>
                  </w:p>
                  <w:p>
                    <w:pPr>
                      <w:widowControl w:val="0"/>
                      <w:jc w:val="center"/>
                      <w:rPr>
                        <w:szCs w:val="24"/>
                        <w:highlight w:val="white"/>
                      </w:rPr>
                    </w:pPr>
                    <w:r>
                      <w:rPr>
                        <w:szCs w:val="24"/>
                        <w:highlight w:val="white"/>
                      </w:rPr>
                      <w:t>7.</w:t>
                    </w:r>
                  </w:p>
                </w:tc>
                <w:tc>
                  <w:tcPr>
                    <w:tcW w:w="6776" w:type="dxa"/>
                    <w:vMerge w:val="restart"/>
                    <w:shd w:val="clear" w:color="auto" w:fill="FFFFFF"/>
                    <w:tcMar>
                      <w:top w:w="100" w:type="dxa"/>
                      <w:left w:w="100" w:type="dxa"/>
                      <w:bottom w:w="100" w:type="dxa"/>
                      <w:right w:w="100" w:type="dxa"/>
                    </w:tcMar>
                    <w:vAlign w:val="center"/>
                  </w:tcPr>
                  <w:p>
                    <w:pPr>
                      <w:widowControl w:val="0"/>
                      <w:rPr>
                        <w:color w:val="000000"/>
                        <w:szCs w:val="24"/>
                        <w:highlight w:val="white"/>
                      </w:rPr>
                    </w:pPr>
                    <w:r>
                      <w:rPr>
                        <w:color w:val="000000"/>
                        <w:szCs w:val="24"/>
                        <w:highlight w:val="white"/>
                      </w:rPr>
                      <w:t>Savivaldybės mokomojo dalyko mokytojų metodinio būrelio pirmininko inicijuoti renginiai (pasitarimai, gerosios patirties renginiai ir kt.) per mokslo metus</w:t>
                    </w:r>
                  </w:p>
                </w:tc>
                <w:tc>
                  <w:tcPr>
                    <w:tcW w:w="4639" w:type="dxa"/>
                    <w:shd w:val="clear" w:color="auto" w:fill="FFFFFF"/>
                    <w:tcMar>
                      <w:top w:w="100" w:type="dxa"/>
                      <w:left w:w="100" w:type="dxa"/>
                      <w:bottom w:w="100" w:type="dxa"/>
                      <w:right w:w="100" w:type="dxa"/>
                    </w:tcMar>
                    <w:vAlign w:val="center"/>
                  </w:tcPr>
                  <w:p>
                    <w:pPr>
                      <w:ind w:right="140"/>
                      <w:jc w:val="center"/>
                      <w:rPr>
                        <w:color w:val="000000"/>
                        <w:szCs w:val="24"/>
                      </w:rPr>
                    </w:pPr>
                    <w:r>
                      <w:rPr>
                        <w:color w:val="000000"/>
                        <w:szCs w:val="24"/>
                      </w:rPr>
                      <w:t>Gerosios patirties renginys – 2 balai</w:t>
                    </w:r>
                  </w:p>
                </w:tc>
              </w:tr>
              <w:tr>
                <w:trPr>
                  <w:trHeight w:val="440"/>
                  <w:jc w:val="center"/>
                </w:trPr>
                <w:tc>
                  <w:tcPr>
                    <w:tcW w:w="585" w:type="dxa"/>
                    <w:vMerge/>
                    <w:shd w:val="clear" w:color="auto" w:fill="FFFFFF"/>
                    <w:tcMar>
                      <w:top w:w="100" w:type="dxa"/>
                      <w:left w:w="100" w:type="dxa"/>
                      <w:bottom w:w="100" w:type="dxa"/>
                      <w:right w:w="100" w:type="dxa"/>
                    </w:tcMar>
                    <w:vAlign w:val="center"/>
                  </w:tcPr>
                  <w:p>
                    <w:pPr>
                      <w:widowControl w:val="0"/>
                      <w:rPr>
                        <w:b/>
                        <w:szCs w:val="24"/>
                      </w:rPr>
                    </w:pPr>
                  </w:p>
                </w:tc>
                <w:tc>
                  <w:tcPr>
                    <w:tcW w:w="6776" w:type="dxa"/>
                    <w:vMerge/>
                    <w:shd w:val="clear" w:color="auto" w:fill="FFFFFF"/>
                    <w:tcMar>
                      <w:top w:w="100" w:type="dxa"/>
                      <w:left w:w="100" w:type="dxa"/>
                      <w:bottom w:w="100" w:type="dxa"/>
                      <w:right w:w="100" w:type="dxa"/>
                    </w:tcMar>
                    <w:vAlign w:val="center"/>
                  </w:tcPr>
                  <w:p>
                    <w:pPr>
                      <w:widowControl w:val="0"/>
                      <w:rPr>
                        <w:b/>
                        <w:color w:val="000000"/>
                        <w:szCs w:val="24"/>
                      </w:rPr>
                    </w:pPr>
                  </w:p>
                </w:tc>
                <w:tc>
                  <w:tcPr>
                    <w:tcW w:w="4639" w:type="dxa"/>
                    <w:shd w:val="clear" w:color="auto" w:fill="FFFFFF"/>
                    <w:tcMar>
                      <w:top w:w="100" w:type="dxa"/>
                      <w:left w:w="100" w:type="dxa"/>
                      <w:bottom w:w="100" w:type="dxa"/>
                      <w:right w:w="100" w:type="dxa"/>
                    </w:tcMar>
                    <w:vAlign w:val="center"/>
                  </w:tcPr>
                  <w:p>
                    <w:pPr>
                      <w:ind w:right="140"/>
                      <w:jc w:val="center"/>
                      <w:rPr>
                        <w:color w:val="000000"/>
                        <w:szCs w:val="24"/>
                      </w:rPr>
                    </w:pPr>
                    <w:r>
                      <w:rPr>
                        <w:color w:val="000000"/>
                        <w:szCs w:val="24"/>
                      </w:rPr>
                      <w:t>Vienas pasitarimas – 1 balas</w:t>
                    </w:r>
                  </w:p>
                </w:tc>
              </w:tr>
              <w:tr>
                <w:trPr>
                  <w:trHeight w:val="440"/>
                  <w:jc w:val="center"/>
                </w:trPr>
                <w:tc>
                  <w:tcPr>
                    <w:tcW w:w="585" w:type="dxa"/>
                    <w:vMerge/>
                    <w:shd w:val="clear" w:color="auto" w:fill="FFFFFF"/>
                    <w:tcMar>
                      <w:top w:w="100" w:type="dxa"/>
                      <w:left w:w="100" w:type="dxa"/>
                      <w:bottom w:w="100" w:type="dxa"/>
                      <w:right w:w="100" w:type="dxa"/>
                    </w:tcMar>
                    <w:vAlign w:val="center"/>
                  </w:tcPr>
                  <w:p>
                    <w:pPr>
                      <w:widowControl w:val="0"/>
                      <w:rPr>
                        <w:b/>
                        <w:szCs w:val="24"/>
                      </w:rPr>
                    </w:pPr>
                  </w:p>
                </w:tc>
                <w:tc>
                  <w:tcPr>
                    <w:tcW w:w="6776" w:type="dxa"/>
                    <w:vMerge/>
                    <w:shd w:val="clear" w:color="auto" w:fill="FFFFFF"/>
                    <w:tcMar>
                      <w:top w:w="100" w:type="dxa"/>
                      <w:left w:w="100" w:type="dxa"/>
                      <w:bottom w:w="100" w:type="dxa"/>
                      <w:right w:w="100" w:type="dxa"/>
                    </w:tcMar>
                    <w:vAlign w:val="center"/>
                  </w:tcPr>
                  <w:p>
                    <w:pPr>
                      <w:widowControl w:val="0"/>
                      <w:rPr>
                        <w:b/>
                        <w:color w:val="000000"/>
                        <w:szCs w:val="24"/>
                      </w:rPr>
                    </w:pPr>
                  </w:p>
                </w:tc>
                <w:tc>
                  <w:tcPr>
                    <w:tcW w:w="4639" w:type="dxa"/>
                    <w:shd w:val="clear" w:color="auto" w:fill="FFFFFF"/>
                    <w:tcMar>
                      <w:top w:w="100" w:type="dxa"/>
                      <w:left w:w="100" w:type="dxa"/>
                      <w:bottom w:w="100" w:type="dxa"/>
                      <w:right w:w="100" w:type="dxa"/>
                    </w:tcMar>
                    <w:vAlign w:val="center"/>
                  </w:tcPr>
                  <w:p>
                    <w:pPr>
                      <w:ind w:right="140"/>
                      <w:jc w:val="center"/>
                      <w:rPr>
                        <w:color w:val="000000"/>
                        <w:szCs w:val="24"/>
                      </w:rPr>
                    </w:pPr>
                    <w:r>
                      <w:rPr>
                        <w:color w:val="000000"/>
                        <w:szCs w:val="24"/>
                      </w:rPr>
                      <w:t>Atviros pamokos inicijavimas – 1 balas</w:t>
                    </w:r>
                  </w:p>
                </w:tc>
              </w:tr>
              <w:tr>
                <w:trPr>
                  <w:trHeight w:val="470"/>
                  <w:jc w:val="center"/>
                </w:trPr>
                <w:tc>
                  <w:tcPr>
                    <w:tcW w:w="585" w:type="dxa"/>
                    <w:vMerge/>
                    <w:shd w:val="clear" w:color="auto" w:fill="FFFFFF"/>
                    <w:tcMar>
                      <w:top w:w="100" w:type="dxa"/>
                      <w:left w:w="100" w:type="dxa"/>
                      <w:bottom w:w="100" w:type="dxa"/>
                      <w:right w:w="100" w:type="dxa"/>
                    </w:tcMar>
                    <w:vAlign w:val="center"/>
                  </w:tcPr>
                  <w:p>
                    <w:pPr>
                      <w:widowControl w:val="0"/>
                      <w:jc w:val="center"/>
                      <w:rPr>
                        <w:szCs w:val="24"/>
                      </w:rPr>
                    </w:pPr>
                  </w:p>
                </w:tc>
                <w:tc>
                  <w:tcPr>
                    <w:tcW w:w="6776" w:type="dxa"/>
                    <w:vMerge/>
                    <w:shd w:val="clear" w:color="auto" w:fill="FFFFFF"/>
                    <w:tcMar>
                      <w:top w:w="100" w:type="dxa"/>
                      <w:left w:w="100" w:type="dxa"/>
                      <w:bottom w:w="100" w:type="dxa"/>
                      <w:right w:w="100" w:type="dxa"/>
                    </w:tcMar>
                    <w:vAlign w:val="center"/>
                  </w:tcPr>
                  <w:p>
                    <w:pPr>
                      <w:widowControl w:val="0"/>
                      <w:rPr>
                        <w:b/>
                        <w:color w:val="000000"/>
                        <w:szCs w:val="24"/>
                      </w:rPr>
                    </w:pPr>
                  </w:p>
                </w:tc>
                <w:tc>
                  <w:tcPr>
                    <w:tcW w:w="4639" w:type="dxa"/>
                    <w:tcMar>
                      <w:top w:w="100" w:type="dxa"/>
                      <w:left w:w="100" w:type="dxa"/>
                      <w:bottom w:w="100" w:type="dxa"/>
                      <w:right w:w="100" w:type="dxa"/>
                    </w:tcMar>
                    <w:vAlign w:val="center"/>
                  </w:tcPr>
                  <w:p>
                    <w:pPr>
                      <w:widowControl w:val="0"/>
                      <w:jc w:val="center"/>
                      <w:rPr>
                        <w:color w:val="000000"/>
                        <w:szCs w:val="24"/>
                      </w:rPr>
                    </w:pPr>
                    <w:r>
                      <w:rPr>
                        <w:color w:val="000000"/>
                        <w:szCs w:val="24"/>
                      </w:rPr>
                      <w:t>Mažųjų olimpiadų ir konkursų inicijavimas – 1 balas</w:t>
                    </w:r>
                  </w:p>
                </w:tc>
              </w:tr>
              <w:tr>
                <w:trPr>
                  <w:trHeight w:val="440"/>
                  <w:jc w:val="center"/>
                </w:trPr>
                <w:tc>
                  <w:tcPr>
                    <w:tcW w:w="585" w:type="dxa"/>
                    <w:vMerge w:val="restart"/>
                    <w:tcMar>
                      <w:top w:w="100" w:type="dxa"/>
                      <w:left w:w="100" w:type="dxa"/>
                      <w:bottom w:w="100" w:type="dxa"/>
                      <w:right w:w="100" w:type="dxa"/>
                    </w:tcMar>
                    <w:vAlign w:val="center"/>
                  </w:tcPr>
                  <w:p>
                    <w:pPr>
                      <w:widowControl w:val="0"/>
                      <w:jc w:val="center"/>
                      <w:rPr>
                        <w:szCs w:val="24"/>
                      </w:rPr>
                    </w:pPr>
                    <w:r>
                      <w:rPr>
                        <w:szCs w:val="24"/>
                      </w:rPr>
                      <w:t>8.</w:t>
                    </w:r>
                  </w:p>
                </w:tc>
                <w:tc>
                  <w:tcPr>
                    <w:tcW w:w="6776" w:type="dxa"/>
                    <w:vMerge w:val="restart"/>
                    <w:tcMar>
                      <w:top w:w="100" w:type="dxa"/>
                      <w:left w:w="100" w:type="dxa"/>
                      <w:bottom w:w="100" w:type="dxa"/>
                      <w:right w:w="100" w:type="dxa"/>
                    </w:tcMar>
                    <w:vAlign w:val="center"/>
                  </w:tcPr>
                  <w:p>
                    <w:pPr>
                      <w:widowControl w:val="0"/>
                      <w:rPr>
                        <w:szCs w:val="24"/>
                      </w:rPr>
                    </w:pPr>
                    <w:r>
                      <w:rPr>
                        <w:szCs w:val="24"/>
                      </w:rPr>
                      <w:t>Tarptautinių, šalies, rajoninių,* konkursų, viktorinų, projektų, konferencijų, sporto varžybų ir kitų renginių inicijavimas ir organizavimas</w:t>
                    </w:r>
                  </w:p>
                </w:tc>
                <w:tc>
                  <w:tcPr>
                    <w:tcW w:w="4639" w:type="dxa"/>
                    <w:tcMar>
                      <w:top w:w="100" w:type="dxa"/>
                      <w:left w:w="100" w:type="dxa"/>
                      <w:bottom w:w="100" w:type="dxa"/>
                      <w:right w:w="100" w:type="dxa"/>
                    </w:tcMar>
                    <w:vAlign w:val="center"/>
                  </w:tcPr>
                  <w:p>
                    <w:pPr>
                      <w:widowControl w:val="0"/>
                      <w:jc w:val="center"/>
                      <w:rPr>
                        <w:szCs w:val="24"/>
                      </w:rPr>
                    </w:pPr>
                    <w:r>
                      <w:rPr>
                        <w:szCs w:val="24"/>
                      </w:rPr>
                      <w:t>Inicijuotas ir organizuotas tarptautinis renginys – 4 balai</w:t>
                    </w:r>
                  </w:p>
                </w:tc>
              </w:tr>
              <w:tr>
                <w:trPr>
                  <w:trHeight w:val="383"/>
                  <w:jc w:val="center"/>
                </w:trPr>
                <w:tc>
                  <w:tcPr>
                    <w:tcW w:w="585" w:type="dxa"/>
                    <w:vMerge/>
                    <w:tcMar>
                      <w:top w:w="100" w:type="dxa"/>
                      <w:left w:w="100" w:type="dxa"/>
                      <w:bottom w:w="100" w:type="dxa"/>
                      <w:right w:w="100" w:type="dxa"/>
                    </w:tcMar>
                    <w:vAlign w:val="center"/>
                  </w:tcPr>
                  <w:p>
                    <w:pPr>
                      <w:widowControl w:val="0"/>
                      <w:jc w:val="center"/>
                      <w:rPr>
                        <w:szCs w:val="24"/>
                      </w:rPr>
                    </w:pPr>
                  </w:p>
                </w:tc>
                <w:tc>
                  <w:tcPr>
                    <w:tcW w:w="6776" w:type="dxa"/>
                    <w:vMerge/>
                    <w:tcMar>
                      <w:top w:w="100" w:type="dxa"/>
                      <w:left w:w="100" w:type="dxa"/>
                      <w:bottom w:w="100" w:type="dxa"/>
                      <w:right w:w="100" w:type="dxa"/>
                    </w:tcMar>
                    <w:vAlign w:val="center"/>
                  </w:tcPr>
                  <w:p>
                    <w:pPr>
                      <w:widowControl w:val="0"/>
                      <w:rPr>
                        <w:szCs w:val="24"/>
                      </w:rPr>
                    </w:pPr>
                  </w:p>
                </w:tc>
                <w:tc>
                  <w:tcPr>
                    <w:tcW w:w="4639" w:type="dxa"/>
                    <w:tcMar>
                      <w:top w:w="100" w:type="dxa"/>
                      <w:left w:w="100" w:type="dxa"/>
                      <w:bottom w:w="100" w:type="dxa"/>
                      <w:right w:w="100" w:type="dxa"/>
                    </w:tcMar>
                    <w:vAlign w:val="center"/>
                  </w:tcPr>
                  <w:p>
                    <w:pPr>
                      <w:widowControl w:val="0"/>
                      <w:jc w:val="center"/>
                      <w:rPr>
                        <w:szCs w:val="24"/>
                      </w:rPr>
                    </w:pPr>
                    <w:r>
                      <w:rPr>
                        <w:szCs w:val="24"/>
                      </w:rPr>
                      <w:t>Organizuotas šalies renginys – 3 balai</w:t>
                    </w:r>
                  </w:p>
                  <w:p>
                    <w:pPr>
                      <w:widowControl w:val="0"/>
                      <w:jc w:val="center"/>
                      <w:rPr>
                        <w:szCs w:val="24"/>
                      </w:rPr>
                    </w:pPr>
                  </w:p>
                </w:tc>
              </w:tr>
              <w:tr>
                <w:trPr>
                  <w:trHeight w:val="382"/>
                  <w:jc w:val="center"/>
                </w:trPr>
                <w:tc>
                  <w:tcPr>
                    <w:tcW w:w="585" w:type="dxa"/>
                    <w:vMerge/>
                    <w:tcMar>
                      <w:top w:w="100" w:type="dxa"/>
                      <w:left w:w="100" w:type="dxa"/>
                      <w:bottom w:w="100" w:type="dxa"/>
                      <w:right w:w="100" w:type="dxa"/>
                    </w:tcMar>
                    <w:vAlign w:val="center"/>
                  </w:tcPr>
                  <w:p>
                    <w:pPr>
                      <w:widowControl w:val="0"/>
                      <w:jc w:val="center"/>
                      <w:rPr>
                        <w:szCs w:val="24"/>
                      </w:rPr>
                    </w:pPr>
                  </w:p>
                </w:tc>
                <w:tc>
                  <w:tcPr>
                    <w:tcW w:w="6776" w:type="dxa"/>
                    <w:vMerge/>
                    <w:tcMar>
                      <w:top w:w="100" w:type="dxa"/>
                      <w:left w:w="100" w:type="dxa"/>
                      <w:bottom w:w="100" w:type="dxa"/>
                      <w:right w:w="100" w:type="dxa"/>
                    </w:tcMar>
                    <w:vAlign w:val="center"/>
                  </w:tcPr>
                  <w:p>
                    <w:pPr>
                      <w:widowControl w:val="0"/>
                      <w:rPr>
                        <w:szCs w:val="24"/>
                      </w:rPr>
                    </w:pPr>
                  </w:p>
                </w:tc>
                <w:tc>
                  <w:tcPr>
                    <w:tcW w:w="4639" w:type="dxa"/>
                    <w:tcMar>
                      <w:top w:w="100" w:type="dxa"/>
                      <w:left w:w="100" w:type="dxa"/>
                      <w:bottom w:w="100" w:type="dxa"/>
                      <w:right w:w="100" w:type="dxa"/>
                    </w:tcMar>
                    <w:vAlign w:val="center"/>
                  </w:tcPr>
                  <w:p>
                    <w:pPr>
                      <w:widowControl w:val="0"/>
                      <w:jc w:val="center"/>
                      <w:rPr>
                        <w:szCs w:val="24"/>
                      </w:rPr>
                    </w:pPr>
                    <w:r>
                      <w:rPr>
                        <w:szCs w:val="24"/>
                      </w:rPr>
                      <w:t>Organizuotas rajoninis renginys – 2 balai</w:t>
                    </w:r>
                  </w:p>
                </w:tc>
              </w:tr>
              <w:tr>
                <w:trPr>
                  <w:trHeight w:val="440"/>
                  <w:jc w:val="center"/>
                </w:trPr>
                <w:tc>
                  <w:tcPr>
                    <w:tcW w:w="585" w:type="dxa"/>
                    <w:vMerge w:val="restart"/>
                    <w:shd w:val="clear" w:color="auto" w:fill="FFFFFF"/>
                    <w:tcMar>
                      <w:top w:w="100" w:type="dxa"/>
                      <w:left w:w="100" w:type="dxa"/>
                      <w:bottom w:w="100" w:type="dxa"/>
                      <w:right w:w="100" w:type="dxa"/>
                    </w:tcMar>
                    <w:vAlign w:val="center"/>
                  </w:tcPr>
                  <w:p>
                    <w:pPr>
                      <w:widowControl w:val="0"/>
                      <w:jc w:val="center"/>
                      <w:rPr>
                        <w:szCs w:val="24"/>
                      </w:rPr>
                    </w:pPr>
                  </w:p>
                  <w:p>
                    <w:pPr>
                      <w:widowControl w:val="0"/>
                      <w:jc w:val="center"/>
                      <w:rPr>
                        <w:szCs w:val="24"/>
                      </w:rPr>
                    </w:pPr>
                    <w:r>
                      <w:rPr>
                        <w:szCs w:val="24"/>
                      </w:rPr>
                      <w:t>9.</w:t>
                    </w:r>
                  </w:p>
                </w:tc>
                <w:tc>
                  <w:tcPr>
                    <w:tcW w:w="6776" w:type="dxa"/>
                    <w:vMerge w:val="restart"/>
                    <w:shd w:val="clear" w:color="auto" w:fill="FFFFFF"/>
                    <w:tcMar>
                      <w:top w:w="100" w:type="dxa"/>
                      <w:left w:w="100" w:type="dxa"/>
                      <w:bottom w:w="100" w:type="dxa"/>
                      <w:right w:w="100" w:type="dxa"/>
                    </w:tcMar>
                    <w:vAlign w:val="center"/>
                  </w:tcPr>
                  <w:p>
                    <w:pPr>
                      <w:widowControl w:val="0"/>
                      <w:rPr>
                        <w:szCs w:val="24"/>
                      </w:rPr>
                    </w:pPr>
                    <w:r>
                      <w:rPr>
                        <w:szCs w:val="24"/>
                      </w:rPr>
                      <w:t xml:space="preserve">Pedagogų kvalifikacijos tobulinimo programų rengimas </w:t>
                    </w:r>
                  </w:p>
                </w:tc>
                <w:tc>
                  <w:tcPr>
                    <w:tcW w:w="4639" w:type="dxa"/>
                    <w:shd w:val="clear" w:color="auto" w:fill="FFFFFF"/>
                    <w:tcMar>
                      <w:top w:w="100" w:type="dxa"/>
                      <w:left w:w="100" w:type="dxa"/>
                      <w:bottom w:w="100" w:type="dxa"/>
                      <w:right w:w="100" w:type="dxa"/>
                    </w:tcMar>
                    <w:vAlign w:val="center"/>
                  </w:tcPr>
                  <w:p>
                    <w:pPr>
                      <w:ind w:right="140"/>
                      <w:jc w:val="center"/>
                      <w:rPr>
                        <w:szCs w:val="24"/>
                      </w:rPr>
                    </w:pPr>
                    <w:r>
                      <w:rPr>
                        <w:szCs w:val="24"/>
                      </w:rPr>
                      <w:t>Ne mažiau 40 ak. val. Programos parengimas – 4 balai</w:t>
                    </w:r>
                  </w:p>
                </w:tc>
              </w:tr>
              <w:tr>
                <w:trPr>
                  <w:trHeight w:val="440"/>
                  <w:jc w:val="center"/>
                </w:trPr>
                <w:tc>
                  <w:tcPr>
                    <w:tcW w:w="585" w:type="dxa"/>
                    <w:vMerge/>
                    <w:shd w:val="clear" w:color="auto" w:fill="FFFFFF"/>
                    <w:tcMar>
                      <w:top w:w="100" w:type="dxa"/>
                      <w:left w:w="100" w:type="dxa"/>
                      <w:bottom w:w="100" w:type="dxa"/>
                      <w:right w:w="100" w:type="dxa"/>
                    </w:tcMar>
                    <w:vAlign w:val="center"/>
                  </w:tcPr>
                  <w:p>
                    <w:pPr>
                      <w:widowControl w:val="0"/>
                      <w:jc w:val="center"/>
                      <w:rPr>
                        <w:szCs w:val="24"/>
                      </w:rPr>
                    </w:pPr>
                  </w:p>
                </w:tc>
                <w:tc>
                  <w:tcPr>
                    <w:tcW w:w="6776" w:type="dxa"/>
                    <w:vMerge/>
                    <w:shd w:val="clear" w:color="auto" w:fill="FFFFFF"/>
                    <w:tcMar>
                      <w:top w:w="100" w:type="dxa"/>
                      <w:left w:w="100" w:type="dxa"/>
                      <w:bottom w:w="100" w:type="dxa"/>
                      <w:right w:w="100" w:type="dxa"/>
                    </w:tcMar>
                    <w:vAlign w:val="center"/>
                  </w:tcPr>
                  <w:p>
                    <w:pPr>
                      <w:widowControl w:val="0"/>
                      <w:rPr>
                        <w:szCs w:val="24"/>
                      </w:rPr>
                    </w:pPr>
                  </w:p>
                </w:tc>
                <w:tc>
                  <w:tcPr>
                    <w:tcW w:w="4639" w:type="dxa"/>
                    <w:shd w:val="clear" w:color="auto" w:fill="FFFFFF"/>
                    <w:tcMar>
                      <w:top w:w="100" w:type="dxa"/>
                      <w:left w:w="100" w:type="dxa"/>
                      <w:bottom w:w="100" w:type="dxa"/>
                      <w:right w:w="100" w:type="dxa"/>
                    </w:tcMar>
                    <w:vAlign w:val="center"/>
                  </w:tcPr>
                  <w:p>
                    <w:pPr>
                      <w:ind w:right="140"/>
                      <w:jc w:val="center"/>
                      <w:rPr>
                        <w:szCs w:val="24"/>
                      </w:rPr>
                    </w:pPr>
                    <w:r>
                      <w:rPr>
                        <w:szCs w:val="24"/>
                      </w:rPr>
                      <w:t>Mažiau nei 40 ak. val. Programos parengimas – 3 balai</w:t>
                    </w:r>
                  </w:p>
                </w:tc>
              </w:tr>
              <w:tr>
                <w:trPr>
                  <w:trHeight w:val="278"/>
                  <w:jc w:val="center"/>
                </w:trPr>
                <w:tc>
                  <w:tcPr>
                    <w:tcW w:w="585" w:type="dxa"/>
                    <w:vMerge/>
                    <w:shd w:val="clear" w:color="auto" w:fill="FFFFFF"/>
                    <w:tcMar>
                      <w:top w:w="100" w:type="dxa"/>
                      <w:left w:w="100" w:type="dxa"/>
                      <w:bottom w:w="100" w:type="dxa"/>
                      <w:right w:w="100" w:type="dxa"/>
                    </w:tcMar>
                    <w:vAlign w:val="center"/>
                  </w:tcPr>
                  <w:p>
                    <w:pPr>
                      <w:widowControl w:val="0"/>
                      <w:jc w:val="center"/>
                      <w:rPr>
                        <w:szCs w:val="24"/>
                      </w:rPr>
                    </w:pPr>
                  </w:p>
                </w:tc>
                <w:tc>
                  <w:tcPr>
                    <w:tcW w:w="6776" w:type="dxa"/>
                    <w:vMerge/>
                    <w:shd w:val="clear" w:color="auto" w:fill="FFFFFF"/>
                    <w:tcMar>
                      <w:top w:w="100" w:type="dxa"/>
                      <w:left w:w="100" w:type="dxa"/>
                      <w:bottom w:w="100" w:type="dxa"/>
                      <w:right w:w="100" w:type="dxa"/>
                    </w:tcMar>
                    <w:vAlign w:val="center"/>
                  </w:tcPr>
                  <w:p>
                    <w:pPr>
                      <w:widowControl w:val="0"/>
                      <w:rPr>
                        <w:szCs w:val="24"/>
                      </w:rPr>
                    </w:pPr>
                  </w:p>
                </w:tc>
                <w:tc>
                  <w:tcPr>
                    <w:tcW w:w="4639" w:type="dxa"/>
                    <w:shd w:val="clear" w:color="auto" w:fill="FFFFFF"/>
                    <w:tcMar>
                      <w:top w:w="100" w:type="dxa"/>
                      <w:left w:w="100" w:type="dxa"/>
                      <w:bottom w:w="100" w:type="dxa"/>
                      <w:right w:w="100" w:type="dxa"/>
                    </w:tcMar>
                    <w:vAlign w:val="center"/>
                  </w:tcPr>
                  <w:p>
                    <w:pPr>
                      <w:widowControl w:val="0"/>
                      <w:jc w:val="center"/>
                      <w:rPr>
                        <w:szCs w:val="24"/>
                      </w:rPr>
                    </w:pPr>
                    <w:r>
                      <w:rPr>
                        <w:szCs w:val="24"/>
                      </w:rPr>
                      <w:t>Ne mažiau kaip 6 ak. val. Programos parengimas – 2 balai</w:t>
                    </w:r>
                  </w:p>
                </w:tc>
              </w:tr>
              <w:tr>
                <w:trPr>
                  <w:trHeight w:val="277"/>
                  <w:jc w:val="center"/>
                </w:trPr>
                <w:tc>
                  <w:tcPr>
                    <w:tcW w:w="585" w:type="dxa"/>
                    <w:vMerge/>
                    <w:shd w:val="clear" w:color="auto" w:fill="FFFFFF"/>
                    <w:tcMar>
                      <w:top w:w="100" w:type="dxa"/>
                      <w:left w:w="100" w:type="dxa"/>
                      <w:bottom w:w="100" w:type="dxa"/>
                      <w:right w:w="100" w:type="dxa"/>
                    </w:tcMar>
                    <w:vAlign w:val="center"/>
                  </w:tcPr>
                  <w:p>
                    <w:pPr>
                      <w:widowControl w:val="0"/>
                      <w:jc w:val="center"/>
                      <w:rPr>
                        <w:szCs w:val="24"/>
                      </w:rPr>
                    </w:pPr>
                  </w:p>
                </w:tc>
                <w:tc>
                  <w:tcPr>
                    <w:tcW w:w="6776" w:type="dxa"/>
                    <w:vMerge/>
                    <w:shd w:val="clear" w:color="auto" w:fill="FFFFFF"/>
                    <w:tcMar>
                      <w:top w:w="100" w:type="dxa"/>
                      <w:left w:w="100" w:type="dxa"/>
                      <w:bottom w:w="100" w:type="dxa"/>
                      <w:right w:w="100" w:type="dxa"/>
                    </w:tcMar>
                    <w:vAlign w:val="center"/>
                  </w:tcPr>
                  <w:p>
                    <w:pPr>
                      <w:widowControl w:val="0"/>
                      <w:rPr>
                        <w:szCs w:val="24"/>
                      </w:rPr>
                    </w:pPr>
                  </w:p>
                </w:tc>
                <w:tc>
                  <w:tcPr>
                    <w:tcW w:w="4639" w:type="dxa"/>
                    <w:shd w:val="clear" w:color="auto" w:fill="FFFFFF"/>
                    <w:tcMar>
                      <w:top w:w="100" w:type="dxa"/>
                      <w:left w:w="100" w:type="dxa"/>
                      <w:bottom w:w="100" w:type="dxa"/>
                      <w:right w:w="100" w:type="dxa"/>
                    </w:tcMar>
                    <w:vAlign w:val="center"/>
                  </w:tcPr>
                  <w:p>
                    <w:pPr>
                      <w:widowControl w:val="0"/>
                      <w:jc w:val="center"/>
                      <w:rPr>
                        <w:szCs w:val="24"/>
                      </w:rPr>
                    </w:pPr>
                    <w:r>
                      <w:rPr>
                        <w:szCs w:val="24"/>
                      </w:rPr>
                      <w:t>Prisidėjimas rengiant Programą – 1 balas</w:t>
                    </w:r>
                  </w:p>
                </w:tc>
              </w:tr>
              <w:tr>
                <w:trPr>
                  <w:trHeight w:val="507"/>
                  <w:jc w:val="center"/>
                </w:trPr>
                <w:tc>
                  <w:tcPr>
                    <w:tcW w:w="585" w:type="dxa"/>
                    <w:vMerge w:val="restart"/>
                    <w:tcMar>
                      <w:top w:w="100" w:type="dxa"/>
                      <w:left w:w="100" w:type="dxa"/>
                      <w:bottom w:w="100" w:type="dxa"/>
                      <w:right w:w="100" w:type="dxa"/>
                    </w:tcMar>
                    <w:vAlign w:val="center"/>
                  </w:tcPr>
                  <w:p>
                    <w:pPr>
                      <w:widowControl w:val="0"/>
                      <w:jc w:val="center"/>
                      <w:rPr>
                        <w:szCs w:val="24"/>
                      </w:rPr>
                    </w:pPr>
                    <w:r>
                      <w:rPr>
                        <w:szCs w:val="24"/>
                      </w:rPr>
                      <w:t>10.</w:t>
                    </w:r>
                  </w:p>
                </w:tc>
                <w:tc>
                  <w:tcPr>
                    <w:tcW w:w="6776" w:type="dxa"/>
                    <w:vMerge w:val="restart"/>
                    <w:tcMar>
                      <w:top w:w="100" w:type="dxa"/>
                      <w:left w:w="100" w:type="dxa"/>
                      <w:bottom w:w="100" w:type="dxa"/>
                      <w:right w:w="100" w:type="dxa"/>
                    </w:tcMar>
                    <w:vAlign w:val="center"/>
                  </w:tcPr>
                  <w:p>
                    <w:pPr>
                      <w:widowControl w:val="0"/>
                      <w:rPr>
                        <w:szCs w:val="24"/>
                        <w:highlight w:val="yellow"/>
                      </w:rPr>
                    </w:pPr>
                    <w:r>
                      <w:rPr>
                        <w:szCs w:val="24"/>
                      </w:rPr>
                      <w:t>Profesinės patirties ir žinių dalijimasis su kolegomis</w:t>
                    </w:r>
                  </w:p>
                </w:tc>
                <w:tc>
                  <w:tcPr>
                    <w:tcW w:w="4639" w:type="dxa"/>
                    <w:tcMar>
                      <w:top w:w="100" w:type="dxa"/>
                      <w:left w:w="100" w:type="dxa"/>
                      <w:bottom w:w="100" w:type="dxa"/>
                      <w:right w:w="100" w:type="dxa"/>
                    </w:tcMar>
                    <w:vAlign w:val="center"/>
                  </w:tcPr>
                  <w:p>
                    <w:pPr>
                      <w:widowControl w:val="0"/>
                      <w:jc w:val="center"/>
                      <w:rPr>
                        <w:szCs w:val="24"/>
                      </w:rPr>
                    </w:pPr>
                    <w:r>
                      <w:rPr>
                        <w:szCs w:val="24"/>
                      </w:rPr>
                      <w:t xml:space="preserve">Atviros pamokos </w:t>
                    </w:r>
                    <w:r>
                      <w:rPr>
                        <w:i/>
                        <w:szCs w:val="24"/>
                      </w:rPr>
                      <w:t>šalies, regiono*</w:t>
                    </w:r>
                    <w:r>
                      <w:rPr>
                        <w:szCs w:val="24"/>
                      </w:rPr>
                      <w:t xml:space="preserve"> vedimas – 5 balai</w:t>
                    </w:r>
                  </w:p>
                </w:tc>
              </w:tr>
              <w:tr>
                <w:trPr>
                  <w:trHeight w:val="506"/>
                  <w:jc w:val="center"/>
                </w:trPr>
                <w:tc>
                  <w:tcPr>
                    <w:tcW w:w="585" w:type="dxa"/>
                    <w:vMerge/>
                    <w:tcMar>
                      <w:top w:w="100" w:type="dxa"/>
                      <w:left w:w="100" w:type="dxa"/>
                      <w:bottom w:w="100" w:type="dxa"/>
                      <w:right w:w="100" w:type="dxa"/>
                    </w:tcMar>
                    <w:vAlign w:val="center"/>
                  </w:tcPr>
                  <w:p>
                    <w:pPr>
                      <w:widowControl w:val="0"/>
                      <w:jc w:val="center"/>
                      <w:rPr>
                        <w:szCs w:val="24"/>
                      </w:rPr>
                    </w:pPr>
                  </w:p>
                </w:tc>
                <w:tc>
                  <w:tcPr>
                    <w:tcW w:w="6776" w:type="dxa"/>
                    <w:vMerge/>
                    <w:tcMar>
                      <w:top w:w="100" w:type="dxa"/>
                      <w:left w:w="100" w:type="dxa"/>
                      <w:bottom w:w="100" w:type="dxa"/>
                      <w:right w:w="100" w:type="dxa"/>
                    </w:tcMar>
                    <w:vAlign w:val="center"/>
                  </w:tcPr>
                  <w:p>
                    <w:pPr>
                      <w:widowControl w:val="0"/>
                      <w:rPr>
                        <w:szCs w:val="24"/>
                        <w:highlight w:val="yellow"/>
                      </w:rPr>
                    </w:pPr>
                  </w:p>
                </w:tc>
                <w:tc>
                  <w:tcPr>
                    <w:tcW w:w="4639" w:type="dxa"/>
                    <w:tcMar>
                      <w:top w:w="100" w:type="dxa"/>
                      <w:left w:w="100" w:type="dxa"/>
                      <w:bottom w:w="100" w:type="dxa"/>
                      <w:right w:w="100" w:type="dxa"/>
                    </w:tcMar>
                    <w:vAlign w:val="center"/>
                  </w:tcPr>
                  <w:p>
                    <w:pPr>
                      <w:widowControl w:val="0"/>
                      <w:jc w:val="center"/>
                      <w:rPr>
                        <w:szCs w:val="24"/>
                      </w:rPr>
                    </w:pPr>
                    <w:r>
                      <w:rPr>
                        <w:szCs w:val="24"/>
                      </w:rPr>
                      <w:t xml:space="preserve">Seminaro vedimas </w:t>
                    </w:r>
                    <w:r>
                      <w:rPr>
                        <w:i/>
                        <w:szCs w:val="24"/>
                      </w:rPr>
                      <w:t>šalies, regiono*</w:t>
                    </w:r>
                    <w:r>
                      <w:rPr>
                        <w:szCs w:val="24"/>
                      </w:rPr>
                      <w:t xml:space="preserve"> ar rajono pedagogams – 4 balai</w:t>
                    </w:r>
                  </w:p>
                </w:tc>
              </w:tr>
              <w:tr>
                <w:trPr>
                  <w:trHeight w:val="506"/>
                  <w:jc w:val="center"/>
                </w:trPr>
                <w:tc>
                  <w:tcPr>
                    <w:tcW w:w="585" w:type="dxa"/>
                    <w:vMerge/>
                    <w:tcMar>
                      <w:top w:w="100" w:type="dxa"/>
                      <w:left w:w="100" w:type="dxa"/>
                      <w:bottom w:w="100" w:type="dxa"/>
                      <w:right w:w="100" w:type="dxa"/>
                    </w:tcMar>
                    <w:vAlign w:val="center"/>
                  </w:tcPr>
                  <w:p>
                    <w:pPr>
                      <w:widowControl w:val="0"/>
                      <w:jc w:val="center"/>
                      <w:rPr>
                        <w:szCs w:val="24"/>
                      </w:rPr>
                    </w:pPr>
                  </w:p>
                </w:tc>
                <w:tc>
                  <w:tcPr>
                    <w:tcW w:w="6776" w:type="dxa"/>
                    <w:vMerge/>
                    <w:tcMar>
                      <w:top w:w="100" w:type="dxa"/>
                      <w:left w:w="100" w:type="dxa"/>
                      <w:bottom w:w="100" w:type="dxa"/>
                      <w:right w:w="100" w:type="dxa"/>
                    </w:tcMar>
                    <w:vAlign w:val="center"/>
                  </w:tcPr>
                  <w:p>
                    <w:pPr>
                      <w:widowControl w:val="0"/>
                      <w:rPr>
                        <w:szCs w:val="24"/>
                        <w:highlight w:val="yellow"/>
                      </w:rPr>
                    </w:pPr>
                  </w:p>
                </w:tc>
                <w:tc>
                  <w:tcPr>
                    <w:tcW w:w="4639" w:type="dxa"/>
                    <w:tcMar>
                      <w:top w:w="100" w:type="dxa"/>
                      <w:left w:w="100" w:type="dxa"/>
                      <w:bottom w:w="100" w:type="dxa"/>
                      <w:right w:w="100" w:type="dxa"/>
                    </w:tcMar>
                    <w:vAlign w:val="center"/>
                  </w:tcPr>
                  <w:p>
                    <w:pPr>
                      <w:widowControl w:val="0"/>
                      <w:jc w:val="center"/>
                      <w:rPr>
                        <w:szCs w:val="24"/>
                      </w:rPr>
                    </w:pPr>
                    <w:r>
                      <w:rPr>
                        <w:szCs w:val="24"/>
                      </w:rPr>
                      <w:t>Metodinės medžiagos parengimas ir viešinimas*** – 3 balai</w:t>
                    </w:r>
                  </w:p>
                </w:tc>
              </w:tr>
              <w:tr>
                <w:trPr>
                  <w:trHeight w:val="255"/>
                  <w:jc w:val="center"/>
                </w:trPr>
                <w:tc>
                  <w:tcPr>
                    <w:tcW w:w="585" w:type="dxa"/>
                    <w:vMerge/>
                    <w:tcMar>
                      <w:top w:w="100" w:type="dxa"/>
                      <w:left w:w="100" w:type="dxa"/>
                      <w:bottom w:w="100" w:type="dxa"/>
                      <w:right w:w="100" w:type="dxa"/>
                    </w:tcMar>
                    <w:vAlign w:val="center"/>
                  </w:tcPr>
                  <w:p>
                    <w:pPr>
                      <w:widowControl w:val="0"/>
                      <w:jc w:val="center"/>
                      <w:rPr>
                        <w:szCs w:val="24"/>
                      </w:rPr>
                    </w:pPr>
                  </w:p>
                </w:tc>
                <w:tc>
                  <w:tcPr>
                    <w:tcW w:w="6776" w:type="dxa"/>
                    <w:vMerge/>
                    <w:tcMar>
                      <w:top w:w="100" w:type="dxa"/>
                      <w:left w:w="100" w:type="dxa"/>
                      <w:bottom w:w="100" w:type="dxa"/>
                      <w:right w:w="100" w:type="dxa"/>
                    </w:tcMar>
                    <w:vAlign w:val="center"/>
                  </w:tcPr>
                  <w:p>
                    <w:pPr>
                      <w:widowControl w:val="0"/>
                      <w:rPr>
                        <w:szCs w:val="24"/>
                        <w:highlight w:val="yellow"/>
                      </w:rPr>
                    </w:pPr>
                  </w:p>
                </w:tc>
                <w:tc>
                  <w:tcPr>
                    <w:tcW w:w="4639" w:type="dxa"/>
                    <w:tcMar>
                      <w:top w:w="100" w:type="dxa"/>
                      <w:left w:w="100" w:type="dxa"/>
                      <w:bottom w:w="100" w:type="dxa"/>
                      <w:right w:w="100" w:type="dxa"/>
                    </w:tcMar>
                    <w:vAlign w:val="center"/>
                  </w:tcPr>
                  <w:p>
                    <w:pPr>
                      <w:widowControl w:val="0"/>
                      <w:jc w:val="center"/>
                      <w:rPr>
                        <w:szCs w:val="24"/>
                      </w:rPr>
                    </w:pPr>
                    <w:r>
                      <w:rPr>
                        <w:szCs w:val="24"/>
                      </w:rPr>
                      <w:t xml:space="preserve">Pranešimo </w:t>
                    </w:r>
                    <w:r>
                      <w:rPr>
                        <w:i/>
                        <w:szCs w:val="24"/>
                      </w:rPr>
                      <w:t>šalies, regiono*</w:t>
                    </w:r>
                    <w:r>
                      <w:rPr>
                        <w:szCs w:val="24"/>
                      </w:rPr>
                      <w:t xml:space="preserve"> skaitymas – 2 balai</w:t>
                    </w:r>
                  </w:p>
                </w:tc>
              </w:tr>
              <w:tr>
                <w:trPr>
                  <w:trHeight w:val="128"/>
                  <w:jc w:val="center"/>
                </w:trPr>
                <w:tc>
                  <w:tcPr>
                    <w:tcW w:w="585" w:type="dxa"/>
                    <w:vMerge/>
                    <w:tcMar>
                      <w:top w:w="100" w:type="dxa"/>
                      <w:left w:w="100" w:type="dxa"/>
                      <w:bottom w:w="100" w:type="dxa"/>
                      <w:right w:w="100" w:type="dxa"/>
                    </w:tcMar>
                    <w:vAlign w:val="center"/>
                  </w:tcPr>
                  <w:p>
                    <w:pPr>
                      <w:widowControl w:val="0"/>
                      <w:jc w:val="center"/>
                      <w:rPr>
                        <w:szCs w:val="24"/>
                      </w:rPr>
                    </w:pPr>
                  </w:p>
                </w:tc>
                <w:tc>
                  <w:tcPr>
                    <w:tcW w:w="6776" w:type="dxa"/>
                    <w:vMerge/>
                    <w:tcMar>
                      <w:top w:w="100" w:type="dxa"/>
                      <w:left w:w="100" w:type="dxa"/>
                      <w:bottom w:w="100" w:type="dxa"/>
                      <w:right w:w="100" w:type="dxa"/>
                    </w:tcMar>
                    <w:vAlign w:val="center"/>
                  </w:tcPr>
                  <w:p>
                    <w:pPr>
                      <w:widowControl w:val="0"/>
                      <w:rPr>
                        <w:szCs w:val="24"/>
                        <w:highlight w:val="yellow"/>
                      </w:rPr>
                    </w:pPr>
                  </w:p>
                </w:tc>
                <w:tc>
                  <w:tcPr>
                    <w:tcW w:w="4639" w:type="dxa"/>
                    <w:tcMar>
                      <w:top w:w="100" w:type="dxa"/>
                      <w:left w:w="100" w:type="dxa"/>
                      <w:bottom w:w="100" w:type="dxa"/>
                      <w:right w:w="100" w:type="dxa"/>
                    </w:tcMar>
                    <w:vAlign w:val="center"/>
                  </w:tcPr>
                  <w:p>
                    <w:pPr>
                      <w:widowControl w:val="0"/>
                      <w:jc w:val="center"/>
                      <w:rPr>
                        <w:szCs w:val="24"/>
                      </w:rPr>
                    </w:pPr>
                    <w:r>
                      <w:rPr>
                        <w:szCs w:val="24"/>
                      </w:rPr>
                      <w:t>Parodų</w:t>
                    </w:r>
                    <w:r>
                      <w:rPr>
                        <w:i/>
                        <w:szCs w:val="24"/>
                      </w:rPr>
                      <w:t xml:space="preserve"> šalies, regiono*</w:t>
                    </w:r>
                    <w:r>
                      <w:rPr>
                        <w:szCs w:val="24"/>
                      </w:rPr>
                      <w:t xml:space="preserve"> rengimas – 2 balai</w:t>
                    </w:r>
                  </w:p>
                </w:tc>
              </w:tr>
              <w:tr>
                <w:trPr>
                  <w:trHeight w:val="127"/>
                  <w:jc w:val="center"/>
                </w:trPr>
                <w:tc>
                  <w:tcPr>
                    <w:tcW w:w="585" w:type="dxa"/>
                    <w:vMerge/>
                    <w:tcMar>
                      <w:top w:w="100" w:type="dxa"/>
                      <w:left w:w="100" w:type="dxa"/>
                      <w:bottom w:w="100" w:type="dxa"/>
                      <w:right w:w="100" w:type="dxa"/>
                    </w:tcMar>
                    <w:vAlign w:val="center"/>
                  </w:tcPr>
                  <w:p>
                    <w:pPr>
                      <w:widowControl w:val="0"/>
                      <w:jc w:val="center"/>
                      <w:rPr>
                        <w:szCs w:val="24"/>
                      </w:rPr>
                    </w:pPr>
                  </w:p>
                </w:tc>
                <w:tc>
                  <w:tcPr>
                    <w:tcW w:w="6776" w:type="dxa"/>
                    <w:vMerge/>
                    <w:tcMar>
                      <w:top w:w="100" w:type="dxa"/>
                      <w:left w:w="100" w:type="dxa"/>
                      <w:bottom w:w="100" w:type="dxa"/>
                      <w:right w:w="100" w:type="dxa"/>
                    </w:tcMar>
                    <w:vAlign w:val="center"/>
                  </w:tcPr>
                  <w:p>
                    <w:pPr>
                      <w:widowControl w:val="0"/>
                      <w:rPr>
                        <w:szCs w:val="24"/>
                        <w:highlight w:val="yellow"/>
                      </w:rPr>
                    </w:pPr>
                  </w:p>
                </w:tc>
                <w:tc>
                  <w:tcPr>
                    <w:tcW w:w="4639" w:type="dxa"/>
                    <w:tcMar>
                      <w:top w:w="100" w:type="dxa"/>
                      <w:left w:w="100" w:type="dxa"/>
                      <w:bottom w:w="100" w:type="dxa"/>
                      <w:right w:w="100" w:type="dxa"/>
                    </w:tcMar>
                    <w:vAlign w:val="center"/>
                  </w:tcPr>
                  <w:p>
                    <w:pPr>
                      <w:widowControl w:val="0"/>
                      <w:jc w:val="center"/>
                      <w:rPr>
                        <w:szCs w:val="24"/>
                      </w:rPr>
                    </w:pPr>
                    <w:r>
                      <w:rPr>
                        <w:szCs w:val="24"/>
                      </w:rPr>
                      <w:t>Kita gerosios patirties dalijimosi veikla – 1 balas</w:t>
                    </w:r>
                  </w:p>
                </w:tc>
              </w:tr>
              <w:tr>
                <w:trPr>
                  <w:jc w:val="center"/>
                </w:trPr>
                <w:tc>
                  <w:tcPr>
                    <w:tcW w:w="585" w:type="dxa"/>
                    <w:tcMar>
                      <w:top w:w="100" w:type="dxa"/>
                      <w:left w:w="100" w:type="dxa"/>
                      <w:bottom w:w="100" w:type="dxa"/>
                      <w:right w:w="100" w:type="dxa"/>
                    </w:tcMar>
                  </w:tcPr>
                  <w:p>
                    <w:pPr>
                      <w:widowControl w:val="0"/>
                      <w:jc w:val="center"/>
                      <w:rPr>
                        <w:szCs w:val="24"/>
                      </w:rPr>
                    </w:pPr>
                    <w:r>
                      <w:rPr>
                        <w:szCs w:val="24"/>
                      </w:rPr>
                      <w:t>11.</w:t>
                    </w:r>
                  </w:p>
                </w:tc>
                <w:tc>
                  <w:tcPr>
                    <w:tcW w:w="6776" w:type="dxa"/>
                    <w:tcMar>
                      <w:top w:w="100" w:type="dxa"/>
                      <w:left w:w="100" w:type="dxa"/>
                      <w:bottom w:w="100" w:type="dxa"/>
                      <w:right w:w="100" w:type="dxa"/>
                    </w:tcMar>
                    <w:vAlign w:val="center"/>
                  </w:tcPr>
                  <w:p>
                    <w:pPr>
                      <w:widowControl w:val="0"/>
                      <w:rPr>
                        <w:szCs w:val="24"/>
                      </w:rPr>
                    </w:pPr>
                    <w:r>
                      <w:rPr>
                        <w:szCs w:val="24"/>
                      </w:rPr>
                      <w:t>Dalyvavimas vertinant projektus bei programas (savivaldybės inicijuojamus ir finansuojamus, inicijuotus kitų institucijų)</w:t>
                    </w:r>
                  </w:p>
                </w:tc>
                <w:tc>
                  <w:tcPr>
                    <w:tcW w:w="4639" w:type="dxa"/>
                    <w:tcMar>
                      <w:top w:w="100" w:type="dxa"/>
                      <w:left w:w="100" w:type="dxa"/>
                      <w:bottom w:w="100" w:type="dxa"/>
                      <w:right w:w="100" w:type="dxa"/>
                    </w:tcMar>
                    <w:vAlign w:val="center"/>
                  </w:tcPr>
                  <w:p>
                    <w:pPr>
                      <w:widowControl w:val="0"/>
                      <w:jc w:val="center"/>
                      <w:rPr>
                        <w:szCs w:val="24"/>
                      </w:rPr>
                    </w:pPr>
                    <w:r>
                      <w:rPr>
                        <w:szCs w:val="24"/>
                      </w:rPr>
                      <w:t xml:space="preserve">Dalyvavimas vienos vertinimo komisijos darbe </w:t>
                      <w:br w:type="page"/>
                      <w:t>– 3 balai</w:t>
                    </w:r>
                  </w:p>
                </w:tc>
              </w:tr>
              <w:tr>
                <w:trPr>
                  <w:jc w:val="center"/>
                </w:trPr>
                <w:tc>
                  <w:tcPr>
                    <w:tcW w:w="585" w:type="dxa"/>
                    <w:tcMar>
                      <w:top w:w="100" w:type="dxa"/>
                      <w:left w:w="100" w:type="dxa"/>
                      <w:bottom w:w="100" w:type="dxa"/>
                      <w:right w:w="100" w:type="dxa"/>
                    </w:tcMar>
                  </w:tcPr>
                  <w:p>
                    <w:pPr>
                      <w:widowControl w:val="0"/>
                      <w:jc w:val="center"/>
                      <w:rPr>
                        <w:szCs w:val="24"/>
                      </w:rPr>
                    </w:pPr>
                    <w:r>
                      <w:rPr>
                        <w:szCs w:val="24"/>
                      </w:rPr>
                      <w:t>12.</w:t>
                    </w:r>
                  </w:p>
                </w:tc>
                <w:tc>
                  <w:tcPr>
                    <w:tcW w:w="6776" w:type="dxa"/>
                    <w:tcMar>
                      <w:top w:w="100" w:type="dxa"/>
                      <w:left w:w="100" w:type="dxa"/>
                      <w:bottom w:w="100" w:type="dxa"/>
                      <w:right w:w="100" w:type="dxa"/>
                    </w:tcMar>
                    <w:vAlign w:val="center"/>
                  </w:tcPr>
                  <w:p>
                    <w:pPr>
                      <w:widowControl w:val="0"/>
                      <w:rPr>
                        <w:szCs w:val="24"/>
                      </w:rPr>
                    </w:pPr>
                    <w:r>
                      <w:rPr>
                        <w:szCs w:val="24"/>
                      </w:rPr>
                      <w:t>Kitos (pilietinė, socialinė iniciatyvos, savanorystė ir kt.) reikšmingos veiklos savivaldybėje</w:t>
                    </w:r>
                  </w:p>
                </w:tc>
                <w:tc>
                  <w:tcPr>
                    <w:tcW w:w="4639" w:type="dxa"/>
                    <w:tcMar>
                      <w:top w:w="100" w:type="dxa"/>
                      <w:left w:w="100" w:type="dxa"/>
                      <w:bottom w:w="100" w:type="dxa"/>
                      <w:right w:w="100" w:type="dxa"/>
                    </w:tcMar>
                    <w:vAlign w:val="center"/>
                  </w:tcPr>
                  <w:p>
                    <w:pPr>
                      <w:widowControl w:val="0"/>
                      <w:jc w:val="center"/>
                      <w:rPr>
                        <w:szCs w:val="24"/>
                      </w:rPr>
                    </w:pPr>
                    <w:r>
                      <w:rPr>
                        <w:szCs w:val="24"/>
                      </w:rPr>
                      <w:t>Viena veikla – 1 balas</w:t>
                    </w:r>
                  </w:p>
                </w:tc>
              </w:tr>
              <w:tr>
                <w:trPr>
                  <w:jc w:val="center"/>
                </w:trPr>
                <w:tc>
                  <w:tcPr>
                    <w:tcW w:w="585" w:type="dxa"/>
                    <w:tcMar>
                      <w:top w:w="100" w:type="dxa"/>
                      <w:left w:w="100" w:type="dxa"/>
                      <w:bottom w:w="100" w:type="dxa"/>
                      <w:right w:w="100" w:type="dxa"/>
                    </w:tcMar>
                  </w:tcPr>
                  <w:p>
                    <w:pPr>
                      <w:widowControl w:val="0"/>
                      <w:jc w:val="center"/>
                      <w:rPr>
                        <w:szCs w:val="24"/>
                      </w:rPr>
                    </w:pPr>
                    <w:r>
                      <w:rPr>
                        <w:szCs w:val="24"/>
                      </w:rPr>
                      <w:t>13.</w:t>
                    </w:r>
                  </w:p>
                  <w:p>
                    <w:pPr>
                      <w:widowControl w:val="0"/>
                      <w:jc w:val="center"/>
                      <w:rPr>
                        <w:szCs w:val="24"/>
                      </w:rPr>
                    </w:pPr>
                  </w:p>
                </w:tc>
                <w:tc>
                  <w:tcPr>
                    <w:tcW w:w="6776" w:type="dxa"/>
                    <w:tcMar>
                      <w:top w:w="100" w:type="dxa"/>
                      <w:left w:w="100" w:type="dxa"/>
                      <w:bottom w:w="100" w:type="dxa"/>
                      <w:right w:w="100" w:type="dxa"/>
                    </w:tcMar>
                    <w:vAlign w:val="center"/>
                  </w:tcPr>
                  <w:p>
                    <w:pPr>
                      <w:rPr>
                        <w:szCs w:val="24"/>
                      </w:rPr>
                    </w:pPr>
                    <w:r>
                      <w:rPr>
                        <w:szCs w:val="24"/>
                      </w:rPr>
                      <w:t>Parengtų mokinių valstybiniam brandos egzaminui rezultatai</w:t>
                    </w:r>
                  </w:p>
                  <w:p>
                    <w:pPr>
                      <w:rPr>
                        <w:szCs w:val="24"/>
                      </w:rPr>
                    </w:pPr>
                  </w:p>
                </w:tc>
                <w:tc>
                  <w:tcPr>
                    <w:tcW w:w="4639" w:type="dxa"/>
                    <w:tcMar>
                      <w:top w:w="100" w:type="dxa"/>
                      <w:left w:w="100" w:type="dxa"/>
                      <w:bottom w:w="100" w:type="dxa"/>
                      <w:right w:w="100" w:type="dxa"/>
                    </w:tcMar>
                    <w:vAlign w:val="center"/>
                  </w:tcPr>
                  <w:p>
                    <w:pPr>
                      <w:jc w:val="center"/>
                      <w:rPr>
                        <w:szCs w:val="24"/>
                      </w:rPr>
                    </w:pPr>
                    <w:r>
                      <w:rPr>
                        <w:szCs w:val="24"/>
                      </w:rPr>
                      <w:t>Už kiekvieną mokinį, gavusį 100 balų – 5 balai</w:t>
                    </w:r>
                  </w:p>
                  <w:p>
                    <w:pPr>
                      <w:widowControl w:val="0"/>
                      <w:jc w:val="center"/>
                      <w:rPr>
                        <w:szCs w:val="24"/>
                      </w:rPr>
                    </w:pPr>
                  </w:p>
                </w:tc>
              </w:tr>
            </w:tbl>
            <w:p>
              <w:pPr>
                <w:widowControl w:val="0"/>
                <w:rPr>
                  <w:szCs w:val="24"/>
                </w:rPr>
              </w:pPr>
            </w:p>
          </w:sdtContent>
        </w:sdt>
        <w:sdt>
          <w:sdtPr>
            <w:alias w:val="pastraipa"/>
            <w:tag w:val="part_091169202f78436cb0a6e83350752ee2"/>
            <w:lock w:val="sdtLocked"/>
            <w:richText/>
          </w:sdtPr>
          <w:sdtContent>
            <w:p>
              <w:pPr>
                <w:widowControl w:val="0"/>
                <w:rPr>
                  <w:szCs w:val="24"/>
                </w:rPr>
              </w:pPr>
              <w:r>
                <w:rPr>
                  <w:szCs w:val="24"/>
                </w:rPr>
                <w:t>*Pateikti patvirtinantį dokumentą.</w:t>
              </w:r>
            </w:p>
          </w:sdtContent>
        </w:sdt>
        <w:sdt>
          <w:sdtPr>
            <w:alias w:val="pastraipa"/>
            <w:tag w:val="part_d30ba8e64bf64fa4806c5cace1c7b26f"/>
            <w:lock w:val="sdtLocked"/>
            <w:richText/>
          </w:sdtPr>
          <w:sdtContent>
            <w:p>
              <w:pPr>
                <w:widowControl w:val="0"/>
                <w:rPr>
                  <w:szCs w:val="24"/>
                </w:rPr>
              </w:pPr>
              <w:r>
                <w:rPr>
                  <w:szCs w:val="24"/>
                </w:rPr>
                <w:t>**Vertinant sporto komandos atitiktį vertinimo kriterijams, balai skiriami už komandą kaip vienetą.</w:t>
              </w:r>
            </w:p>
          </w:sdtContent>
        </w:sdt>
        <w:sdt>
          <w:sdtPr>
            <w:alias w:val="pastraipa"/>
            <w:tag w:val="part_17b97da4b22b4b8ab4ce03fe0482ea86"/>
            <w:lock w:val="sdtLocked"/>
            <w:richText/>
          </w:sdtPr>
          <w:sdtContent>
            <w:p>
              <w:pPr>
                <w:widowControl w:val="0"/>
                <w:rPr>
                  <w:szCs w:val="24"/>
                </w:rPr>
              </w:pPr>
              <w:r>
                <w:rPr>
                  <w:szCs w:val="24"/>
                </w:rPr>
                <w:t xml:space="preserve">***Viešinamas Radviliškio r. sav. švietimo ir sporto paslaugų centro Suaugusiųjų ir jaunimo neformaliojo ugdymo skyriaus Edukaciniame banke </w:t>
              </w:r>
              <w:r>
                <w:rPr>
                  <w:color w:val="0000FF"/>
                  <w:szCs w:val="24"/>
                  <w:u w:val="single"/>
                </w:rPr>
                <w:t>https://sjnus.radviliskiopc.lt/pedagogu-profesinis-tobulejimas/edukacinis-patirties-bankas/</w:t>
              </w:r>
              <w:r>
                <w:rPr>
                  <w:szCs w:val="24"/>
                </w:rPr>
                <w:t xml:space="preserve"> </w:t>
              </w:r>
            </w:p>
            <w:p>
              <w:pPr>
                <w:widowControl w:val="0"/>
                <w:spacing w:line="276" w:lineRule="auto"/>
                <w:rPr>
                  <w:szCs w:val="24"/>
                </w:rPr>
              </w:pPr>
            </w:p>
            <w:p>
              <w:pPr>
                <w:rPr>
                  <w:sz w:val="18"/>
                  <w:szCs w:val="18"/>
                </w:rPr>
              </w:pPr>
            </w:p>
            <w:p>
              <w:pPr>
                <w:widowControl w:val="0"/>
                <w:spacing w:line="276" w:lineRule="auto"/>
                <w:rPr>
                  <w:szCs w:val="24"/>
                </w:rPr>
              </w:pPr>
            </w:p>
            <w:p>
              <w:pPr>
                <w:rPr>
                  <w:sz w:val="18"/>
                  <w:szCs w:val="18"/>
                </w:rPr>
              </w:pPr>
            </w:p>
            <w:p>
              <w:pPr>
                <w:widowControl w:val="0"/>
                <w:spacing w:line="276" w:lineRule="auto"/>
                <w:rPr>
                  <w:szCs w:val="24"/>
                </w:rPr>
              </w:pPr>
            </w:p>
            <w:p>
              <w:pPr>
                <w:rPr>
                  <w:sz w:val="18"/>
                  <w:szCs w:val="18"/>
                </w:rPr>
              </w:pPr>
            </w:p>
            <w:p>
              <w:pPr>
                <w:widowControl w:val="0"/>
                <w:spacing w:line="276" w:lineRule="auto"/>
                <w:rPr>
                  <w:szCs w:val="24"/>
                </w:rPr>
              </w:pPr>
            </w:p>
            <w:p>
              <w:pPr>
                <w:rPr>
                  <w:sz w:val="18"/>
                  <w:szCs w:val="18"/>
                </w:rPr>
              </w:pPr>
            </w:p>
            <w:p>
              <w:pPr>
                <w:widowControl w:val="0"/>
                <w:spacing w:line="276" w:lineRule="auto"/>
                <w:rPr>
                  <w:szCs w:val="24"/>
                </w:rPr>
              </w:pPr>
            </w:p>
            <w:p>
              <w:pPr>
                <w:rPr>
                  <w:sz w:val="18"/>
                  <w:szCs w:val="18"/>
                </w:rPr>
              </w:pPr>
            </w:p>
            <w:p>
              <w:pPr>
                <w:widowControl w:val="0"/>
                <w:spacing w:line="276" w:lineRule="auto"/>
                <w:rPr>
                  <w:szCs w:val="24"/>
                </w:rPr>
              </w:pPr>
            </w:p>
            <w:p>
              <w:pPr>
                <w:rPr>
                  <w:sz w:val="18"/>
                  <w:szCs w:val="18"/>
                </w:rPr>
              </w:pPr>
            </w:p>
            <w:p>
              <w:pPr>
                <w:widowControl w:val="0"/>
                <w:spacing w:line="276" w:lineRule="auto"/>
                <w:rPr>
                  <w:szCs w:val="24"/>
                </w:rPr>
                <w:sectPr>
                  <w:pgSz w:w="16838" w:h="11906" w:orient="landscape"/>
                  <w:pgMar w:top="709" w:right="1701" w:bottom="567" w:left="1134" w:header="567" w:footer="567" w:gutter="0"/>
                  <w:cols w:space="1296"/>
                  <w:docGrid w:linePitch="360"/>
                </w:sectPr>
              </w:pPr>
            </w:p>
            <w:p>
              <w:pPr>
                <w:rPr>
                  <w:sz w:val="18"/>
                  <w:szCs w:val="18"/>
                </w:rPr>
              </w:pPr>
            </w:p>
          </w:sdtContent>
        </w:sdt>
        <w:sdt>
          <w:sdtPr>
            <w:alias w:val="skirsnis"/>
            <w:tag w:val="part_b6de2dff57f64b8499a17dee99596ddd"/>
            <w:lock w:val="sdtLocked"/>
            <w:richText/>
          </w:sdtPr>
          <w:sdtContent>
            <w:sdt>
              <w:sdtPr>
                <w:alias w:val="Pavadinimas"/>
                <w:tag w:val="title_b6de2dff57f64b8499a17dee99596ddd"/>
                <w:lock w:val="sdtLocked"/>
                <w:richText/>
              </w:sdtPr>
              <w:sdtContent>
                <w:p>
                  <w:pPr>
                    <w:widowControl w:val="0"/>
                    <w:jc w:val="center"/>
                    <w:rPr>
                      <w:b/>
                      <w:bCs/>
                      <w:szCs w:val="24"/>
                    </w:rPr>
                  </w:pPr>
                  <w:r>
                    <w:rPr>
                      <w:b/>
                      <w:bCs/>
                      <w:szCs w:val="24"/>
                    </w:rPr>
                    <w:t>RADVILIŠKIO RAJONO SAVIVALDYBĖS TARYBOS SPRENDIMO PROJEKTO</w:t>
                  </w:r>
                </w:p>
                <w:p>
                  <w:pPr>
                    <w:widowControl w:val="0"/>
                    <w:jc w:val="center"/>
                    <w:rPr>
                      <w:b/>
                      <w:bCs/>
                      <w:szCs w:val="24"/>
                    </w:rPr>
                  </w:pPr>
                  <w:r>
                    <w:rPr>
                      <w:b/>
                      <w:bCs/>
                      <w:szCs w:val="24"/>
                    </w:rPr>
                    <w:t xml:space="preserve">„RADVILIŠKIO RAJONO SAVIVALDYBĖS REZULTATYVIAI DIRBANČIŲ MOKYTOJŲ SKATINIMO IR MATERIALINĖS PARAMOS TEIKIMO </w:t>
                  </w:r>
                </w:p>
                <w:p>
                  <w:pPr>
                    <w:widowControl w:val="0"/>
                    <w:jc w:val="center"/>
                    <w:rPr>
                      <w:b/>
                      <w:bCs/>
                      <w:szCs w:val="24"/>
                    </w:rPr>
                  </w:pPr>
                  <w:r>
                    <w:rPr>
                      <w:b/>
                      <w:bCs/>
                      <w:szCs w:val="24"/>
                    </w:rPr>
                    <w:t>TVARKOS APRAŠO PATVIRTINIMO“</w:t>
                  </w:r>
                </w:p>
                <w:p>
                  <w:pPr>
                    <w:widowControl w:val="0"/>
                    <w:jc w:val="center"/>
                    <w:rPr>
                      <w:b/>
                      <w:bCs/>
                      <w:szCs w:val="24"/>
                    </w:rPr>
                  </w:pPr>
                  <w:r>
                    <w:rPr>
                      <w:b/>
                      <w:bCs/>
                      <w:szCs w:val="24"/>
                    </w:rPr>
                    <w:t>AIŠKINAMASIS RAŠTAS</w:t>
                  </w:r>
                </w:p>
              </w:sdtContent>
            </w:sdt>
            <w:p>
              <w:pPr>
                <w:widowControl w:val="0"/>
                <w:jc w:val="center"/>
                <w:rPr>
                  <w:szCs w:val="24"/>
                </w:rPr>
              </w:pPr>
            </w:p>
            <w:p>
              <w:pPr>
                <w:widowControl w:val="0"/>
                <w:jc w:val="center"/>
                <w:rPr>
                  <w:szCs w:val="24"/>
                </w:rPr>
              </w:pPr>
              <w:r>
                <w:rPr>
                  <w:szCs w:val="24"/>
                </w:rPr>
                <w:t>2025 m. rugpjūčio 1 d.</w:t>
              </w:r>
            </w:p>
            <w:p>
              <w:pPr>
                <w:widowControl w:val="0"/>
                <w:jc w:val="center"/>
                <w:rPr>
                  <w:szCs w:val="24"/>
                </w:rPr>
              </w:pPr>
              <w:r>
                <w:rPr>
                  <w:szCs w:val="24"/>
                </w:rPr>
                <w:t>Radviliškis</w:t>
              </w:r>
            </w:p>
            <w:p>
              <w:pPr>
                <w:widowControl w:val="0"/>
                <w:rPr>
                  <w:szCs w:val="24"/>
                </w:rPr>
              </w:pPr>
            </w:p>
            <w:sdt>
              <w:sdtPr>
                <w:alias w:val="1 pr. 1 p."/>
                <w:tag w:val="part_833b6b34678c46bf9e3652eec1745f9d"/>
                <w:lock w:val="sdtLocked"/>
                <w:richText/>
              </w:sdtPr>
              <w:sdtContent>
                <w:p>
                  <w:pPr>
                    <w:widowControl w:val="0"/>
                    <w:tabs>
                      <w:tab w:val="left" w:pos="851"/>
                    </w:tabs>
                    <w:ind w:firstLine="851"/>
                    <w:jc w:val="both"/>
                    <w:rPr>
                      <w:b/>
                      <w:bCs/>
                      <w:szCs w:val="24"/>
                    </w:rPr>
                  </w:pPr>
                  <w:sdt>
                    <w:sdtPr>
                      <w:alias w:val="Numeris"/>
                      <w:tag w:val="nr_833b6b34678c46bf9e3652eec1745f9d"/>
                      <w:lock w:val="sdtLocked"/>
                      <w:richText/>
                    </w:sdtPr>
                    <w:sdtContent>
                      <w:r>
                        <w:rPr>
                          <w:b/>
                          <w:bCs/>
                          <w:szCs w:val="24"/>
                        </w:rPr>
                        <w:t>1</w:t>
                      </w:r>
                    </w:sdtContent>
                  </w:sdt>
                  <w:r>
                    <w:rPr>
                      <w:b/>
                      <w:bCs/>
                      <w:szCs w:val="24"/>
                    </w:rPr>
                    <w:t>. Projekto rengimą paskatinusios priežastys, parengto projekto tikslai ir uždaviniai.</w:t>
                  </w:r>
                </w:p>
                <w:p>
                  <w:pPr>
                    <w:tabs>
                      <w:tab w:val="left" w:pos="709"/>
                      <w:tab w:val="left" w:pos="851"/>
                    </w:tabs>
                    <w:ind w:right="-2" w:firstLine="833"/>
                    <w:jc w:val="both"/>
                    <w:rPr>
                      <w:szCs w:val="24"/>
                      <w:lang w:eastAsia="lt-LT"/>
                    </w:rPr>
                  </w:pPr>
                  <w:r>
                    <w:rPr>
                      <w:szCs w:val="24"/>
                    </w:rPr>
                    <w:t xml:space="preserve">Parengto sprendimo projekto tikslas – </w:t>
                  </w:r>
                  <w:r>
                    <w:rPr>
                      <w:szCs w:val="24"/>
                      <w:lang w:eastAsia="lt-LT"/>
                    </w:rPr>
                    <w:t>nuosekliai įvertinti rezultatyviai dirbančių mokytojų profesinės veiklos pasiekimus, rezultatus ir skatinti jų profesinę bei kūrybinę iniciatyvą.</w:t>
                  </w:r>
                </w:p>
              </w:sdtContent>
            </w:sdt>
            <w:sdt>
              <w:sdtPr>
                <w:alias w:val="1 pr. 2 p."/>
                <w:tag w:val="part_3cdcc6102b28415f98690dc0b076e1cb"/>
                <w:lock w:val="sdtLocked"/>
                <w:richText/>
              </w:sdtPr>
              <w:sdtContent>
                <w:p>
                  <w:pPr>
                    <w:tabs>
                      <w:tab w:val="left" w:pos="851"/>
                    </w:tabs>
                    <w:ind w:right="-2" w:firstLine="851"/>
                    <w:jc w:val="both"/>
                    <w:rPr>
                      <w:szCs w:val="24"/>
                      <w:lang w:eastAsia="lt-LT"/>
                    </w:rPr>
                  </w:pPr>
                  <w:sdt>
                    <w:sdtPr>
                      <w:alias w:val="Numeris"/>
                      <w:tag w:val="nr_3cdcc6102b28415f98690dc0b076e1cb"/>
                      <w:lock w:val="sdtLocked"/>
                      <w:richText/>
                    </w:sdtPr>
                    <w:sdtContent>
                      <w:r>
                        <w:rPr>
                          <w:b/>
                          <w:bCs/>
                          <w:szCs w:val="24"/>
                        </w:rPr>
                        <w:t>2</w:t>
                      </w:r>
                    </w:sdtContent>
                  </w:sdt>
                  <w:r>
                    <w:rPr>
                      <w:b/>
                      <w:bCs/>
                      <w:szCs w:val="24"/>
                    </w:rPr>
                    <w:t>. Projekto iniciatoriai (institucija, asmenys ar piliečių atstovai) ir rengėjai.</w:t>
                  </w:r>
                </w:p>
                <w:p>
                  <w:pPr>
                    <w:widowControl w:val="0"/>
                    <w:ind w:firstLine="851"/>
                    <w:jc w:val="both"/>
                    <w:rPr>
                      <w:szCs w:val="24"/>
                    </w:rPr>
                  </w:pPr>
                  <w:r>
                    <w:rPr>
                      <w:szCs w:val="24"/>
                    </w:rPr>
                    <w:t>Radviliškio rajono savivaldybės administracijos Švietimo ir sporto skyrius.</w:t>
                  </w:r>
                </w:p>
              </w:sdtContent>
            </w:sdt>
            <w:sdt>
              <w:sdtPr>
                <w:alias w:val="1 pr. 3 p."/>
                <w:tag w:val="part_5222dbbad9384b3bac77b7d29a6d76a9"/>
                <w:lock w:val="sdtLocked"/>
                <w:richText/>
              </w:sdtPr>
              <w:sdtContent>
                <w:p>
                  <w:pPr>
                    <w:widowControl w:val="0"/>
                    <w:tabs>
                      <w:tab w:val="left" w:pos="851"/>
                    </w:tabs>
                    <w:ind w:firstLine="851"/>
                    <w:jc w:val="both"/>
                    <w:rPr>
                      <w:b/>
                      <w:bCs/>
                      <w:szCs w:val="24"/>
                    </w:rPr>
                  </w:pPr>
                  <w:sdt>
                    <w:sdtPr>
                      <w:alias w:val="Numeris"/>
                      <w:tag w:val="nr_5222dbbad9384b3bac77b7d29a6d76a9"/>
                      <w:lock w:val="sdtLocked"/>
                      <w:richText/>
                    </w:sdtPr>
                    <w:sdtContent>
                      <w:r>
                        <w:rPr>
                          <w:b/>
                          <w:bCs/>
                          <w:szCs w:val="24"/>
                        </w:rPr>
                        <w:t>3</w:t>
                      </w:r>
                    </w:sdtContent>
                  </w:sdt>
                  <w:r>
                    <w:rPr>
                      <w:b/>
                      <w:bCs/>
                      <w:szCs w:val="24"/>
                    </w:rPr>
                    <w:t>. Kaip šiuo metu yra reguliuojami sprendimo projekte aptarti teisiniai santykiai.</w:t>
                  </w:r>
                </w:p>
                <w:p>
                  <w:pPr>
                    <w:widowControl w:val="0"/>
                    <w:ind w:firstLine="851"/>
                    <w:jc w:val="both"/>
                    <w:rPr>
                      <w:szCs w:val="24"/>
                    </w:rPr>
                  </w:pPr>
                  <w:r>
                    <w:rPr>
                      <w:szCs w:val="24"/>
                    </w:rPr>
                    <w:t>Šiuo metu tokio teisės akto nėra, pedagogų darbo užmokestis nustatytas pagal mokyklos darbo apmokėjimo sistemą.</w:t>
                  </w:r>
                </w:p>
              </w:sdtContent>
            </w:sdt>
            <w:sdt>
              <w:sdtPr>
                <w:alias w:val="1 pr. 4 p."/>
                <w:tag w:val="part_38b3b752071e4064b9d8ec216dea2079"/>
                <w:lock w:val="sdtLocked"/>
                <w:richText/>
              </w:sdtPr>
              <w:sdtContent>
                <w:p>
                  <w:pPr>
                    <w:widowControl w:val="0"/>
                    <w:tabs>
                      <w:tab w:val="left" w:pos="854"/>
                    </w:tabs>
                    <w:ind w:firstLine="854"/>
                    <w:jc w:val="both"/>
                    <w:rPr>
                      <w:b/>
                      <w:bCs/>
                      <w:szCs w:val="24"/>
                    </w:rPr>
                  </w:pPr>
                  <w:sdt>
                    <w:sdtPr>
                      <w:alias w:val="Numeris"/>
                      <w:tag w:val="nr_38b3b752071e4064b9d8ec216dea2079"/>
                      <w:lock w:val="sdtLocked"/>
                      <w:richText/>
                    </w:sdtPr>
                    <w:sdtContent>
                      <w:r>
                        <w:rPr>
                          <w:b/>
                          <w:bCs/>
                          <w:szCs w:val="24"/>
                        </w:rPr>
                        <w:t>4</w:t>
                      </w:r>
                    </w:sdtContent>
                  </w:sdt>
                  <w:r>
                    <w:rPr>
                      <w:b/>
                      <w:bCs/>
                      <w:szCs w:val="24"/>
                    </w:rPr>
                    <w:t>. Kokios siūlomos naujos teisinio reguliavimo nuostatos, kokių teigiamų rezultatų laukiama.</w:t>
                  </w:r>
                </w:p>
                <w:p>
                  <w:pPr>
                    <w:widowControl w:val="0"/>
                    <w:tabs>
                      <w:tab w:val="left" w:pos="854"/>
                    </w:tabs>
                    <w:ind w:firstLine="916"/>
                    <w:jc w:val="both"/>
                    <w:rPr>
                      <w:szCs w:val="24"/>
                      <w:lang w:eastAsia="lt-LT"/>
                    </w:rPr>
                  </w:pPr>
                  <w:r>
                    <w:rPr>
                      <w:szCs w:val="24"/>
                      <w:lang w:eastAsia="lt-LT"/>
                    </w:rPr>
                    <w:t>2025–2027 m. strateginio veiklos plano 2 programos 1 uždavinio 22 priemonė „Skatinti rezultatyviai dirbančių mokytojų profesinę bei kūrybinę iniciatyvą“ patvirtinta Radviliškio rajono savivaldybės tarybos 2025 m. vasario 13 d. sprendimu Nr. T-556 „Dėl Radviliškio rajono savivaldybės 2025–2027 metų strateginio veiklos plano patvirtinimo“</w:t>
                  </w:r>
                  <w:r>
                    <w:rPr>
                      <w:color w:val="FF0000"/>
                      <w:szCs w:val="24"/>
                      <w:lang w:eastAsia="lt-LT"/>
                    </w:rPr>
                    <w:t xml:space="preserve"> </w:t>
                  </w:r>
                  <w:r>
                    <w:rPr>
                      <w:szCs w:val="24"/>
                      <w:lang w:eastAsia="lt-LT"/>
                    </w:rPr>
                    <w:t>(stebėsenos rodiklis – rezultatyviai dirbančių mokytojų skaičius, stebėsenos rodiklio kodas – R-02-01-01-22-7).</w:t>
                  </w:r>
                </w:p>
                <w:p>
                  <w:pPr>
                    <w:widowControl w:val="0"/>
                    <w:tabs>
                      <w:tab w:val="left" w:pos="851"/>
                    </w:tabs>
                    <w:ind w:firstLine="851"/>
                    <w:jc w:val="both"/>
                    <w:rPr>
                      <w:szCs w:val="24"/>
                      <w:lang w:eastAsia="lt-LT"/>
                    </w:rPr>
                  </w:pPr>
                  <w:r>
                    <w:rPr>
                      <w:szCs w:val="24"/>
                      <w:lang w:eastAsia="lt-LT"/>
                    </w:rPr>
                    <w:t>Siekiant įgyvendinant šią priemonę, Radviliškio rajono savivaldybės mero 2024 m. lapkričio 28 d. potvarkiu Nr. M-619 (2.5 E) „Dėl darbo grupės sudarymo Savivaldybės rezultatyviai dirbančių mokytojų skatinimo tvarkos aprašui parengti“ sudaryta darbo grupė, kuri parengė Savivaldybės rezultatyviai dirbančių mokytojų skatinimo tvarkos aprašą, kurio tikslas – rezultatyviai dirbančių mokytojų skatinimas.</w:t>
                  </w:r>
                </w:p>
                <w:p>
                  <w:pPr>
                    <w:widowControl w:val="0"/>
                    <w:tabs>
                      <w:tab w:val="left" w:pos="851"/>
                    </w:tabs>
                    <w:ind w:firstLine="851"/>
                    <w:jc w:val="both"/>
                    <w:rPr>
                      <w:szCs w:val="24"/>
                      <w:lang w:eastAsia="lt-LT"/>
                    </w:rPr>
                  </w:pPr>
                  <w:r>
                    <w:rPr>
                      <w:szCs w:val="24"/>
                      <w:lang w:val="en-US" w:eastAsia="lt-LT"/>
                    </w:rPr>
                    <w:t>Bus s</w:t>
                  </w:r>
                  <w:r>
                    <w:rPr>
                      <w:szCs w:val="24"/>
                      <w:lang w:eastAsia="lt-LT"/>
                    </w:rPr>
                    <w:t>katinami rezultatyviai dirbantys Radviliškio rajono savivaldybės mokytojai, dirbantys pagal formaliojo ir neformaliojo (</w:t>
                  </w:r>
                  <w:r>
                    <w:rPr>
                      <w:szCs w:val="24"/>
                    </w:rPr>
                    <w:t xml:space="preserve">formalųjį švietimą papildantis </w:t>
                  </w:r>
                  <w:r>
                    <w:rPr>
                      <w:iCs/>
                      <w:szCs w:val="24"/>
                    </w:rPr>
                    <w:t>ugdymas)</w:t>
                  </w:r>
                  <w:r>
                    <w:rPr>
                      <w:i/>
                      <w:szCs w:val="24"/>
                    </w:rPr>
                    <w:t xml:space="preserve"> </w:t>
                  </w:r>
                  <w:r>
                    <w:rPr>
                      <w:szCs w:val="24"/>
                      <w:lang w:eastAsia="lt-LT"/>
                    </w:rPr>
                    <w:t>švietimo programas bei pagalbos mokiniui specialistai, kurie per pastaruosius mokslo metus pasiekė reikšmingų nuopelnų profesinėje veikloje, mokinių pasiekimų, švietimo srities tobulinimo ir visuomenės demokratinės kultūros bei bendražmogiškųjų vertybių ugdymo srityse.</w:t>
                  </w:r>
                </w:p>
                <w:p>
                  <w:pPr>
                    <w:tabs>
                      <w:tab w:val="left" w:pos="284"/>
                      <w:tab w:val="left" w:pos="709"/>
                      <w:tab w:val="left" w:pos="1110"/>
                    </w:tabs>
                    <w:ind w:right="-2" w:firstLine="851"/>
                    <w:jc w:val="both"/>
                    <w:rPr>
                      <w:szCs w:val="24"/>
                    </w:rPr>
                  </w:pPr>
                  <w:r>
                    <w:rPr>
                      <w:szCs w:val="24"/>
                    </w:rPr>
                    <w:t xml:space="preserve">Mokytojų skatinimas apima keturias ugdymo pakopas: ikimokyklinis ir priešmokyklinis, pradinis ir pagrindinis (1–10 kl.), vidurinis (11–12 kl.) bei neformalusis ugdymas. </w:t>
                  </w:r>
                </w:p>
                <w:p>
                  <w:pPr>
                    <w:tabs>
                      <w:tab w:val="left" w:pos="284"/>
                      <w:tab w:val="left" w:pos="709"/>
                      <w:tab w:val="left" w:pos="1110"/>
                    </w:tabs>
                    <w:ind w:right="-2" w:firstLine="851"/>
                    <w:jc w:val="both"/>
                    <w:rPr>
                      <w:szCs w:val="24"/>
                      <w:lang w:eastAsia="lt-LT"/>
                    </w:rPr>
                  </w:pPr>
                  <w:r>
                    <w:rPr>
                      <w:szCs w:val="24"/>
                      <w:lang w:eastAsia="lt-LT"/>
                    </w:rPr>
                    <w:t xml:space="preserve">Kiekvienoje pakopoje mokytojai, pagal Aprašo kriterijus surinkę daugiausiai balų, apdovanojami </w:t>
                  </w:r>
                  <w:r>
                    <w:rPr>
                      <w:szCs w:val="24"/>
                      <w:lang w:val="en-US" w:eastAsia="lt-LT"/>
                    </w:rPr>
                    <w:t>vienodo dydžio P</w:t>
                  </w:r>
                  <w:r>
                    <w:rPr>
                      <w:szCs w:val="24"/>
                      <w:lang w:eastAsia="lt-LT"/>
                    </w:rPr>
                    <w:t>remijomis</w:t>
                  </w:r>
                  <w:r>
                    <w:rPr>
                      <w:szCs w:val="24"/>
                      <w:lang w:val="en-US" w:eastAsia="lt-LT"/>
                    </w:rPr>
                    <w:t xml:space="preserve"> – 1250 EUR., p</w:t>
                  </w:r>
                  <w:r>
                    <w:rPr>
                      <w:szCs w:val="24"/>
                    </w:rPr>
                    <w:t>er metus skiriamos 4 Premijos.</w:t>
                  </w:r>
                </w:p>
              </w:sdtContent>
            </w:sdt>
            <w:sdt>
              <w:sdtPr>
                <w:alias w:val="1 pr. 5 p."/>
                <w:tag w:val="part_d35f1fb464634c578b6ddbbfafdc24f0"/>
                <w:lock w:val="sdtLocked"/>
                <w:richText/>
              </w:sdtPr>
              <w:sdtContent>
                <w:p>
                  <w:pPr>
                    <w:widowControl w:val="0"/>
                    <w:ind w:firstLine="851"/>
                    <w:jc w:val="both"/>
                    <w:rPr>
                      <w:b/>
                      <w:bCs/>
                      <w:szCs w:val="24"/>
                    </w:rPr>
                  </w:pPr>
                  <w:sdt>
                    <w:sdtPr>
                      <w:alias w:val="Numeris"/>
                      <w:tag w:val="nr_d35f1fb464634c578b6ddbbfafdc24f0"/>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widowControl w:val="0"/>
                    <w:ind w:firstLine="851"/>
                    <w:jc w:val="both"/>
                    <w:rPr>
                      <w:szCs w:val="24"/>
                    </w:rPr>
                  </w:pPr>
                  <w:r>
                    <w:rPr>
                      <w:szCs w:val="24"/>
                    </w:rPr>
                    <w:t xml:space="preserve">Neigiamų pasekmių nenumatoma. </w:t>
                  </w:r>
                </w:p>
              </w:sdtContent>
            </w:sdt>
            <w:sdt>
              <w:sdtPr>
                <w:alias w:val="1 pr. 6 p."/>
                <w:tag w:val="part_7202a2864eb84ac49bce6dcbde6edbc5"/>
                <w:lock w:val="sdtLocked"/>
                <w:richText/>
              </w:sdtPr>
              <w:sdtContent>
                <w:p>
                  <w:pPr>
                    <w:widowControl w:val="0"/>
                    <w:ind w:firstLine="851"/>
                    <w:jc w:val="both"/>
                    <w:rPr>
                      <w:b/>
                      <w:bCs/>
                      <w:szCs w:val="24"/>
                    </w:rPr>
                  </w:pPr>
                  <w:sdt>
                    <w:sdtPr>
                      <w:alias w:val="Numeris"/>
                      <w:tag w:val="nr_7202a2864eb84ac49bce6dcbde6edbc5"/>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 </w:t>
                  </w:r>
                </w:p>
                <w:p>
                  <w:pPr>
                    <w:widowControl w:val="0"/>
                    <w:ind w:firstLine="851"/>
                    <w:jc w:val="both"/>
                    <w:rPr>
                      <w:szCs w:val="24"/>
                    </w:rPr>
                  </w:pPr>
                  <w:r>
                    <w:rPr>
                      <w:szCs w:val="24"/>
                    </w:rPr>
                    <w:t>Nereikia.</w:t>
                  </w:r>
                </w:p>
              </w:sdtContent>
            </w:sdt>
            <w:sdt>
              <w:sdtPr>
                <w:alias w:val="1 pr. 7 p."/>
                <w:tag w:val="part_ccae8787cc104321a51f1c8f6e39ded8"/>
                <w:lock w:val="sdtLocked"/>
                <w:richText/>
              </w:sdtPr>
              <w:sdtContent>
                <w:p>
                  <w:pPr>
                    <w:widowControl w:val="0"/>
                    <w:ind w:firstLine="851"/>
                    <w:jc w:val="both"/>
                    <w:rPr>
                      <w:szCs w:val="24"/>
                    </w:rPr>
                  </w:pPr>
                  <w:sdt>
                    <w:sdtPr>
                      <w:alias w:val="Numeris"/>
                      <w:tag w:val="nr_ccae8787cc104321a51f1c8f6e39ded8"/>
                      <w:lock w:val="sdtLocked"/>
                      <w:richText/>
                    </w:sdtPr>
                    <w:sdtContent>
                      <w:r>
                        <w:rPr>
                          <w:b/>
                          <w:bCs/>
                          <w:szCs w:val="24"/>
                        </w:rPr>
                        <w:t>7</w:t>
                      </w:r>
                    </w:sdtContent>
                  </w:sdt>
                  <w:r>
                    <w:rPr>
                      <w:b/>
                      <w:bCs/>
                      <w:szCs w:val="24"/>
                    </w:rPr>
                    <w:t>. Sprendimo projektui įgyvendinti reikalingos lėšos, finansavimo šaltiniai.</w:t>
                  </w:r>
                </w:p>
                <w:p>
                  <w:pPr>
                    <w:widowControl w:val="0"/>
                    <w:ind w:firstLine="851"/>
                    <w:jc w:val="both"/>
                    <w:rPr>
                      <w:color w:val="000000"/>
                      <w:szCs w:val="24"/>
                    </w:rPr>
                  </w:pPr>
                  <w:r>
                    <w:rPr>
                      <w:color w:val="000000"/>
                      <w:szCs w:val="24"/>
                    </w:rPr>
                    <w:t>Savivaldybės biudžeto lėšos.</w:t>
                  </w:r>
                </w:p>
              </w:sdtContent>
            </w:sdt>
            <w:sdt>
              <w:sdtPr>
                <w:alias w:val="1 pr. 8 p."/>
                <w:tag w:val="part_ecdf79abad27440887a149d0570c8466"/>
                <w:lock w:val="sdtLocked"/>
                <w:richText/>
              </w:sdtPr>
              <w:sdtContent>
                <w:p>
                  <w:pPr>
                    <w:widowControl w:val="0"/>
                    <w:ind w:firstLine="851"/>
                    <w:jc w:val="both"/>
                    <w:rPr>
                      <w:b/>
                      <w:bCs/>
                      <w:szCs w:val="24"/>
                    </w:rPr>
                  </w:pPr>
                  <w:sdt>
                    <w:sdtPr>
                      <w:alias w:val="Numeris"/>
                      <w:tag w:val="nr_ecdf79abad27440887a149d0570c8466"/>
                      <w:lock w:val="sdtLocked"/>
                      <w:richText/>
                    </w:sdtPr>
                    <w:sdtContent>
                      <w:r>
                        <w:rPr>
                          <w:b/>
                          <w:bCs/>
                          <w:szCs w:val="24"/>
                        </w:rPr>
                        <w:t>8</w:t>
                      </w:r>
                    </w:sdtContent>
                  </w:sdt>
                  <w:r>
                    <w:rPr>
                      <w:b/>
                      <w:bCs/>
                      <w:szCs w:val="24"/>
                    </w:rPr>
                    <w:t xml:space="preserve">. Sprendimo projekto rengimo metu gauti specialistų vertinimai ir išvados. </w:t>
                  </w:r>
                </w:p>
                <w:p>
                  <w:pPr>
                    <w:widowControl w:val="0"/>
                    <w:ind w:firstLine="851"/>
                    <w:jc w:val="both"/>
                    <w:rPr>
                      <w:szCs w:val="24"/>
                    </w:rPr>
                  </w:pPr>
                  <w:r>
                    <w:rPr>
                      <w:szCs w:val="24"/>
                    </w:rPr>
                    <w:t>Sprendimo projektas suderintas su savivaldybės juristu, kalbininku, administracijos direktore, vicemerais ir meru.</w:t>
                  </w:r>
                </w:p>
              </w:sdtContent>
            </w:sdt>
            <w:sdt>
              <w:sdtPr>
                <w:alias w:val="1 pr. 9 p."/>
                <w:tag w:val="part_6eed5ff1c86e410c8e4b1d2c3417ca4b"/>
                <w:lock w:val="sdtLocked"/>
                <w:richText/>
              </w:sdtPr>
              <w:sdtContent>
                <w:p>
                  <w:pPr>
                    <w:widowControl w:val="0"/>
                    <w:ind w:firstLine="851"/>
                    <w:rPr>
                      <w:b/>
                      <w:bCs/>
                      <w:szCs w:val="24"/>
                    </w:rPr>
                  </w:pPr>
                  <w:sdt>
                    <w:sdtPr>
                      <w:alias w:val="Numeris"/>
                      <w:tag w:val="nr_6eed5ff1c86e410c8e4b1d2c3417ca4b"/>
                      <w:lock w:val="sdtLocked"/>
                      <w:richText/>
                    </w:sdtPr>
                    <w:sdtContent>
                      <w:r>
                        <w:rPr>
                          <w:b/>
                          <w:bCs/>
                          <w:szCs w:val="24"/>
                        </w:rPr>
                        <w:t>9</w:t>
                      </w:r>
                    </w:sdtContent>
                  </w:sdt>
                  <w:r>
                    <w:rPr>
                      <w:b/>
                      <w:bCs/>
                      <w:szCs w:val="24"/>
                    </w:rPr>
                    <w:t xml:space="preserve">. Numatomo teisinio reguliavimo poveikio vertinimo rezultatai. </w:t>
                  </w:r>
                </w:p>
                <w:p>
                  <w:pPr>
                    <w:widowControl w:val="0"/>
                    <w:ind w:firstLine="851"/>
                    <w:rPr>
                      <w:szCs w:val="24"/>
                    </w:rPr>
                  </w:pPr>
                  <w:r>
                    <w:rPr>
                      <w:szCs w:val="24"/>
                    </w:rPr>
                    <w:t>Vertinimas neatliekamas.</w:t>
                  </w:r>
                </w:p>
              </w:sdtContent>
            </w:sdt>
            <w:sdt>
              <w:sdtPr>
                <w:alias w:val="1 pr. 10 p."/>
                <w:tag w:val="part_2c4e308a8b644d59b80a34b633773887"/>
                <w:lock w:val="sdtLocked"/>
                <w:richText/>
              </w:sdtPr>
              <w:sdtContent>
                <w:p>
                  <w:pPr>
                    <w:widowControl w:val="0"/>
                    <w:ind w:left="1296" w:hanging="445"/>
                    <w:rPr>
                      <w:b/>
                      <w:bCs/>
                      <w:szCs w:val="24"/>
                    </w:rPr>
                  </w:pPr>
                  <w:sdt>
                    <w:sdtPr>
                      <w:alias w:val="Numeris"/>
                      <w:tag w:val="nr_2c4e308a8b644d59b80a34b633773887"/>
                      <w:lock w:val="sdtLocked"/>
                      <w:richText/>
                    </w:sdtPr>
                    <w:sdtContent>
                      <w:r>
                        <w:rPr>
                          <w:b/>
                          <w:bCs/>
                          <w:szCs w:val="24"/>
                        </w:rPr>
                        <w:t>10</w:t>
                      </w:r>
                    </w:sdtContent>
                  </w:sdt>
                  <w:r>
                    <w:rPr>
                      <w:b/>
                      <w:bCs/>
                      <w:szCs w:val="24"/>
                    </w:rPr>
                    <w:t>. Sprendimo projekto antikorupcinis vertinimas.</w:t>
                  </w:r>
                </w:p>
                <w:p>
                  <w:pPr>
                    <w:widowControl w:val="0"/>
                    <w:ind w:firstLine="851"/>
                    <w:rPr>
                      <w:color w:val="000000"/>
                      <w:szCs w:val="24"/>
                    </w:rPr>
                  </w:pPr>
                  <w:r>
                    <w:rPr>
                      <w:color w:val="000000"/>
                      <w:szCs w:val="24"/>
                    </w:rPr>
                    <w:t>Atliktas antikorupcinis vertinimas.</w:t>
                  </w:r>
                </w:p>
              </w:sdtContent>
            </w:sdt>
            <w:sdt>
              <w:sdtPr>
                <w:alias w:val="1 pr. 11 p."/>
                <w:tag w:val="part_a01886b7c0b84785ba006c861c95c9e3"/>
                <w:lock w:val="sdtLocked"/>
                <w:richText/>
              </w:sdtPr>
              <w:sdtContent>
                <w:p>
                  <w:pPr>
                    <w:widowControl w:val="0"/>
                    <w:ind w:firstLine="851"/>
                    <w:rPr>
                      <w:b/>
                      <w:bCs/>
                      <w:szCs w:val="24"/>
                    </w:rPr>
                  </w:pPr>
                  <w:sdt>
                    <w:sdtPr>
                      <w:alias w:val="Numeris"/>
                      <w:tag w:val="nr_a01886b7c0b84785ba006c861c95c9e3"/>
                      <w:lock w:val="sdtLocked"/>
                      <w:richText/>
                    </w:sdtPr>
                    <w:sdtContent>
                      <w:r>
                        <w:rPr>
                          <w:b/>
                          <w:bCs/>
                          <w:szCs w:val="24"/>
                        </w:rPr>
                        <w:t>11</w:t>
                      </w:r>
                    </w:sdtContent>
                  </w:sdt>
                  <w:r>
                    <w:rPr>
                      <w:b/>
                      <w:bCs/>
                      <w:szCs w:val="24"/>
                    </w:rPr>
                    <w:t xml:space="preserve">.Kiti, iniciatoriaus nuomone, reikalingi pagrindimai ir paaiškinimai. </w:t>
                  </w:r>
                </w:p>
                <w:p>
                  <w:pPr>
                    <w:widowControl w:val="0"/>
                    <w:ind w:firstLine="851"/>
                    <w:rPr>
                      <w:szCs w:val="24"/>
                    </w:rPr>
                  </w:pPr>
                  <w:r>
                    <w:rPr>
                      <w:szCs w:val="24"/>
                    </w:rPr>
                    <w:t xml:space="preserve">Nėra. </w:t>
                  </w:r>
                </w:p>
              </w:sdtContent>
            </w:sdt>
            <w:sdt>
              <w:sdtPr>
                <w:alias w:val="1 pr. 12 p."/>
                <w:tag w:val="part_5c28b59ac60e49ed8d19fc3bd0a41229"/>
                <w:lock w:val="sdtLocked"/>
                <w:richText/>
              </w:sdtPr>
              <w:sdtContent>
                <w:p>
                  <w:pPr>
                    <w:widowControl w:val="0"/>
                    <w:ind w:firstLine="851"/>
                    <w:rPr>
                      <w:b/>
                      <w:bCs/>
                      <w:szCs w:val="24"/>
                    </w:rPr>
                  </w:pPr>
                  <w:sdt>
                    <w:sdtPr>
                      <w:alias w:val="Numeris"/>
                      <w:tag w:val="nr_5c28b59ac60e49ed8d19fc3bd0a41229"/>
                      <w:lock w:val="sdtLocked"/>
                      <w:richText/>
                    </w:sdtPr>
                    <w:sdtContent>
                      <w:r>
                        <w:rPr>
                          <w:b/>
                          <w:bCs/>
                          <w:szCs w:val="24"/>
                        </w:rPr>
                        <w:t>12</w:t>
                      </w:r>
                    </w:sdtContent>
                  </w:sdt>
                  <w:r>
                    <w:rPr>
                      <w:b/>
                      <w:bCs/>
                      <w:szCs w:val="24"/>
                    </w:rPr>
                    <w:t xml:space="preserve">.Pridedami dokumentai. </w:t>
                  </w:r>
                </w:p>
                <w:p>
                  <w:pPr>
                    <w:widowControl w:val="0"/>
                    <w:ind w:firstLine="851"/>
                    <w:rPr>
                      <w:szCs w:val="24"/>
                    </w:rPr>
                  </w:pPr>
                  <w:r>
                    <w:rPr>
                      <w:szCs w:val="24"/>
                    </w:rPr>
                    <w:t>Nėra.</w:t>
                  </w:r>
                </w:p>
                <w:p>
                  <w:pPr>
                    <w:widowControl w:val="0"/>
                    <w:ind w:firstLine="851"/>
                    <w:rPr>
                      <w:szCs w:val="24"/>
                    </w:rPr>
                  </w:pPr>
                </w:p>
                <w:p>
                  <w:pPr>
                    <w:widowControl w:val="0"/>
                    <w:ind w:firstLine="851"/>
                    <w:rPr>
                      <w:szCs w:val="24"/>
                    </w:rPr>
                  </w:pPr>
                </w:p>
                <w:p>
                  <w:pPr>
                    <w:widowControl w:val="0"/>
                    <w:ind w:firstLine="851"/>
                    <w:rPr>
                      <w:szCs w:val="24"/>
                    </w:rPr>
                  </w:pPr>
                </w:p>
                <w:p>
                  <w:pPr>
                    <w:widowControl w:val="0"/>
                    <w:rPr>
                      <w:szCs w:val="24"/>
                    </w:rPr>
                  </w:pPr>
                  <w:r>
                    <w:rPr>
                      <w:szCs w:val="24"/>
                    </w:rPr>
                    <w:t xml:space="preserve">Švietimo ir sporto skyriaus vyriausioji specialistė                                                 Irma Lukoševičienė</w:t>
                  </w:r>
                </w:p>
              </w:sdtContent>
            </w:sdt>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rPr>
          <w:szCs w:val="24"/>
        </w:rPr>
      </w:pPr>
      <w:r>
        <w:rPr>
          <w:szCs w:val="24"/>
        </w:rPr>
        <w:separator/>
      </w:r>
    </w:p>
  </w:endnote>
  <w:endnote w:type="continuationSeparator" w:id="0">
    <w:p>
      <w:pPr>
        <w:spacing w:after="200"/>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line="276" w:lineRule="auto"/>
        <w:rPr>
          <w:szCs w:val="24"/>
        </w:rPr>
      </w:pPr>
      <w:r>
        <w:rPr>
          <w:szCs w:val="24"/>
        </w:rPr>
        <w:separator/>
      </w:r>
    </w:p>
  </w:footnote>
  <w:footnote w:type="continuationSeparator" w:id="0">
    <w:p>
      <w:pPr>
        <w:spacing w:line="276" w:lineRule="auto"/>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9F4"/>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7E0280F-D976-4303-83B9-346E2684A71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323698d2e854394897cc52cc12b7c90" PartId="07fc71bd6a58460c9672e033487c1a6d">
    <Part Type="preambule" DocPartId="9c2af6ac2a3047f4915c965404a3385f" PartId="439c0bc4c37e42ab8e9a1e9f212738c7"/>
    <Part Type="pastraipa" DocPartId="5b2821c74011471fb5bf410b14df4ea7" PartId="98eae8e9b7484fc88ab52b6e6be90b50"/>
    <Part Type="signatura" DocPartId="da58d2b1c42a410b944ca2450a61a7ef" PartId="b33cd316bf194c68b5a032201df794da"/>
  </Part>
  <Part Type="patvirtinta" Title="RADVILIŠKIO RAJONO SAVIVALDYBĖS REZULTATYVIAI DIRBANČIŲ MOKYTOJŲ SKATINIMO TVARKOS APRAŠAS" DocPartId="152bbdabbcbd4f5ca69b567c051b034e" PartId="d5f1c22d9558433d8a4a571f9938aea8">
    <Part Type="skyrius" Nr="1" Title="BENDROSIOS NUOSTATOS" DocPartId="16987aa48adf4203be7ff3f855258417" PartId="f86b4a0b9e084a70882eb32a3e1473ca">
      <Part Type="punktas" Nr="1" Abbr="1 p." DocPartId="2c4d7a3265b54721aa4791bd3362639d" PartId="bd141a18b64446e295e4e6aa79a76e8c"/>
      <Part Type="punktas" Nr="2" Abbr="2 p." DocPartId="d9c4656d1a2f47779c21c2f1193f0e19" PartId="26604b557e994bdfbabd4dbc10992a75"/>
      <Part Type="punktas" Nr="3" Abbr="3 p." DocPartId="a36537a9146f4ef1983179cfec3fb326" PartId="eddba10281e54da59a7bfac79d443cda"/>
      <Part Type="punktas" Nr="4" Abbr="4 p." DocPartId="d0574c8c6f2b49359e6db023c7e7804c" PartId="ff73f4eacc654d0d961179e4359903a7"/>
      <Part Type="punktas" Nr="5" Abbr="5 p." DocPartId="e9ca29551aeb43d28e99097777886337" PartId="0863abedc2a2443f8cc95de82aeec336"/>
      <Part Type="punktas" Nr="6" Abbr="6 p." DocPartId="0a21aa157b6f476c90bd17985f4e0e08" PartId="ab4c89d69e3c4f37894ee93322963619"/>
      <Part Type="punktas" Nr="7" Abbr="7 p." DocPartId="eca870a1fac64815be778be8fc5faefc" PartId="c665901084194656a1eda54de713c80f"/>
    </Part>
    <Part Type="skyrius" Nr="2" Title="REZULTATYVIAI DIRBANČIŲ MOKYTOJŲ SKATINIMO ATRANKOS DARBO GRUPĖS VEIKLOS ORGANIZAVIMAS" DocPartId="9b8c79631b914532955fb8f95d549998" PartId="1c53ec9ae36d4c4c944175353fb6e096">
      <Part Type="punktas" Nr="8" Abbr="8 p." DocPartId="92ac3b9e92c94002af76cf1f84cd474b" PartId="b51647dd0acd4cf9b8ff9c97eba2748e"/>
      <Part Type="punktas" Nr="9" Abbr="9 p." DocPartId="6642c1c6b3f74b3bb454f45c18e7194a" PartId="6d71e46281a946b0b4ce2bbb8a29040c"/>
      <Part Type="punktas" Nr="10" Abbr="10 p." DocPartId="cc709a4422a84fad91c1198c6f89e5e8" PartId="0285877130d74d1982d6ce2d2d44ec8d"/>
      <Part Type="punktas" Nr="11" Abbr="11 p." DocPartId="5deaffcde55e4ff38187d3bd873c7b66" PartId="ee3ff12a6249479bb4810a7dfe8afb7b"/>
      <Part Type="punktas" Nr="12" Abbr="12 p." DocPartId="b05d1350cd5548999292b63851ee36be" PartId="547b13365d2c4a598aa42f510cfb794c"/>
      <Part Type="punktas" Nr="13" Abbr="13 p." DocPartId="a05942c3d1884be1b188585ec602ccc0" PartId="0aefcfa71db641068a9ccf4c128d3614"/>
    </Part>
    <Part Type="skyrius" Nr="3" Title="REZULTATYVIAI DIRBANČIŲ SAVIVALDYBĖS MOKYTOJŲ SKATINIMAS" DocPartId="cf5af9270ba344fe90c6543a2a1f16f8" PartId="5306327db91148bfbeeb1d913ba6d71f">
      <Part Type="punktas" Nr="14" Abbr="14 p." DocPartId="32dde437a28f4b1597bc795619e3b9fc" PartId="677e49e8df344fd09e95987d60742a3e"/>
      <Part Type="punktas" Nr="15" Abbr="15 p." DocPartId="824bc0d8350f4a06ae1b3331d8260a60" PartId="08c77609aeb04abcb91e387d970d62d7">
        <Part Type="papunktis" Nr="15.1" Abbr="15.1 pp." DocPartId="10d9e7cc05854ad497ada1c0def3d418" PartId="12734a92088347d28bcb38a037f441fe"/>
        <Part Type="papunktis" Nr="15.2" Abbr="15.2 pp." DocPartId="dd768bb8c6614966a8b396cc21921957" PartId="b9bd66559c6844798a6bd98a9ac55efc"/>
      </Part>
      <Part Type="punktas" Nr="16" Abbr="16 p." DocPartId="4ba3218307d44d0eb2e4cf9125696fdc" PartId="f946dafe8a0142e69fa7df086e18fe81"/>
      <Part Type="punktas" Nr="17" Abbr="17 p." DocPartId="44a76c2fdb4d4fafa348dfe5c6864c86" PartId="c4bb8a64e55e4ec382311bcf2c1be6c0"/>
      <Part Type="punktas" Nr="18" Abbr="18 p." DocPartId="5b30585a066c419bb94c3385d8ad3b79" PartId="4bd90c3bdd714300a1a3f0c5adc8ce54"/>
    </Part>
    <Part Type="skyrius" Nr="4" Title="BAIGIAMOSIOS NUOSTATOS" DocPartId="9c264420382c425280d5bba8c1c2f076" PartId="2811ed0d63234f46a9ea9eed7a40a888">
      <Part Type="punktas" Nr="19" Abbr="19 p." DocPartId="34473f7ee4924b348957f587145ae61c" PartId="b17aed1bddf24e06807c2dee37b5351d"/>
      <Part Type="punktas" Nr="20" Abbr="20 p." DocPartId="e1f4df0d68f64ecdb2b2bdacf929c770" PartId="3ed8b0beb4a6434f843cd8e169c3752d"/>
      <Part Type="punktas" Nr="21" Abbr="21 p." DocPartId="6f678720c5974b1481c336a9996697dd" PartId="6d859d9993364b03a68858b78d98b60b"/>
      <Part Type="punktas" Nr="22" Abbr="22 p." DocPartId="80d87b149c904d4eae8c884051c9826b" PartId="6c4ebc0c35314d1f89319fc63e6fc3d9"/>
    </Part>
  </Part>
  <Part Type="priedas" Nr="1" Abbr="1 pr." Title="RADVILIŠKIO RAJONO SAVIVALDYBĖS REZULTATYVIAI DIRBANČIŲ MOKYTOJŲ SKATINIMO" DocPartId="dd8ce2a066664a9b8a5fcbb2cfa9b775" PartId="6bd57930372643c3941a1a5c5ffd4d6c">
    <Part Type="lentele" Title="VERTINIMO KRITERIJAI" DocPartId="a6d744c4e971455292df638d0db2afdd" PartId="9eb531d9999c4b83a0857424dbe2c780"/>
    <Part Type="pastraipa" DocPartId="ca625a9fa0b5428890ce5ff862d9343d" PartId="091169202f78436cb0a6e83350752ee2"/>
    <Part Type="pastraipa" DocPartId="ba8518d4057e428bac3f822435acc811" PartId="d30ba8e64bf64fa4806c5cace1c7b26f"/>
    <Part Type="pastraipa" DocPartId="2eed2007c2ce48fa9dda836eefc42be0" PartId="17b97da4b22b4b8ab4ce03fe0482ea86"/>
    <Part Type="skirsnis" Title="RADVILIŠKIO RAJONO SAVIVALDYBĖS TARYBOS SPRENDIMO PROJEKTO „RADVILIŠKIO RAJONO SAVIVALDYBĖS REZULTATYVIAI DIRBANČIŲ MOKYTOJŲ SKATINIMO IR MATERIALINĖS PARAMOS TEIKIMO TVARKOS APRAŠO PATVIRTINIMO“ AIŠKINAMASIS RAŠTAS" DocPartId="a65c616f52394f1b8606981ec0ae0280" PartId="b6de2dff57f64b8499a17dee99596ddd">
      <Part Type="punktas" Nr="1" Abbr="1 pr. 1 p." DocPartId="8dfb9ecd4be4434694b4d6543129ba3f" PartId="833b6b34678c46bf9e3652eec1745f9d"/>
      <Part Type="punktas" Nr="2" Abbr="1 pr. 2 p." DocPartId="14af9d129d754a4fa212448c9828b412" PartId="3cdcc6102b28415f98690dc0b076e1cb"/>
      <Part Type="punktas" Nr="3" Abbr="1 pr. 3 p." DocPartId="3d0d6139d5a24ae6a476df52212b93d8" PartId="5222dbbad9384b3bac77b7d29a6d76a9"/>
      <Part Type="punktas" Nr="4" Abbr="1 pr. 4 p." DocPartId="78d98aeeccd64563943f644d92cb6387" PartId="38b3b752071e4064b9d8ec216dea2079"/>
      <Part Type="punktas" Nr="5" Abbr="1 pr. 5 p." DocPartId="be73c0128b3a4b64800d9d5bef114f48" PartId="d35f1fb464634c578b6ddbbfafdc24f0"/>
      <Part Type="punktas" Nr="6" Abbr="1 pr. 6 p." DocPartId="a58201db9247444fa5d6b1dd854541ce" PartId="7202a2864eb84ac49bce6dcbde6edbc5"/>
      <Part Type="punktas" Nr="7" Abbr="1 pr. 7 p." DocPartId="dad6cbd5da75443b900e62832ce84dc7" PartId="ccae8787cc104321a51f1c8f6e39ded8"/>
      <Part Type="punktas" Nr="8" Abbr="1 pr. 8 p." DocPartId="24900ad5bf4148c2825b814a5b580978" PartId="ecdf79abad27440887a149d0570c8466"/>
      <Part Type="punktas" Nr="9" Abbr="1 pr. 9 p." DocPartId="8eb9cbcf23e34c77a08b6af4879809cf" PartId="6eed5ff1c86e410c8e4b1d2c3417ca4b"/>
      <Part Type="punktas" Nr="10" Abbr="1 pr. 10 p." DocPartId="cfd4c2e4f70148e59beb463ae9dfdd4e" PartId="2c4e308a8b644d59b80a34b633773887"/>
      <Part Type="punktas" Nr="11" Abbr="1 pr. 11 p." DocPartId="867f399fd2014d5f911de27391f50d30" PartId="a01886b7c0b84785ba006c861c95c9e3"/>
      <Part Type="punktas" Nr="12" Abbr="1 pr. 12 p." DocPartId="ffa6fb54037649f28aa7af47900af0b4" PartId="5c28b59ac60e49ed8d19fc3bd0a41229"/>
    </Part>
  </Part>
</Parts>
</file>

<file path=customXml/itemProps1.xml><?xml version="1.0" encoding="utf-8"?>
<ds:datastoreItem xmlns:ds="http://schemas.openxmlformats.org/officeDocument/2006/customXml" ds:itemID="{92B158DC-018E-41DE-86AF-F6548ACC35FC}">
  <ds:schemaRefs>
    <ds:schemaRef ds:uri="http://schemas.openxmlformats.org/officeDocument/2006/bibliography"/>
  </ds:schemaRefs>
</ds:datastoreItem>
</file>

<file path=customXml/itemProps2.xml><?xml version="1.0" encoding="utf-8"?>
<ds:datastoreItem xmlns:ds="http://schemas.openxmlformats.org/officeDocument/2006/customXml" ds:itemID="{D03E4DF4-A0E8-4341-9C5B-6F76387197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1598</Words>
  <Characters>11492</Characters>
  <Application>Microsoft Office Word</Application>
  <DocSecurity>4</DocSecurity>
  <Lines>383</Lines>
  <Paragraphs>186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12904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2025-08-27T13:32:00Z</dcterms:created>
  <dc:creator>SJNUS</dc:creator>
  <lastModifiedBy>adlibuser</lastModifiedBy>
  <lastPrinted>2025-05-19T08:12:00Z</lastPrinted>
  <dcterms:modified xsi:type="dcterms:W3CDTF">2025-08-27T13:32:00Z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1033-12.2.0.21179</vt:lpwstr>
  </property>
  <property fmtid="{D5CDD505-2E9C-101B-9397-08002B2CF9AE}" pid="3" name="ICV">
    <vt:lpwstr>A90950CA642B4F01A744604516BAE3CF_12</vt:lpwstr>
  </property>
</Properties>
</file>