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767a0bd93de4b28822b3f68b18dc225"/>
        <w:lock w:val="sdtLocked"/>
        <w:richText/>
      </w:sdtPr>
      <w:sdtContent>
        <w:p>
          <w:pPr>
            <w:tabs>
              <w:tab w:val="center" w:pos="4819"/>
              <w:tab w:val="right" w:pos="9638"/>
            </w:tabs>
            <w:rPr>
              <w:rFonts w:ascii="Calibri" w:hAnsi="Calibri"/>
              <w:sz w:val="22"/>
              <w:szCs w:val="22"/>
            </w:rPr>
          </w:pPr>
        </w:p>
        <w:p>
          <w:pPr>
            <w:tabs>
              <w:tab w:val="left" w:pos="7380"/>
            </w:tabs>
            <w:ind w:left="7380" w:firstLine="7380"/>
            <w:rPr>
              <w:b/>
              <w:bCs/>
              <w:caps/>
              <w:color w:val="000000"/>
              <w:szCs w:val="24"/>
              <w:lang w:eastAsia="lt-LT"/>
            </w:rPr>
          </w:pPr>
          <w:r>
            <w:rPr>
              <w:b/>
              <w:bCs/>
              <w:color w:val="000000"/>
              <w:szCs w:val="24"/>
              <w:lang w:eastAsia="lt-LT"/>
            </w:rPr>
            <w:t>Projektas</w:t>
          </w:r>
        </w:p>
        <w:p>
          <w:pPr>
            <w:shd w:val="clear" w:color="auto" w:fill="FFFFFF"/>
            <w:jc w:val="center"/>
            <w:rPr>
              <w:rFonts w:eastAsia="Calibri"/>
              <w:b/>
              <w:bCs/>
              <w:caps/>
              <w:color w:val="000000"/>
              <w:szCs w:val="24"/>
              <w:lang w:eastAsia="lt-LT"/>
            </w:rPr>
          </w:pPr>
        </w:p>
        <w:p>
          <w:pPr>
            <w:shd w:val="clear" w:color="auto" w:fill="FFFFFF"/>
            <w:jc w:val="center"/>
            <w:rPr>
              <w:rFonts w:eastAsia="Calibri"/>
              <w:b/>
              <w:bCs/>
              <w:caps/>
              <w:color w:val="000000"/>
              <w:szCs w:val="24"/>
              <w:lang w:eastAsia="lt-LT"/>
            </w:rPr>
          </w:pPr>
        </w:p>
        <w:p>
          <w:pPr>
            <w:jc w:val="center"/>
            <w:rPr>
              <w:b/>
              <w:bCs/>
              <w:szCs w:val="24"/>
            </w:rPr>
          </w:pPr>
          <w:r>
            <w:rPr>
              <w:b/>
              <w:bCs/>
              <w:szCs w:val="24"/>
            </w:rPr>
            <w:t>LIETUVOS RESPUBLIKOS</w:t>
          </w:r>
        </w:p>
        <w:p>
          <w:pPr>
            <w:jc w:val="center"/>
            <w:rPr>
              <w:b/>
              <w:bCs/>
              <w:szCs w:val="24"/>
            </w:rPr>
          </w:pPr>
          <w:r>
            <w:rPr>
              <w:b/>
              <w:bCs/>
              <w:szCs w:val="24"/>
            </w:rPr>
            <w:t>ĮMONIŲ FINANSINĖS ATSKAITOMYBĖS ĮSTATYMO NR. IX-575 4 IR 24 STRAIPSNIŲ PAKEITIMO</w:t>
          </w:r>
        </w:p>
        <w:p>
          <w:pPr>
            <w:jc w:val="center"/>
            <w:rPr>
              <w:b/>
              <w:bCs/>
              <w:szCs w:val="24"/>
            </w:rPr>
          </w:pPr>
          <w:r>
            <w:rPr>
              <w:b/>
              <w:bCs/>
              <w:szCs w:val="24"/>
            </w:rPr>
            <w:t>ĮSTATYMAS</w:t>
          </w:r>
        </w:p>
        <w:p>
          <w:pPr>
            <w:jc w:val="center"/>
            <w:rPr>
              <w:szCs w:val="24"/>
              <w:lang w:eastAsia="lt-LT"/>
            </w:rPr>
          </w:pPr>
        </w:p>
        <w:p>
          <w:pPr>
            <w:jc w:val="center"/>
            <w:rPr>
              <w:szCs w:val="24"/>
              <w:lang w:eastAsia="lt-LT"/>
            </w:rPr>
          </w:pPr>
          <w:r>
            <w:rPr>
              <w:szCs w:val="24"/>
              <w:lang w:eastAsia="lt-LT"/>
            </w:rPr>
            <w:t xml:space="preserve">2016 m.              d. Nr. </w:t>
          </w:r>
        </w:p>
        <w:p>
          <w:pPr>
            <w:jc w:val="center"/>
            <w:rPr>
              <w:szCs w:val="24"/>
              <w:lang w:eastAsia="lt-LT"/>
            </w:rPr>
          </w:pPr>
          <w:r>
            <w:rPr>
              <w:szCs w:val="24"/>
              <w:lang w:eastAsia="lt-LT"/>
            </w:rPr>
            <w:t>Vilnius</w:t>
          </w:r>
        </w:p>
        <w:p>
          <w:pPr>
            <w:jc w:val="center"/>
            <w:rPr>
              <w:szCs w:val="24"/>
              <w:lang w:eastAsia="lt-LT"/>
            </w:rPr>
          </w:pPr>
        </w:p>
        <w:sdt>
          <w:sdtPr>
            <w:alias w:val="1 str."/>
            <w:tag w:val="part_f0352f50a79042429c419950ba355914"/>
            <w:lock w:val="sdtLocked"/>
            <w:richText/>
          </w:sdtPr>
          <w:sdtContent>
            <w:p>
              <w:pPr>
                <w:ind w:firstLine="720"/>
                <w:jc w:val="both"/>
                <w:rPr>
                  <w:b/>
                  <w:szCs w:val="24"/>
                  <w:lang w:eastAsia="lt-LT"/>
                </w:rPr>
              </w:pPr>
              <w:sdt>
                <w:sdtPr>
                  <w:alias w:val="Numeris"/>
                  <w:tag w:val="nr_f0352f50a79042429c419950ba355914"/>
                  <w:lock w:val="sdtLocked"/>
                  <w:richText/>
                </w:sdtPr>
                <w:sdtContent>
                  <w:r>
                    <w:rPr>
                      <w:b/>
                      <w:szCs w:val="24"/>
                      <w:lang w:eastAsia="lt-LT"/>
                    </w:rPr>
                    <w:t>1</w:t>
                  </w:r>
                </w:sdtContent>
              </w:sdt>
              <w:r>
                <w:rPr>
                  <w:b/>
                  <w:szCs w:val="24"/>
                  <w:lang w:eastAsia="lt-LT"/>
                </w:rPr>
                <w:t xml:space="preserve"> straipsnis. </w:t>
              </w:r>
              <w:sdt>
                <w:sdtPr>
                  <w:alias w:val="Pavadinimas"/>
                  <w:tag w:val="title_f0352f50a79042429c419950ba355914"/>
                  <w:lock w:val="sdtLocked"/>
                  <w:richText/>
                </w:sdtPr>
                <w:sdtContent>
                  <w:r>
                    <w:rPr>
                      <w:b/>
                      <w:szCs w:val="24"/>
                      <w:lang w:eastAsia="lt-LT"/>
                    </w:rPr>
                    <w:t>4 straipsnio pakeitimas</w:t>
                  </w:r>
                </w:sdtContent>
              </w:sdt>
            </w:p>
            <w:sdt>
              <w:sdtPr>
                <w:alias w:val="1 str. 1 d."/>
                <w:tag w:val="part_3815dcd3ac694f7f957dbfb643edad8d"/>
                <w:lock w:val="sdtLocked"/>
                <w:richText/>
              </w:sdtPr>
              <w:sdtContent>
                <w:p>
                  <w:pPr>
                    <w:ind w:firstLine="720"/>
                    <w:jc w:val="both"/>
                    <w:rPr>
                      <w:szCs w:val="24"/>
                      <w:lang w:eastAsia="lt-LT"/>
                    </w:rPr>
                  </w:pPr>
                  <w:r>
                    <w:rPr>
                      <w:szCs w:val="24"/>
                      <w:lang w:eastAsia="lt-LT"/>
                    </w:rPr>
                    <w:t>Pakeisti 4 straipsnio 9 dalį ir ją išdėstyti taip:</w:t>
                  </w:r>
                </w:p>
                <w:sdt>
                  <w:sdtPr>
                    <w:alias w:val="citata"/>
                    <w:tag w:val="part_08be342810ba48f39fde216e2f8aef69"/>
                    <w:lock w:val="sdtLocked"/>
                    <w:richText/>
                  </w:sdtPr>
                  <w:sdtContent>
                    <w:sdt>
                      <w:sdtPr>
                        <w:alias w:val="9 d."/>
                        <w:tag w:val="part_a7c01164693540ffb504346e9dd3ddbc"/>
                        <w:lock w:val="sdtLocked"/>
                        <w:richText/>
                      </w:sdtPr>
                      <w:sdtContent>
                        <w:p>
                          <w:pPr>
                            <w:ind w:firstLine="720"/>
                            <w:jc w:val="both"/>
                            <w:rPr>
                              <w:szCs w:val="24"/>
                              <w:lang w:eastAsia="lt-LT"/>
                            </w:rPr>
                          </w:pPr>
                          <w:r>
                            <w:rPr>
                              <w:szCs w:val="24"/>
                              <w:lang w:eastAsia="lt-LT"/>
                            </w:rPr>
                            <w:t>„</w:t>
                          </w:r>
                          <w:sdt>
                            <w:sdtPr>
                              <w:alias w:val="Numeris"/>
                              <w:tag w:val="nr_a7c01164693540ffb504346e9dd3ddbc"/>
                              <w:lock w:val="sdtLocked"/>
                              <w:richText/>
                            </w:sdtPr>
                            <w:sdtContent>
                              <w:r>
                                <w:rPr>
                                  <w:szCs w:val="24"/>
                                  <w:lang w:eastAsia="lt-LT"/>
                                </w:rPr>
                                <w:t>9</w:t>
                              </w:r>
                            </w:sdtContent>
                          </w:sdt>
                          <w:r>
                            <w:rPr>
                              <w:szCs w:val="24"/>
                              <w:lang w:eastAsia="lt-LT"/>
                            </w:rPr>
                            <w:t>. Viešojo intereso įmonėms visais atvejais taikomi tokie patys reikalavimai kaip didelėms įmonėms.“</w:t>
                          </w:r>
                        </w:p>
                        <w:p>
                          <w:pPr>
                            <w:ind w:firstLine="720"/>
                            <w:jc w:val="both"/>
                            <w:rPr>
                              <w:szCs w:val="24"/>
                              <w:lang w:eastAsia="lt-LT"/>
                            </w:rPr>
                          </w:pPr>
                        </w:p>
                      </w:sdtContent>
                    </w:sdt>
                  </w:sdtContent>
                </w:sdt>
              </w:sdtContent>
            </w:sdt>
          </w:sdtContent>
        </w:sdt>
        <w:sdt>
          <w:sdtPr>
            <w:alias w:val="2 str."/>
            <w:tag w:val="part_abf4591be0674109b9a4cde5293e87a9"/>
            <w:lock w:val="sdtLocked"/>
            <w:richText/>
          </w:sdtPr>
          <w:sdtContent>
            <w:p>
              <w:pPr>
                <w:ind w:firstLine="720"/>
                <w:jc w:val="both"/>
                <w:rPr>
                  <w:b/>
                  <w:szCs w:val="24"/>
                  <w:lang w:eastAsia="lt-LT"/>
                </w:rPr>
              </w:pPr>
              <w:sdt>
                <w:sdtPr>
                  <w:alias w:val="Numeris"/>
                  <w:tag w:val="nr_abf4591be0674109b9a4cde5293e87a9"/>
                  <w:lock w:val="sdtLocked"/>
                  <w:richText/>
                </w:sdtPr>
                <w:sdtContent>
                  <w:r>
                    <w:rPr>
                      <w:b/>
                      <w:szCs w:val="24"/>
                      <w:lang w:eastAsia="lt-LT"/>
                    </w:rPr>
                    <w:t>2</w:t>
                  </w:r>
                </w:sdtContent>
              </w:sdt>
              <w:r>
                <w:rPr>
                  <w:b/>
                  <w:szCs w:val="24"/>
                  <w:lang w:eastAsia="lt-LT"/>
                </w:rPr>
                <w:t xml:space="preserve"> straipsnis. </w:t>
              </w:r>
              <w:sdt>
                <w:sdtPr>
                  <w:alias w:val="Pavadinimas"/>
                  <w:tag w:val="title_abf4591be0674109b9a4cde5293e87a9"/>
                  <w:lock w:val="sdtLocked"/>
                  <w:richText/>
                </w:sdtPr>
                <w:sdtContent>
                  <w:r>
                    <w:rPr>
                      <w:b/>
                      <w:szCs w:val="24"/>
                      <w:lang w:eastAsia="lt-LT"/>
                    </w:rPr>
                    <w:t>24 straipsnio pakeitimas</w:t>
                  </w:r>
                </w:sdtContent>
              </w:sdt>
            </w:p>
            <w:sdt>
              <w:sdtPr>
                <w:alias w:val="2 str. 1 d."/>
                <w:tag w:val="part_90187a462f9e4107beb8903b00192428"/>
                <w:lock w:val="sdtLocked"/>
                <w:richText/>
              </w:sdtPr>
              <w:sdtContent>
                <w:p>
                  <w:pPr>
                    <w:ind w:firstLine="720"/>
                    <w:jc w:val="both"/>
                    <w:rPr>
                      <w:szCs w:val="24"/>
                      <w:lang w:eastAsia="lt-LT"/>
                    </w:rPr>
                  </w:pPr>
                  <w:r>
                    <w:rPr>
                      <w:szCs w:val="24"/>
                      <w:lang w:eastAsia="lt-LT"/>
                    </w:rPr>
                    <w:t>Pakeisti 24 straipsnio 1 dalį ir ją išdėstyti taip:</w:t>
                  </w:r>
                </w:p>
                <w:sdt>
                  <w:sdtPr>
                    <w:alias w:val="citata"/>
                    <w:tag w:val="part_f9489d5fba354c0a8e00f04f0085d8c0"/>
                    <w:lock w:val="sdtLocked"/>
                    <w:richText/>
                  </w:sdtPr>
                  <w:sdtContent>
                    <w:sdt>
                      <w:sdtPr>
                        <w:alias w:val="1 d."/>
                        <w:tag w:val="part_582ee3bb243e4e358f543e1ada9b773e"/>
                        <w:lock w:val="sdtLocked"/>
                        <w:richText/>
                      </w:sdtPr>
                      <w:sdtContent>
                        <w:p>
                          <w:pPr>
                            <w:ind w:firstLine="709"/>
                            <w:jc w:val="both"/>
                            <w:rPr>
                              <w:szCs w:val="24"/>
                              <w:lang w:eastAsia="lt-LT"/>
                            </w:rPr>
                          </w:pPr>
                          <w:r>
                            <w:rPr>
                              <w:szCs w:val="24"/>
                              <w:lang w:eastAsia="lt-LT"/>
                            </w:rPr>
                            <w:t>„</w:t>
                          </w:r>
                          <w:sdt>
                            <w:sdtPr>
                              <w:alias w:val="Numeris"/>
                              <w:tag w:val="nr_582ee3bb243e4e358f543e1ada9b773e"/>
                              <w:lock w:val="sdtLocked"/>
                              <w:richText/>
                            </w:sdtPr>
                            <w:sdtContent>
                              <w:r>
                                <w:rPr>
                                  <w:szCs w:val="24"/>
                                  <w:lang w:eastAsia="lt-LT"/>
                                </w:rPr>
                                <w:t>1</w:t>
                              </w:r>
                            </w:sdtContent>
                          </w:sdt>
                          <w:r>
                            <w:rPr>
                              <w:szCs w:val="24"/>
                              <w:lang w:eastAsia="lt-LT"/>
                            </w:rPr>
                            <w:t>. Viešojo intereso įmonėse, akcinėse bendrovėse, šio straipsnio 2 dalyje nurodytose uždarosiose akcinėse bendrovėse, kooperatinėse bendrovėse (kooperatyvuose), tikrosiose ūkinėse bendrijose ir komanditinėse ūkinėse bendrijose, kuriose visi tikrieji nariai yra akcinės bendrovės ar uždarosios akcinės bendrovės, taip pat uždarosiose akcinėse bendrovėse, kuriose akcininkė yra valstybė ir (arba) savivaldybė, uždarosiose akcinėse bendrovėse, kurių prekių (paslaugų) kainos reguliuojamos įstatymų nustatyta tvarka, turi būti atliktas metinių finansinių ataskaitų auditas.“</w:t>
                          </w:r>
                        </w:p>
                        <w:p>
                          <w:pPr>
                            <w:ind w:firstLine="709"/>
                            <w:jc w:val="both"/>
                            <w:rPr>
                              <w:szCs w:val="24"/>
                              <w:lang w:eastAsia="lt-LT"/>
                            </w:rPr>
                          </w:pPr>
                        </w:p>
                      </w:sdtContent>
                    </w:sdt>
                  </w:sdtContent>
                </w:sdt>
              </w:sdtContent>
            </w:sdt>
          </w:sdtContent>
        </w:sdt>
        <w:sdt>
          <w:sdtPr>
            <w:alias w:val="3 str."/>
            <w:tag w:val="part_3959dd2b0aef4d008a061921c2d1a1b4"/>
            <w:lock w:val="sdtLocked"/>
            <w:richText/>
          </w:sdtPr>
          <w:sdtContent>
            <w:p>
              <w:pPr>
                <w:ind w:left="2700" w:hanging="1980"/>
                <w:rPr>
                  <w:b/>
                  <w:szCs w:val="24"/>
                </w:rPr>
              </w:pPr>
              <w:sdt>
                <w:sdtPr>
                  <w:alias w:val="Numeris"/>
                  <w:tag w:val="nr_3959dd2b0aef4d008a061921c2d1a1b4"/>
                  <w:lock w:val="sdtLocked"/>
                  <w:richText/>
                </w:sdtPr>
                <w:sdtContent>
                  <w:r>
                    <w:rPr>
                      <w:b/>
                      <w:bCs/>
                      <w:szCs w:val="24"/>
                    </w:rPr>
                    <w:t>3</w:t>
                  </w:r>
                </w:sdtContent>
              </w:sdt>
              <w:r>
                <w:rPr>
                  <w:b/>
                  <w:bCs/>
                  <w:szCs w:val="24"/>
                </w:rPr>
                <w:t xml:space="preserve"> straipsnis. </w:t>
              </w:r>
              <w:sdt>
                <w:sdtPr>
                  <w:alias w:val="Pavadinimas"/>
                  <w:tag w:val="title_3959dd2b0aef4d008a061921c2d1a1b4"/>
                  <w:lock w:val="sdtLocked"/>
                  <w:richText/>
                </w:sdtPr>
                <w:sdtContent>
                  <w:r>
                    <w:rPr>
                      <w:b/>
                      <w:bCs/>
                      <w:szCs w:val="24"/>
                    </w:rPr>
                    <w:t>Įstatymo įsigaliojimas</w:t>
                  </w:r>
                </w:sdtContent>
              </w:sdt>
            </w:p>
            <w:sdt>
              <w:sdtPr>
                <w:alias w:val="3 str. 1 d."/>
                <w:tag w:val="part_73d2906343644859a19b7e2fdc4c65fc"/>
                <w:lock w:val="sdtLocked"/>
                <w:richText/>
              </w:sdtPr>
              <w:sdtContent>
                <w:p>
                  <w:pPr>
                    <w:ind w:firstLine="720"/>
                    <w:jc w:val="both"/>
                    <w:rPr>
                      <w:szCs w:val="24"/>
                    </w:rPr>
                  </w:pPr>
                  <w:r>
                    <w:rPr>
                      <w:bCs/>
                      <w:color w:val="000000"/>
                      <w:szCs w:val="24"/>
                    </w:rPr>
                    <w:t>Šis įstatymas įsigalioja 2016 m. birželio 17 d.</w:t>
                  </w:r>
                </w:p>
                <w:p>
                  <w:pPr>
                    <w:ind w:firstLine="720"/>
                    <w:jc w:val="both"/>
                    <w:rPr>
                      <w:szCs w:val="24"/>
                      <w:lang w:eastAsia="lt-LT"/>
                    </w:rPr>
                  </w:pPr>
                </w:p>
                <w:p>
                  <w:pPr>
                    <w:ind w:left="720"/>
                    <w:jc w:val="both"/>
                    <w:rPr>
                      <w:color w:val="000000"/>
                      <w:szCs w:val="24"/>
                      <w:lang w:eastAsia="lt-LT"/>
                    </w:rPr>
                  </w:pPr>
                </w:p>
              </w:sdtContent>
            </w:sdt>
          </w:sdtContent>
        </w:sdt>
        <w:sdt>
          <w:sdtPr>
            <w:alias w:val="signatura"/>
            <w:tag w:val="part_954e87001b074b7388f15c407674578e"/>
            <w:lock w:val="sdtLocked"/>
            <w:richText/>
          </w:sdtPr>
          <w:sdtContent>
            <w:p>
              <w:pPr>
                <w:ind w:firstLine="709"/>
                <w:jc w:val="both"/>
                <w:rPr>
                  <w:i/>
                  <w:iCs/>
                  <w:color w:val="000000"/>
                  <w:szCs w:val="24"/>
                  <w:lang w:eastAsia="lt-LT"/>
                </w:rPr>
              </w:pPr>
              <w:r>
                <w:rPr>
                  <w:i/>
                  <w:iCs/>
                  <w:color w:val="000000"/>
                  <w:szCs w:val="24"/>
                  <w:lang w:eastAsia="lt-LT"/>
                </w:rPr>
                <w:t>Skelbiu šį Lietuvos Respublikos Seimo priimtą įstatymą.</w:t>
              </w:r>
            </w:p>
            <w:p>
              <w:pPr>
                <w:jc w:val="both"/>
                <w:rPr>
                  <w:i/>
                  <w:iCs/>
                  <w:color w:val="000000"/>
                  <w:szCs w:val="24"/>
                  <w:lang w:eastAsia="lt-LT"/>
                </w:rPr>
              </w:pPr>
            </w:p>
            <w:p>
              <w:pPr>
                <w:jc w:val="both"/>
                <w:rPr>
                  <w:rFonts w:cs="Calibri"/>
                  <w:color w:val="000000"/>
                  <w:spacing w:val="-2"/>
                  <w:szCs w:val="24"/>
                  <w:lang w:eastAsia="lt-LT"/>
                </w:rPr>
              </w:pPr>
              <w:r>
                <w:rPr>
                  <w:rFonts w:cs="Calibri"/>
                  <w:color w:val="000000"/>
                  <w:spacing w:val="-2"/>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cs="Calibri"/>
          <w:sz w:val="22"/>
          <w:szCs w:val="22"/>
        </w:rPr>
      </w:pPr>
      <w:r>
        <w:rPr>
          <w:rFonts w:ascii="Calibri" w:hAnsi="Calibri" w:cs="Calibri"/>
          <w:sz w:val="22"/>
          <w:szCs w:val="22"/>
        </w:rPr>
        <w:separator/>
      </w:r>
    </w:p>
  </w:endnote>
  <w:endnote w:type="continuationSeparator" w:id="0">
    <w:p>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cs="Calibri"/>
          <w:sz w:val="22"/>
          <w:szCs w:val="22"/>
        </w:rPr>
      </w:pPr>
      <w:r>
        <w:rPr>
          <w:rFonts w:ascii="Calibri" w:hAnsi="Calibri" w:cs="Calibri"/>
          <w:sz w:val="22"/>
          <w:szCs w:val="22"/>
        </w:rPr>
        <w:separator/>
      </w:r>
    </w:p>
  </w:footnote>
  <w:footnote w:type="continuationSeparator" w:id="0">
    <w:p>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Calibri" w:hAnsi="Calibri"/>
        <w:sz w:val="22"/>
        <w:szCs w:val="22"/>
      </w:rPr>
    </w:pPr>
    <w:r>
      <w:rPr>
        <w:rFonts w:ascii="Calibri" w:hAnsi="Calibri"/>
        <w:sz w:val="22"/>
        <w:szCs w:val="22"/>
      </w:rPr>
      <w:fldChar w:fldCharType="begin"/>
    </w:r>
    <w:r>
      <w:rPr>
        <w:rFonts w:ascii="Calibri" w:hAnsi="Calibri"/>
        <w:sz w:val="22"/>
        <w:szCs w:val="22"/>
      </w:rPr>
      <w:instrText xml:space="preserve"> PAGE   \* MERGEFORMAT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1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9496947">
      <w:bodyDiv w:val="1"/>
      <w:marLeft w:val="0"/>
      <w:marRight w:val="0"/>
      <w:marTop w:val="0"/>
      <w:marBottom w:val="0"/>
      <w:divBdr>
        <w:top w:val="none" w:sz="0" w:space="0" w:color="auto"/>
        <w:left w:val="none" w:sz="0" w:space="0" w:color="auto"/>
        <w:bottom w:val="none" w:sz="0" w:space="0" w:color="auto"/>
        <w:right w:val="none" w:sz="0" w:space="0" w:color="auto"/>
      </w:divBdr>
      <w:divsChild>
        <w:div w:id="1782648843">
          <w:marLeft w:val="0"/>
          <w:marRight w:val="0"/>
          <w:marTop w:val="0"/>
          <w:marBottom w:val="0"/>
          <w:divBdr>
            <w:top w:val="none" w:sz="0" w:space="0" w:color="auto"/>
            <w:left w:val="none" w:sz="0" w:space="0" w:color="auto"/>
            <w:bottom w:val="none" w:sz="0" w:space="0" w:color="auto"/>
            <w:right w:val="none" w:sz="0" w:space="0" w:color="auto"/>
          </w:divBdr>
          <w:divsChild>
            <w:div w:id="133950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088942">
      <w:bodyDiv w:val="1"/>
      <w:marLeft w:val="225"/>
      <w:marRight w:val="225"/>
      <w:marTop w:val="0"/>
      <w:marBottom w:val="0"/>
      <w:divBdr>
        <w:top w:val="none" w:sz="0" w:space="0" w:color="auto"/>
        <w:left w:val="none" w:sz="0" w:space="0" w:color="auto"/>
        <w:bottom w:val="none" w:sz="0" w:space="0" w:color="auto"/>
        <w:right w:val="none" w:sz="0" w:space="0" w:color="auto"/>
      </w:divBdr>
      <w:divsChild>
        <w:div w:id="2064329448">
          <w:marLeft w:val="0"/>
          <w:marRight w:val="0"/>
          <w:marTop w:val="0"/>
          <w:marBottom w:val="0"/>
          <w:divBdr>
            <w:top w:val="none" w:sz="0" w:space="0" w:color="auto"/>
            <w:left w:val="none" w:sz="0" w:space="0" w:color="auto"/>
            <w:bottom w:val="none" w:sz="0" w:space="0" w:color="auto"/>
            <w:right w:val="none" w:sz="0" w:space="0" w:color="auto"/>
          </w:divBdr>
        </w:div>
      </w:divsChild>
    </w:div>
    <w:div w:id="222103097">
      <w:bodyDiv w:val="1"/>
      <w:marLeft w:val="0"/>
      <w:marRight w:val="0"/>
      <w:marTop w:val="0"/>
      <w:marBottom w:val="0"/>
      <w:divBdr>
        <w:top w:val="none" w:sz="0" w:space="0" w:color="auto"/>
        <w:left w:val="none" w:sz="0" w:space="0" w:color="auto"/>
        <w:bottom w:val="none" w:sz="0" w:space="0" w:color="auto"/>
        <w:right w:val="none" w:sz="0" w:space="0" w:color="auto"/>
      </w:divBdr>
    </w:div>
    <w:div w:id="380793080">
      <w:bodyDiv w:val="1"/>
      <w:marLeft w:val="225"/>
      <w:marRight w:val="225"/>
      <w:marTop w:val="0"/>
      <w:marBottom w:val="0"/>
      <w:divBdr>
        <w:top w:val="none" w:sz="0" w:space="0" w:color="auto"/>
        <w:left w:val="none" w:sz="0" w:space="0" w:color="auto"/>
        <w:bottom w:val="none" w:sz="0" w:space="0" w:color="auto"/>
        <w:right w:val="none" w:sz="0" w:space="0" w:color="auto"/>
      </w:divBdr>
      <w:divsChild>
        <w:div w:id="533006831">
          <w:marLeft w:val="0"/>
          <w:marRight w:val="0"/>
          <w:marTop w:val="0"/>
          <w:marBottom w:val="0"/>
          <w:divBdr>
            <w:top w:val="none" w:sz="0" w:space="0" w:color="auto"/>
            <w:left w:val="none" w:sz="0" w:space="0" w:color="auto"/>
            <w:bottom w:val="none" w:sz="0" w:space="0" w:color="auto"/>
            <w:right w:val="none" w:sz="0" w:space="0" w:color="auto"/>
          </w:divBdr>
        </w:div>
      </w:divsChild>
    </w:div>
    <w:div w:id="1056467329">
      <w:bodyDiv w:val="1"/>
      <w:marLeft w:val="0"/>
      <w:marRight w:val="0"/>
      <w:marTop w:val="0"/>
      <w:marBottom w:val="0"/>
      <w:divBdr>
        <w:top w:val="none" w:sz="0" w:space="0" w:color="auto"/>
        <w:left w:val="none" w:sz="0" w:space="0" w:color="auto"/>
        <w:bottom w:val="none" w:sz="0" w:space="0" w:color="auto"/>
        <w:right w:val="none" w:sz="0" w:space="0" w:color="auto"/>
      </w:divBdr>
    </w:div>
    <w:div w:id="1410275390">
      <w:bodyDiv w:val="1"/>
      <w:marLeft w:val="0"/>
      <w:marRight w:val="0"/>
      <w:marTop w:val="0"/>
      <w:marBottom w:val="0"/>
      <w:divBdr>
        <w:top w:val="none" w:sz="0" w:space="0" w:color="auto"/>
        <w:left w:val="none" w:sz="0" w:space="0" w:color="auto"/>
        <w:bottom w:val="none" w:sz="0" w:space="0" w:color="auto"/>
        <w:right w:val="none" w:sz="0" w:space="0" w:color="auto"/>
      </w:divBdr>
    </w:div>
    <w:div w:id="1438477221">
      <w:bodyDiv w:val="1"/>
      <w:marLeft w:val="0"/>
      <w:marRight w:val="0"/>
      <w:marTop w:val="0"/>
      <w:marBottom w:val="0"/>
      <w:divBdr>
        <w:top w:val="none" w:sz="0" w:space="0" w:color="auto"/>
        <w:left w:val="none" w:sz="0" w:space="0" w:color="auto"/>
        <w:bottom w:val="none" w:sz="0" w:space="0" w:color="auto"/>
        <w:right w:val="none" w:sz="0" w:space="0" w:color="auto"/>
      </w:divBdr>
    </w:div>
    <w:div w:id="1920289709">
      <w:bodyDiv w:val="1"/>
      <w:marLeft w:val="225"/>
      <w:marRight w:val="225"/>
      <w:marTop w:val="0"/>
      <w:marBottom w:val="0"/>
      <w:divBdr>
        <w:top w:val="none" w:sz="0" w:space="0" w:color="auto"/>
        <w:left w:val="none" w:sz="0" w:space="0" w:color="auto"/>
        <w:bottom w:val="none" w:sz="0" w:space="0" w:color="auto"/>
        <w:right w:val="none" w:sz="0" w:space="0" w:color="auto"/>
      </w:divBdr>
      <w:divsChild>
        <w:div w:id="17314345">
          <w:marLeft w:val="0"/>
          <w:marRight w:val="0"/>
          <w:marTop w:val="0"/>
          <w:marBottom w:val="0"/>
          <w:divBdr>
            <w:top w:val="none" w:sz="0" w:space="0" w:color="auto"/>
            <w:left w:val="none" w:sz="0" w:space="0" w:color="auto"/>
            <w:bottom w:val="none" w:sz="0" w:space="0" w:color="auto"/>
            <w:right w:val="none" w:sz="0" w:space="0" w:color="auto"/>
          </w:divBdr>
        </w:div>
      </w:divsChild>
    </w:div>
    <w:div w:id="1982037787">
      <w:bodyDiv w:val="1"/>
      <w:marLeft w:val="225"/>
      <w:marRight w:val="225"/>
      <w:marTop w:val="0"/>
      <w:marBottom w:val="0"/>
      <w:divBdr>
        <w:top w:val="none" w:sz="0" w:space="0" w:color="auto"/>
        <w:left w:val="none" w:sz="0" w:space="0" w:color="auto"/>
        <w:bottom w:val="none" w:sz="0" w:space="0" w:color="auto"/>
        <w:right w:val="none" w:sz="0" w:space="0" w:color="auto"/>
      </w:divBdr>
      <w:divsChild>
        <w:div w:id="1292445505">
          <w:marLeft w:val="0"/>
          <w:marRight w:val="0"/>
          <w:marTop w:val="0"/>
          <w:marBottom w:val="0"/>
          <w:divBdr>
            <w:top w:val="none" w:sz="0" w:space="0" w:color="auto"/>
            <w:left w:val="none" w:sz="0" w:space="0" w:color="auto"/>
            <w:bottom w:val="none" w:sz="0" w:space="0" w:color="auto"/>
            <w:right w:val="none" w:sz="0" w:space="0" w:color="auto"/>
          </w:divBdr>
        </w:div>
      </w:divsChild>
    </w:div>
    <w:div w:id="1997682857">
      <w:bodyDiv w:val="1"/>
      <w:marLeft w:val="0"/>
      <w:marRight w:val="0"/>
      <w:marTop w:val="0"/>
      <w:marBottom w:val="0"/>
      <w:divBdr>
        <w:top w:val="none" w:sz="0" w:space="0" w:color="auto"/>
        <w:left w:val="none" w:sz="0" w:space="0" w:color="auto"/>
        <w:bottom w:val="none" w:sz="0" w:space="0" w:color="auto"/>
        <w:right w:val="none" w:sz="0" w:space="0" w:color="auto"/>
      </w:divBdr>
      <w:divsChild>
        <w:div w:id="733624410">
          <w:marLeft w:val="0"/>
          <w:marRight w:val="0"/>
          <w:marTop w:val="0"/>
          <w:marBottom w:val="0"/>
          <w:divBdr>
            <w:top w:val="none" w:sz="0" w:space="0" w:color="auto"/>
            <w:left w:val="none" w:sz="0" w:space="0" w:color="auto"/>
            <w:bottom w:val="none" w:sz="0" w:space="0" w:color="auto"/>
            <w:right w:val="none" w:sz="0" w:space="0" w:color="auto"/>
          </w:divBdr>
          <w:divsChild>
            <w:div w:id="158205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110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da34674ea1c474395b845e03fbf61a5" PartId="4767a0bd93de4b28822b3f68b18dc225">
    <Part Type="straipsnis" Nr="1" Abbr="1 str." Title="4 straipsnio pakeitimas" DocPartId="03e40f5e231149f3a306e3ac85a43fbd" PartId="f0352f50a79042429c419950ba355914">
      <Part Type="strDalis" Nr="1" Abbr="1 str. 1 d." DocPartId="68fa48d43eba4a2ab4947ebcaea89914" PartId="3815dcd3ac694f7f957dbfb643edad8d">
        <Part Type="citata" DocPartId="5d9f0c73c4f0457f9e303ba7abc59e3d" PartId="08be342810ba48f39fde216e2f8aef69">
          <Part Type="strDalis" Nr="9" Abbr="9 d." DocPartId="811acbd0fe5c44a3acf25dd57de05c2c" PartId="a7c01164693540ffb504346e9dd3ddbc"/>
        </Part>
      </Part>
    </Part>
    <Part Type="straipsnis" Nr="2" Abbr="2 str." Title="24 straipsnio pakeitimas" DocPartId="a436c34c934246d5b437e5aecd6282b3" PartId="abf4591be0674109b9a4cde5293e87a9">
      <Part Type="strDalis" Nr="1" Abbr="2 str. 1 d." DocPartId="aa34d95236be4d428ffef9126f25ce2e" PartId="90187a462f9e4107beb8903b00192428">
        <Part Type="citata" DocPartId="40217f7c05ba4daaa3e1f03428bf3792" PartId="f9489d5fba354c0a8e00f04f0085d8c0">
          <Part Type="strDalis" Nr="1" Abbr="1 d." DocPartId="621663e9737340348055d025bf955ced" PartId="582ee3bb243e4e358f543e1ada9b773e"/>
        </Part>
      </Part>
    </Part>
    <Part Type="straipsnis" Nr="3" Abbr="3 str." Title="Įstatymo įsigaliojimas" DocPartId="dc00d08742a54f70a8bc401e8515ae53" PartId="3959dd2b0aef4d008a061921c2d1a1b4">
      <Part Type="strDalis" Nr="1" Abbr="3 str. 1 d." DocPartId="25c7b0827b9541648b339b7c5f400950" PartId="73d2906343644859a19b7e2fdc4c65fc"/>
    </Part>
    <Part Type="signatura" DocPartId="6af0aea061db48409b62809be56f5b59" PartId="954e87001b074b7388f15c407674578e"/>
  </Part>
</Parts>
</file>

<file path=customXml/itemProps1.xml><?xml version="1.0" encoding="utf-8"?>
<ds:datastoreItem xmlns:ds="http://schemas.openxmlformats.org/officeDocument/2006/customXml" ds:itemID="{6377ACD7-4E1C-4F94-ADEB-70D9F25A65D6}">
  <ds:schemaRefs>
    <ds:schemaRef ds:uri="http://schemas.openxmlformats.org/officeDocument/2006/bibliography"/>
  </ds:schemaRefs>
</ds:datastoreItem>
</file>

<file path=customXml/itemProps2.xml><?xml version="1.0" encoding="utf-8"?>
<ds:datastoreItem xmlns:ds="http://schemas.openxmlformats.org/officeDocument/2006/customXml" ds:itemID="{275B5416-D77F-4040-A449-E0007341BD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150</Words>
  <Characters>1038</Characters>
  <Application>Microsoft Office Word</Application>
  <DocSecurity>4</DocSecurity>
  <Lines>33</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lyginamasis variantas</vt:lpstr>
      <vt:lpstr>Projekto lyginamasis variantas</vt:lpstr>
    </vt:vector>
  </TitlesOfParts>
  <Company>LR finansų ministerija</Company>
  <LinksUpToDate>false</LinksUpToDate>
  <CharactersWithSpaces>1170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2016-06-01T07:11:00Z</dcterms:created>
  <dc:creator>Ramutė Bužavienė</dc:creator>
  <lastModifiedBy>CLUSadmin</lastModifiedBy>
  <lastPrinted>2015-10-29T08:35:00Z</lastPrinted>
  <dcterms:modified xsi:type="dcterms:W3CDTF">2016-06-01T07:11:00Z</dcterms:modified>
  <revision>2</revision>
  <dc:title>Projekto lyginamasis variantas</dc:title>
</coreProperties>
</file>