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tbl>
      <w:tblPr>
        <w:tblW w:w="14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</w:tblGrid>
      <w:tr>
        <w:tc>
          <w:tcPr>
            <w:tcW w:w="0" w:type="auto"/>
            <w:shd w:val="clear" w:color="auto" w:fill="FFECC2"/>
            <w:vAlign w:val="center"/>
            <w:hideMark/>
          </w:tcPr>
          <w:p>
            <w:pPr>
              <w:tabs>
                <w:tab w:val="center" w:pos="4153"/>
                <w:tab w:val="right" w:pos="8306"/>
              </w:tabs>
              <w:ind w:firstLine="567"/>
              <w:jc w:val="both"/>
              <w:rPr>
                <w:sz w:val="26"/>
              </w:rPr>
            </w:pPr>
          </w:p>
          <w:p>
            <w:pPr>
              <w:framePr w:w="5670" w:hSpace="181" w:wrap="auto" w:vAnchor="page" w:hAnchor="margin" w:xAlign="center" w:y="3120"/>
              <w:tabs>
                <w:tab w:val="left" w:leader="underscore" w:pos="2835"/>
                <w:tab w:val="left" w:leader="underscore" w:pos="5529"/>
              </w:tabs>
              <w:rPr>
                <w:b/>
                <w:sz w:val="16"/>
              </w:rPr>
            </w:pPr>
          </w:p>
          <w:p>
            <w:pPr>
              <w:framePr w:w="5670" w:hSpace="181" w:wrap="auto" w:vAnchor="page" w:hAnchor="margin" w:xAlign="center" w:y="3120"/>
              <w:tabs>
                <w:tab w:val="left" w:leader="underscore" w:pos="2835"/>
                <w:tab w:val="left" w:leader="underscore" w:pos="5529"/>
              </w:tabs>
              <w:spacing w:line="600" w:lineRule="auto"/>
              <w:jc w:val="center"/>
              <w:rPr>
                <w:sz w:val="8"/>
              </w:rPr>
            </w:pPr>
          </w:p>
          <w:p>
            <w:pPr>
              <w:framePr w:w="5670" w:hSpace="181" w:wrap="auto" w:vAnchor="page" w:hAnchor="margin" w:xAlign="center" w:y="3120"/>
              <w:tabs>
                <w:tab w:val="left" w:leader="underscore" w:pos="2835"/>
                <w:tab w:val="left" w:leader="underscore" w:pos="5529"/>
              </w:tabs>
              <w:spacing w:line="600" w:lineRule="auto"/>
              <w:jc w:val="center"/>
              <w:rPr>
                <w:sz w:val="8"/>
              </w:rPr>
            </w:pPr>
          </w:p>
          <w:p>
            <w:pPr>
              <w:framePr w:w="5670" w:hSpace="181" w:wrap="auto" w:vAnchor="page" w:hAnchor="margin" w:xAlign="center" w:y="3120"/>
              <w:tabs>
                <w:tab w:val="left" w:leader="underscore" w:pos="2835"/>
                <w:tab w:val="left" w:leader="underscore" w:pos="5529"/>
              </w:tabs>
              <w:spacing w:line="600" w:lineRule="auto"/>
              <w:jc w:val="center"/>
              <w:rPr>
                <w:sz w:val="8"/>
              </w:rPr>
            </w:pPr>
          </w:p>
          <w:p>
            <w:pPr>
              <w:framePr w:w="5670" w:hSpace="181" w:wrap="auto" w:vAnchor="page" w:hAnchor="margin" w:xAlign="center" w:y="3120"/>
              <w:tabs>
                <w:tab w:val="left" w:leader="underscore" w:pos="2835"/>
                <w:tab w:val="left" w:leader="underscore" w:pos="5529"/>
              </w:tabs>
              <w:spacing w:line="600" w:lineRule="auto"/>
              <w:jc w:val="center"/>
              <w:rPr>
                <w:sz w:val="4"/>
                <w:szCs w:val="4"/>
              </w:rPr>
            </w:pPr>
          </w:p>
          <w:p>
            <w:pPr>
              <w:framePr w:w="5670" w:hSpace="181" w:wrap="auto" w:vAnchor="page" w:hAnchor="margin" w:xAlign="center" w:y="3120"/>
              <w:tabs>
                <w:tab w:val="left" w:leader="underscore" w:pos="2835"/>
                <w:tab w:val="left" w:leader="underscore" w:pos="5529"/>
              </w:tabs>
              <w:spacing w:line="600" w:lineRule="auto"/>
              <w:jc w:val="center"/>
              <w:rPr>
                <w:sz w:val="4"/>
                <w:szCs w:val="4"/>
              </w:rPr>
            </w:pPr>
          </w:p>
          <w:p>
            <w:pPr>
              <w:framePr w:w="5670" w:hSpace="181" w:wrap="auto" w:vAnchor="page" w:hAnchor="margin" w:xAlign="center" w:y="3120"/>
              <w:tabs>
                <w:tab w:val="left" w:leader="underscore" w:pos="2835"/>
                <w:tab w:val="left" w:leader="underscore" w:pos="5529"/>
              </w:tabs>
              <w:spacing w:line="600" w:lineRule="auto"/>
              <w:jc w:val="center"/>
              <w:rPr>
                <w:sz w:val="4"/>
                <w:szCs w:val="4"/>
              </w:rPr>
            </w:pPr>
          </w:p>
          <w:p>
            <w:pPr>
              <w:framePr w:w="5670" w:hSpace="181" w:wrap="auto" w:vAnchor="page" w:hAnchor="margin" w:xAlign="center" w:y="3120"/>
              <w:tabs>
                <w:tab w:val="left" w:leader="underscore" w:pos="2835"/>
                <w:tab w:val="left" w:leader="underscore" w:pos="5529"/>
              </w:tabs>
              <w:spacing w:line="600" w:lineRule="auto"/>
              <w:jc w:val="center"/>
              <w:rPr>
                <w:sz w:val="4"/>
                <w:szCs w:val="4"/>
              </w:rPr>
            </w:pPr>
          </w:p>
          <w:p>
            <w:pPr>
              <w:framePr w:w="5670" w:hSpace="181" w:wrap="auto" w:vAnchor="page" w:hAnchor="margin" w:xAlign="center" w:y="3120"/>
              <w:tabs>
                <w:tab w:val="left" w:leader="underscore" w:pos="2835"/>
                <w:tab w:val="left" w:leader="underscore" w:pos="5529"/>
              </w:tabs>
              <w:spacing w:line="720" w:lineRule="auto"/>
              <w:jc w:val="center"/>
              <w:rPr>
                <w:u w:val="single"/>
              </w:rPr>
            </w:pPr>
            <w:r>
              <w:t>Prienai</w:t>
            </w:r>
          </w:p>
          <w:p>
            <w:pPr>
              <w:framePr w:w="6324" w:hSpace="181" w:wrap="auto" w:vAnchor="page" w:hAnchor="page" w:x="3168" w:y="1153"/>
              <w:ind w:right="-2"/>
              <w:jc w:val="both"/>
              <w:rPr>
                <w:sz w:val="18"/>
              </w:rPr>
            </w:pPr>
          </w:p>
          <w:p>
            <w:pPr>
              <w:framePr w:w="6324" w:hSpace="181" w:wrap="auto" w:vAnchor="page" w:hAnchor="page" w:x="3168" w:y="1153"/>
              <w:ind w:right="-2"/>
              <w:jc w:val="both"/>
              <w:rPr>
                <w:sz w:val="18"/>
              </w:rPr>
            </w:pPr>
          </w:p>
          <w:p>
            <w:pPr>
              <w:framePr w:w="6324" w:hSpace="181" w:wrap="auto" w:vAnchor="page" w:hAnchor="page" w:x="3168" w:y="1153"/>
              <w:ind w:right="-2"/>
              <w:jc w:val="both"/>
              <w:rPr>
                <w:sz w:val="18"/>
              </w:rPr>
            </w:pPr>
          </w:p>
          <w:p>
            <w:pPr>
              <w:framePr w:w="6324" w:hSpace="181" w:wrap="auto" w:vAnchor="page" w:hAnchor="page" w:x="3168" w:y="1153"/>
              <w:jc w:val="center"/>
              <w:rPr>
                <w:sz w:val="10"/>
              </w:rPr>
            </w:pPr>
          </w:p>
          <w:p>
            <w:pPr>
              <w:framePr w:w="6324" w:hSpace="181" w:wrap="auto" w:vAnchor="page" w:hAnchor="page" w:x="3168" w:y="11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PRIENŲ RAJONO SAVIVALDYBĖS TARYBA</w:t>
            </w:r>
          </w:p>
          <w:p>
            <w:pPr>
              <w:framePr w:w="6324" w:hSpace="181" w:wrap="auto" w:vAnchor="page" w:hAnchor="page" w:x="3168" w:y="1153"/>
              <w:jc w:val="center"/>
              <w:rPr>
                <w:b/>
                <w:sz w:val="28"/>
              </w:rPr>
            </w:pPr>
          </w:p>
          <w:p>
            <w:pPr>
              <w:framePr w:w="6324" w:hSpace="181" w:wrap="auto" w:vAnchor="page" w:hAnchor="page" w:x="3168" w:y="1153"/>
              <w:jc w:val="center"/>
              <w:rPr>
                <w:b/>
                <w:sz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ind w:firstLine="567"/>
              <w:jc w:val="right"/>
              <w:rPr>
                <w:sz w:val="26"/>
              </w:rPr>
            </w:pPr>
            <w:r>
              <w:rPr>
                <w:b/>
                <w:sz w:val="26"/>
              </w:rPr>
              <w:t>Projektas</w:t>
            </w:r>
            <w:r>
              <w:rPr>
                <w:sz w:val="26"/>
              </w:rPr>
              <w:t xml:space="preserve">                                                                                             </w:t>
            </w:r>
          </w:p>
          <w:p>
            <w:pPr>
              <w:ind w:firstLine="567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>
      <w:pPr>
        <w:spacing w:line="360" w:lineRule="auto"/>
        <w:ind w:firstLine="2160"/>
        <w:jc w:val="center"/>
        <w:rPr>
          <w:szCs w:val="24"/>
        </w:rPr>
      </w:pPr>
    </w:p>
    <w:p>
      <w:pPr>
        <w:keepNext/>
        <w:spacing w:line="360" w:lineRule="auto"/>
        <w:jc w:val="both"/>
        <w:outlineLvl w:val="4"/>
        <w:rPr>
          <w:b/>
          <w:szCs w:val="24"/>
        </w:rPr>
      </w:pPr>
    </w:p>
    <w:p>
      <w:pPr>
        <w:spacing w:line="360" w:lineRule="auto"/>
        <w:ind w:firstLine="851"/>
        <w:jc w:val="both"/>
        <w:rPr>
          <w:szCs w:val="24"/>
        </w:rPr>
      </w:pPr>
    </w:p>
    <w:p>
      <w:pPr>
        <w:spacing w:line="360" w:lineRule="auto"/>
        <w:ind w:firstLine="851"/>
        <w:jc w:val="both"/>
        <w:rPr>
          <w:szCs w:val="24"/>
        </w:rPr>
      </w:pPr>
    </w:p>
    <w:p>
      <w:pPr>
        <w:spacing w:line="360" w:lineRule="auto"/>
        <w:ind w:firstLine="851"/>
        <w:jc w:val="both"/>
        <w:rPr>
          <w:szCs w:val="24"/>
        </w:rPr>
      </w:pP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DĖL</w:t>
      </w:r>
      <w:r>
        <w:rPr>
          <w:szCs w:val="24"/>
        </w:rPr>
        <w:t xml:space="preserve"> </w:t>
      </w:r>
      <w:r>
        <w:rPr>
          <w:b/>
          <w:szCs w:val="24"/>
        </w:rPr>
        <w:t>PRIENŲ KULTŪROS IR LAISVALAIKIO CENTRO DIDŽIAUSIO LEISTINO PAREIGYBIŲ SKAIČIAUS PATVIRTINIMO</w:t>
      </w:r>
    </w:p>
    <w:p>
      <w:pPr>
        <w:spacing w:line="360" w:lineRule="auto"/>
        <w:jc w:val="center"/>
        <w:rPr>
          <w:sz w:val="16"/>
          <w:szCs w:val="16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2021 m. gruodžio     d. Nr.</w:t>
      </w:r>
    </w:p>
    <w:p>
      <w:pPr>
        <w:spacing w:line="276" w:lineRule="auto"/>
        <w:ind w:firstLine="1134"/>
        <w:jc w:val="both"/>
        <w:rPr>
          <w:szCs w:val="24"/>
        </w:rPr>
      </w:pPr>
    </w:p>
    <w:p>
      <w:pPr>
        <w:spacing w:line="276" w:lineRule="auto"/>
        <w:ind w:firstLine="1134"/>
        <w:jc w:val="both"/>
        <w:rPr>
          <w:szCs w:val="24"/>
        </w:rPr>
      </w:pPr>
    </w:p>
    <w:p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18 straipsnio 1 dalimi, Lietuvos Respublikos biudžetinių įstaigų įstatymo 4 straipsnio 3 dalies 7 punktu, Prienų kultūros ir laisvalaikio centro nuostatų, patvirtintų Prienų rajono savivaldybės tarybos 2015 m. lapkričio 26 d. sprendimu Nr. T3-218 „Dėl Prienų rajono savivaldybės kultūros įstaigų nuostatų patvirtinimo“, 17.6 papunkčiu ir atsižvelgdama į Prienų kultūros ir laisvalaikio centro 2021-11-12 raštą Nr. (1.3)-R2-163 „Dėl didžiausio leistino pareigybių skaičiaus“, Prienų rajono savivaldybės taryba </w:t>
      </w:r>
      <w:r>
        <w:rPr>
          <w:spacing w:val="80"/>
          <w:szCs w:val="24"/>
        </w:rPr>
        <w:t>nusprendži</w:t>
      </w:r>
      <w:r>
        <w:rPr>
          <w:szCs w:val="24"/>
        </w:rPr>
        <w:t>a:</w:t>
      </w:r>
    </w:p>
    <w:p>
      <w:pPr>
        <w:spacing w:line="276" w:lineRule="auto"/>
        <w:ind w:firstLine="851"/>
        <w:jc w:val="both"/>
        <w:rPr>
          <w:sz w:val="26"/>
        </w:rPr>
      </w:pPr>
      <w:r>
        <w:rPr>
          <w:szCs w:val="24"/>
        </w:rPr>
        <w:t>1</w:t>
      </w:r>
      <w:r>
        <w:rPr>
          <w:szCs w:val="24"/>
        </w:rPr>
        <w:t>. Patvirtinti Prienų kultūros ir laisvalaikio centro didžiausią leistiną pareigybių skaičių – 32.</w:t>
      </w:r>
    </w:p>
    <w:p>
      <w:pPr>
        <w:spacing w:line="276" w:lineRule="auto"/>
        <w:ind w:firstLine="851"/>
        <w:jc w:val="both"/>
        <w:rPr>
          <w:sz w:val="26"/>
        </w:rPr>
      </w:pPr>
      <w:r>
        <w:rPr>
          <w:szCs w:val="24"/>
        </w:rPr>
        <w:t>2</w:t>
      </w:r>
      <w:r>
        <w:rPr>
          <w:szCs w:val="24"/>
        </w:rPr>
        <w:t>. Įpareigoti Prienų kultūros ir laisvalaikio centro direktorių tvirtinti pareigybių sąrašą atsižvelgiant į didžiausią leistiną pareigybių skaičių ir neviršijant Prienų kultūros ir laisvalaikio centro darbo užmokesčio fondo.</w:t>
      </w:r>
    </w:p>
    <w:p>
      <w:pPr>
        <w:spacing w:line="276" w:lineRule="auto"/>
        <w:ind w:firstLine="851"/>
        <w:jc w:val="both"/>
        <w:rPr>
          <w:sz w:val="26"/>
        </w:rPr>
      </w:pPr>
      <w:r>
        <w:rPr>
          <w:szCs w:val="24"/>
        </w:rPr>
        <w:t>3</w:t>
      </w:r>
      <w:r>
        <w:rPr>
          <w:szCs w:val="24"/>
        </w:rPr>
        <w:t xml:space="preserve">. Pripažinti netekusiu galios Prienų rajono savivaldybės tarybos 2019 m. sausio 24 d. sprendimą Nr. T3-4 „Dėl Prienų kultūros ir laisvalaikio centro didžiausio leistino pareigybių skaičiaus patvirtinimo“ su visais pakeitimais ir papildymais. </w:t>
      </w:r>
    </w:p>
    <w:p>
      <w:pPr>
        <w:spacing w:line="276" w:lineRule="auto"/>
        <w:ind w:firstLine="851"/>
        <w:jc w:val="both"/>
        <w:rPr>
          <w:sz w:val="26"/>
        </w:rPr>
      </w:pPr>
      <w:r>
        <w:rPr>
          <w:szCs w:val="24"/>
        </w:rPr>
        <w:t>4</w:t>
      </w:r>
      <w:r>
        <w:rPr>
          <w:szCs w:val="24"/>
        </w:rPr>
        <w:t>. Nustatyti, kad šis sprendimas galioja nuo 2022 m. sausio 1 d. iki 2022 m. gruodžio 31 d. (įskaitytinai).</w:t>
      </w:r>
    </w:p>
    <w:p>
      <w:pPr>
        <w:spacing w:line="276" w:lineRule="auto"/>
        <w:ind w:firstLine="851"/>
        <w:jc w:val="both"/>
        <w:rPr>
          <w:sz w:val="26"/>
        </w:rPr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spacing w:line="276" w:lineRule="auto"/>
        <w:ind w:firstLine="567"/>
        <w:jc w:val="both"/>
        <w:rPr>
          <w:szCs w:val="24"/>
        </w:rPr>
      </w:pPr>
    </w:p>
    <w:p>
      <w:pPr>
        <w:spacing w:line="276" w:lineRule="auto"/>
        <w:ind w:firstLine="567"/>
        <w:jc w:val="both"/>
        <w:rPr>
          <w:szCs w:val="24"/>
          <w:lang w:eastAsia="lt-LT"/>
        </w:rPr>
      </w:pPr>
    </w:p>
    <w:p>
      <w:pPr>
        <w:spacing w:line="276" w:lineRule="auto"/>
        <w:rPr>
          <w:szCs w:val="24"/>
          <w:lang w:eastAsia="lt-LT"/>
        </w:rPr>
      </w:pPr>
      <w:r>
        <w:rPr>
          <w:szCs w:val="24"/>
        </w:rPr>
        <w:t>Savivaldybės meras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5CC39D-6C1A-43F5-8BC8-5EF1ED9961A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13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1859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2021-12-16T08:41:00Z</dcterms:created>
  <dc:creator>noname</dc:creator>
  <lastModifiedBy>adlibuser</lastModifiedBy>
  <lastPrinted>2021-04-07T12:27:00Z</lastPrinted>
  <dcterms:modified xsi:type="dcterms:W3CDTF">2021-12-16T08:41:00Z</dcterms:modified>
  <revision>2</revision>
</coreProperties>
</file>