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2606fce1b840a58464390950dd2ba6"/>
        <w:lock w:val="sdtLocked"/>
        <w:richText/>
      </w:sdtPr>
      <w:sdtContent>
        <w:p w14:paraId="672A6659" w14:textId="77777777">
          <w:pPr>
            <w:jc w:val="center"/>
            <w:rPr>
              <w:szCs w:val="24"/>
              <w:lang w:val="en-US" w:eastAsia="lt-LT"/>
            </w:rPr>
          </w:pPr>
          <w:r>
            <w:rPr>
              <w:szCs w:val="24"/>
              <w:lang w:val="en-US" w:eastAsia="lt-LT"/>
            </w:rPr>
            <w:object w:dxaOrig="696" w:dyaOrig="801" w14:anchorId="626465A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42.75pt" o:ole="" fillcolor="window">
                <v:imagedata r:id="rId4" o:title=""/>
              </v:shape>
              <o:OLEObject Type="Embed" ProgID="CorelPhotoPaint.Image.9" ShapeID="_x0000_i1025" DrawAspect="Content" ObjectID="_1840168016" r:id="rId5"/>
            </w:object>
          </w:r>
        </w:p>
        <w:p w14:paraId="0A37501D" w14:textId="77777777">
          <w:pPr>
            <w:jc w:val="center"/>
            <w:rPr>
              <w:szCs w:val="24"/>
              <w:lang w:eastAsia="lt-LT"/>
            </w:rPr>
          </w:pPr>
        </w:p>
        <w:p w14:paraId="522C5A3E" w14:textId="77777777">
          <w:pPr>
            <w:keepNext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14:paraId="5DAB6C7B" w14:textId="77777777">
          <w:pPr>
            <w:jc w:val="center"/>
            <w:rPr>
              <w:sz w:val="28"/>
              <w:szCs w:val="28"/>
            </w:rPr>
          </w:pPr>
        </w:p>
        <w:p w14:paraId="79CD5E5D" w14:textId="77777777">
          <w:pPr>
            <w:keepNext/>
            <w:jc w:val="center"/>
            <w:outlineLvl w:val="1"/>
            <w:rPr>
              <w:b/>
              <w:bCs/>
              <w:szCs w:val="24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719023F0" w14:textId="02834DCE">
          <w:pPr>
            <w:jc w:val="center"/>
            <w:rPr>
              <w:b/>
              <w:bCs/>
              <w:sz w:val="28"/>
              <w:szCs w:val="28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</w:t>
          </w:r>
          <w:r>
            <w:rPr>
              <w:b/>
              <w:bCs/>
              <w:color w:val="212529"/>
              <w:szCs w:val="24"/>
              <w:shd w:val="clear" w:color="auto" w:fill="FFFFFF"/>
            </w:rPr>
            <w:t>VILNIAUS RAJONO SAVIVALDYBĖJE IKI 2030 METŲ NUMATOMŲ ĮRENGTI VIEŠAI PRIEINAMŲ ĮKROVIMO PRIEIGŲ PLANO PATVIRTINIMO</w:t>
          </w:r>
        </w:p>
        <w:p w14:paraId="02EB378F" w14:textId="77777777">
          <w:pPr>
            <w:jc w:val="center"/>
            <w:rPr>
              <w:b/>
              <w:szCs w:val="24"/>
              <w:lang w:eastAsia="lt-LT"/>
            </w:rPr>
          </w:pPr>
        </w:p>
        <w:p w14:paraId="79CD7B79" w14:textId="49F75826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2026 m.          d. Nr. T3-</w:t>
          </w:r>
        </w:p>
        <w:p w14:paraId="3485A90D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A05A809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db9128c049aa400fae8dc6b97901aa12"/>
            <w:lock w:val="sdtLocked"/>
            <w:richText/>
          </w:sdtPr>
          <w:sdtContent>
            <w:p w14:paraId="44C35CFA" w14:textId="393EC916">
              <w:pPr>
                <w:ind w:firstLine="720"/>
                <w:jc w:val="both"/>
                <w:rPr>
                  <w:color w:val="000000"/>
                  <w:shd w:val="clear" w:color="auto" w:fill="FFFFFF"/>
                </w:rPr>
              </w:pPr>
              <w:r>
                <w:rPr>
                  <w:color w:val="000000"/>
                  <w:shd w:val="clear" w:color="auto" w:fill="FFFFFF"/>
                </w:rPr>
                <w:t xml:space="preserve">Vadovaudamasi </w:t>
              </w:r>
              <w:r>
                <w:rPr>
                  <w:shd w:val="clear" w:color="auto" w:fill="FFFFFF"/>
                </w:rPr>
                <w:t>Lietuvos Respublikos alternatyviųjų degalų įstatymo 12 straipsnio 3 punktu ir 23</w:t>
              </w:r>
              <w:r>
                <w:rPr>
                  <w:color w:val="000000"/>
                  <w:shd w:val="clear" w:color="auto" w:fill="FFFFFF"/>
                </w:rPr>
                <w:t xml:space="preserve"> straipsnio 13 dalimi, Lietuvos Respublikos vietos savivaldos įstatymo 6 straipsnio 22 punktu ir </w:t>
              </w:r>
              <w:r>
                <w:rPr>
                  <w:shd w:val="clear" w:color="auto" w:fill="FFFFFF"/>
                </w:rPr>
                <w:t xml:space="preserve">15 straipsnio 4 dalimi, </w:t>
              </w:r>
              <w:r>
                <w:rPr>
                  <w:color w:val="212529"/>
                  <w:shd w:val="clear" w:color="auto" w:fill="FFFFFF"/>
                </w:rPr>
                <w:t xml:space="preserve">Vilniaus rajono savivaldybės 2024–2032 metų strateginio plėtros plano, patvirtinto Vilniaus rajono savivaldybės tarybos 2024 m. rugsėjo 27 d. sprendimu Nr. T3-336 „Dėl Vilniaus rajono savivaldybės </w:t>
              </w:r>
              <w:r>
                <w:rPr>
                  <w:color w:val="212529"/>
                  <w:szCs w:val="24"/>
                </w:rPr>
                <w:t xml:space="preserve">2024–2032 metų strateginio plėtros plano patvirtinimo“, 3 tikslo „03 </w:t>
              </w:r>
              <w:r>
                <w:rPr>
                  <w:color w:val="000000"/>
                  <w:szCs w:val="24"/>
                </w:rPr>
                <w:t xml:space="preserve">Saugoti aplinką ir puoselėti kraštovaizdį, skatinti tvarų vartojimą“ </w:t>
              </w:r>
              <w:r>
                <w:rPr>
                  <w:color w:val="212529"/>
                  <w:szCs w:val="24"/>
                </w:rPr>
                <w:t>03-05-06 (TP) priemone „</w:t>
              </w:r>
              <w:r>
                <w:rPr>
                  <w:color w:val="000000"/>
                  <w:szCs w:val="24"/>
                </w:rPr>
                <w:t>Elektromobilių ir elektrobusų įkrovimo infrastruktūros plėtra</w:t>
              </w:r>
              <w:r>
                <w:rPr>
                  <w:color w:val="212529"/>
                  <w:shd w:val="clear" w:color="auto" w:fill="FFFFFF"/>
                </w:rPr>
                <w:t>“ ir </w:t>
              </w:r>
              <w:r>
                <w:rPr>
                  <w:color w:val="000000"/>
                  <w:shd w:val="clear" w:color="auto" w:fill="FFFFFF"/>
                </w:rPr>
                <w:t xml:space="preserve">atsižvelgdama į Lietuvos Respublikos susisiekimo ministerijos 2026 m. kovo 19 d. raštą </w:t>
              </w:r>
              <w:r>
                <w:rPr>
                  <w:color w:val="000000"/>
                  <w:szCs w:val="24"/>
                </w:rPr>
                <w:t>(Dokumentų valdymo bendrojoje informacinėje sistemoje DBSIS registruotas Nr. G-14209(4.12 Mr))</w:t>
              </w:r>
              <w:r>
                <w:rPr>
                  <w:color w:val="000000"/>
                  <w:shd w:val="clear" w:color="auto" w:fill="FFFFFF"/>
                </w:rPr>
                <w:t xml:space="preserve"> „</w:t>
              </w:r>
              <w:r>
                <w:rPr>
                  <w:color w:val="000000"/>
                  <w:szCs w:val="24"/>
                </w:rPr>
                <w:t>Dėl viešai prieinamų įkrovimo prieigų plano derinimo</w:t>
              </w:r>
              <w:r>
                <w:rPr>
                  <w:color w:val="000000"/>
                  <w:shd w:val="clear" w:color="auto" w:fill="FFFFFF"/>
                </w:rPr>
                <w:t>“, Vilniaus rajono savivaldybės taryba n u s p r e n d ž i a:</w:t>
              </w:r>
            </w:p>
          </w:sdtContent>
        </w:sdt>
        <w:sdt>
          <w:sdtPr>
            <w:alias w:val="1 p."/>
            <w:tag w:val="part_90aa2b3bb23b48b7a32792216a83e764"/>
            <w:lock w:val="sdtLocked"/>
            <w:richText/>
          </w:sdtPr>
          <w:sdtContent>
            <w:p w14:paraId="1F35B52F" w14:textId="65A725E4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0aa2b3bb23b48b7a32792216a83e764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</w:t>
              </w:r>
              <w:r>
                <w:rPr>
                  <w:color w:val="212529"/>
                  <w:shd w:val="clear" w:color="auto" w:fill="FFFFFF"/>
                </w:rPr>
                <w:t>Patvirtinti Vilniaus rajono savivaldybėje iki 2030 metų numatomų įrengti viešai prieinamų įkrovimo prieigų planą (toliau – Planas) (pridedama).</w:t>
              </w:r>
            </w:p>
          </w:sdtContent>
        </w:sdt>
        <w:sdt>
          <w:sdtPr>
            <w:alias w:val="2 p."/>
            <w:tag w:val="part_39ef399d8f4545d08cd12b7d3b42d40e"/>
            <w:lock w:val="sdtLocked"/>
            <w:richText/>
          </w:sdtPr>
          <w:sdtContent>
            <w:p w14:paraId="389DD94A" w14:textId="38B51BC5">
              <w:pPr>
                <w:ind w:firstLine="720"/>
                <w:jc w:val="both"/>
                <w:rPr>
                  <w:shd w:val="clear" w:color="auto" w:fill="FFFFFF"/>
                </w:rPr>
              </w:pPr>
              <w:sdt>
                <w:sdtPr>
                  <w:alias w:val="Numeris"/>
                  <w:tag w:val="nr_39ef399d8f4545d08cd12b7d3b42d40e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</w:t>
              </w:r>
              <w:r>
                <w:rPr>
                  <w:shd w:val="clear" w:color="auto" w:fill="FFFFFF"/>
                </w:rPr>
                <w:t>Pavesti Vilniaus rajono savivaldybės administracijai vykdyti šiame sprendime patvirtinto Plano įgyvendinimo kontrolę, Lietuvos Respublikos alternatyviųjų degalų įstatyme nustatytais terminais ir apimtimi teikti informaciją Lietuvos Respublikos susisiekimo ministerijai.</w:t>
              </w:r>
            </w:p>
          </w:sdtContent>
        </w:sdt>
        <w:sdt>
          <w:sdtPr>
            <w:alias w:val="3 p."/>
            <w:tag w:val="part_578f9c2e6dc445d5bcb61f66c35a99e9"/>
            <w:lock w:val="sdtLocked"/>
            <w:richText/>
          </w:sdtPr>
          <w:sdtContent>
            <w:p w14:paraId="3757F392" w14:textId="331CF81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78f9c2e6dc445d5bcb61f66c35a99e9"/>
                  <w:lock w:val="sdtLocked"/>
                  <w:richText/>
                </w:sdtPr>
                <w:sdtContent>
                  <w:r>
                    <w:rPr>
                      <w:color w:val="000000"/>
                      <w:shd w:val="clear" w:color="auto" w:fill="FFFFFF"/>
                    </w:rPr>
                    <w:t>3</w:t>
                  </w:r>
                </w:sdtContent>
              </w:sdt>
              <w:r>
                <w:rPr>
                  <w:color w:val="000000"/>
                  <w:shd w:val="clear" w:color="auto" w:fill="FFFFFF"/>
                </w:rPr>
                <w:t>. S</w:t>
              </w:r>
              <w:r>
                <w:rPr>
                  <w:szCs w:val="24"/>
                </w:rPr>
                <w:t xml:space="preserve">kelbti šį sprendimą Vilniaus rajono savivaldybės interneto svetainėje. </w:t>
              </w:r>
            </w:p>
            <w:p w14:paraId="5A39BBE3" w14:textId="77777777">
              <w:pPr>
                <w:jc w:val="both"/>
              </w:pPr>
            </w:p>
            <w:p w14:paraId="41C8F396" w14:textId="77777777">
              <w:pPr>
                <w:jc w:val="both"/>
              </w:pPr>
            </w:p>
          </w:sdtContent>
        </w:sdt>
        <w:sdt>
          <w:sdtPr>
            <w:alias w:val="signatura"/>
            <w:tag w:val="part_e61c461fb5d74095a31e3368d23afb7e"/>
            <w:lock w:val="sdtLocked"/>
            <w:richText/>
          </w:sdtPr>
          <w:sdtContent>
            <w:p w14:paraId="720CFB40" w14:textId="0B800AF9">
              <w:pPr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Savivaldybės meras</w:t>
              </w:r>
              <w:r>
                <w:tab/>
                <w:tab/>
                <w:tab/>
                <w:tab/>
                <w:tab/>
              </w:r>
              <w:r>
                <w:rPr>
                  <w:lang w:eastAsia="lt-LT"/>
                </w:rPr>
                <w:t xml:space="preserve">   Robert Duchnevič</w:t>
              </w:r>
            </w:p>
            <w:p w14:paraId="0E27B00A" w14:textId="77777777"/>
          </w:sdtContent>
        </w:sdt>
      </w:sdtContent>
    </w:sdt>
    <w:sectPr>
      <w:pgSz w:w="11906" w:h="16838"/>
      <w:pgMar w:top="1134" w:right="567" w:bottom="1134" w:left="1559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FF346FB"/>
  <w15:chartTrackingRefBased/>
  <w15:docId w15:val="{ECE0EA70-B50D-458A-BF62-884A07FD644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oleObject" Target="embeddings/oleObject1.bin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f59ef3f6f4c44ec9456b13ea10c929f" PartId="b52606fce1b840a58464390950dd2ba6">
    <Part Type="preambule" DocPartId="c53aa33cd6264318ada76adb5961c4ab" PartId="db9128c049aa400fae8dc6b97901aa12"/>
    <Part Type="punktas" Nr="1" Abbr="1 p." DocPartId="e8a18e7935c84b78bcbfa1116a074a34" PartId="90aa2b3bb23b48b7a32792216a83e764"/>
    <Part Type="punktas" Nr="2" Abbr="2 p." DocPartId="2a1f136a241c49ee97dd550c7906b96e" PartId="39ef399d8f4545d08cd12b7d3b42d40e"/>
    <Part Type="punktas" Nr="3" Abbr="3 p." DocPartId="40adc09e9e2641a08e4f111c44e38c90" PartId="578f9c2e6dc445d5bcb61f66c35a99e9"/>
    <Part Type="signatura" DocPartId="7b1540edf95241ab98a1ca499a601df3" PartId="e61c461fb5d74095a31e3368d23afb7e"/>
  </Part>
</Parts>
</file>

<file path=customXml/itemProps1.xml><?xml version="1.0" encoding="utf-8"?>
<ds:datastoreItem xmlns:ds="http://schemas.openxmlformats.org/officeDocument/2006/customXml" ds:itemID="{A26FD2A0-F763-4566-B1A0-14CA233D82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219</Words>
  <Characters>1501</Characters>
  <Application>Microsoft Office Word</Application>
  <DocSecurity>4</DocSecurity>
  <Lines>31</Lines>
  <Paragraphs>11</Paragraphs>
  <ScaleCrop>false</ScaleCrop>
  <Company/>
  <LinksUpToDate>false</LinksUpToDate>
  <CharactersWithSpaces>1709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2026-05-13T06:00:00Z</dcterms:created>
  <dc:creator>Gražina Jarmalkovič</dc:creator>
  <lastModifiedBy>adlibuser</lastModifiedBy>
  <lastPrinted>2024-08-21T10:55:00Z</lastPrinted>
  <dcterms:modified xsi:type="dcterms:W3CDTF">2026-05-13T06:00:00Z</dcterms:modified>
  <revision>2</revision>
</coreProperties>
</file>