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714ed0c0043486792f35fec03b5fe7e"/>
        <w:lock w:val="sdtLocked"/>
        <w:richText/>
      </w:sdtPr>
      <w:sdtContent>
        <w:p>
          <w:pPr>
            <w:ind w:left="6521" w:firstLine="2167"/>
            <w:rPr>
              <w:rFonts w:eastAsia="Calibri"/>
              <w:b/>
              <w:sz w:val="22"/>
              <w:szCs w:val="22"/>
            </w:rPr>
          </w:pPr>
          <w:r>
            <w:rPr>
              <w:rFonts w:eastAsia="Calibri"/>
              <w:b/>
              <w:sz w:val="22"/>
              <w:szCs w:val="22"/>
            </w:rPr>
            <w:t>Projektas</w:t>
          </w:r>
        </w:p>
        <w:p>
          <w:pPr>
            <w:jc w:val="center"/>
            <w:rPr>
              <w:rFonts w:eastAsia="Calibri"/>
              <w:szCs w:val="24"/>
            </w:rPr>
          </w:pPr>
        </w:p>
        <w:p>
          <w:pPr>
            <w:jc w:val="center"/>
            <w:rPr>
              <w:rFonts w:eastAsia="Calibri"/>
              <w:szCs w:val="24"/>
            </w:rPr>
          </w:pPr>
        </w:p>
        <w:p>
          <w:pPr>
            <w:jc w:val="center"/>
            <w:rPr>
              <w:rFonts w:eastAsia="Calibri"/>
              <w:b/>
              <w:szCs w:val="24"/>
            </w:rPr>
          </w:pPr>
          <w:r>
            <w:rPr>
              <w:rFonts w:eastAsia="Calibri"/>
              <w:b/>
              <w:szCs w:val="24"/>
            </w:rPr>
            <w:t>LIETUVOS RESPUBLIKOS</w:t>
          </w:r>
        </w:p>
        <w:p>
          <w:pPr>
            <w:jc w:val="center"/>
            <w:rPr>
              <w:rFonts w:eastAsia="Calibri"/>
              <w:b/>
              <w:szCs w:val="24"/>
            </w:rPr>
          </w:pPr>
          <w:r>
            <w:rPr>
              <w:rFonts w:eastAsia="Calibri"/>
              <w:b/>
              <w:szCs w:val="24"/>
            </w:rPr>
            <w:t xml:space="preserve">CIVILINIO </w:t>
          </w:r>
          <w:r>
            <w:rPr>
              <w:rFonts w:eastAsia="Calibri"/>
              <w:b/>
              <w:color w:val="000000"/>
              <w:szCs w:val="24"/>
            </w:rPr>
            <w:t>PROCESO KODEKSO 273, 587, 771 STRAIPSNIŲ PAKEITIMO</w:t>
          </w:r>
          <w:r>
            <w:rPr>
              <w:rFonts w:eastAsia="Calibri"/>
              <w:b/>
              <w:szCs w:val="24"/>
            </w:rPr>
            <w:t xml:space="preserve"> IR KODEKSO PAPILDYMO 771</w:t>
          </w:r>
          <w:r>
            <w:rPr>
              <w:rFonts w:eastAsia="Calibri"/>
              <w:b/>
              <w:szCs w:val="24"/>
              <w:vertAlign w:val="superscript"/>
            </w:rPr>
            <w:t>1</w:t>
          </w:r>
          <w:r>
            <w:rPr>
              <w:rFonts w:eastAsia="Calibri"/>
              <w:b/>
              <w:szCs w:val="24"/>
            </w:rPr>
            <w:t xml:space="preserve"> STRAIPSNIU</w:t>
          </w:r>
        </w:p>
        <w:p>
          <w:pPr>
            <w:ind w:firstLine="62"/>
            <w:jc w:val="center"/>
            <w:rPr>
              <w:rFonts w:eastAsia="Calibri"/>
              <w:b/>
              <w:szCs w:val="24"/>
            </w:rPr>
          </w:pPr>
          <w:r>
            <w:rPr>
              <w:rFonts w:eastAsia="Calibri"/>
              <w:b/>
              <w:szCs w:val="24"/>
            </w:rPr>
            <w:t>ĮSTATYMAS</w:t>
          </w:r>
        </w:p>
        <w:p>
          <w:pPr>
            <w:jc w:val="center"/>
            <w:rPr>
              <w:rFonts w:eastAsia="Calibri"/>
              <w:b/>
              <w:szCs w:val="24"/>
            </w:rPr>
          </w:pPr>
        </w:p>
        <w:p>
          <w:pPr>
            <w:jc w:val="center"/>
            <w:rPr>
              <w:rFonts w:eastAsia="Calibri"/>
              <w:szCs w:val="24"/>
            </w:rPr>
          </w:pPr>
          <w:r>
            <w:rPr>
              <w:rFonts w:eastAsia="Calibri"/>
              <w:szCs w:val="24"/>
            </w:rPr>
            <w:t xml:space="preserve">2016 m. </w:t>
            <w:tab/>
            <w:tab/>
            <w:t>d.</w:t>
          </w:r>
        </w:p>
        <w:p>
          <w:pPr>
            <w:jc w:val="center"/>
            <w:rPr>
              <w:rFonts w:eastAsia="Calibri"/>
              <w:szCs w:val="24"/>
            </w:rPr>
          </w:pPr>
          <w:r>
            <w:rPr>
              <w:rFonts w:eastAsia="Calibri"/>
              <w:szCs w:val="24"/>
            </w:rPr>
            <w:t>Vilnius</w:t>
          </w:r>
        </w:p>
        <w:p>
          <w:pPr>
            <w:jc w:val="center"/>
            <w:rPr>
              <w:rFonts w:eastAsia="Calibri"/>
              <w:szCs w:val="24"/>
            </w:rPr>
          </w:pPr>
        </w:p>
        <w:sdt>
          <w:sdtPr>
            <w:alias w:val="1 str."/>
            <w:tag w:val="part_a5d671489a054207b5126794ec18adbf"/>
            <w:lock w:val="sdtLocked"/>
            <w:richText/>
          </w:sdtPr>
          <w:sdtContent>
            <w:p>
              <w:pPr>
                <w:spacing w:line="276" w:lineRule="auto"/>
                <w:ind w:firstLine="851"/>
                <w:jc w:val="both"/>
                <w:rPr>
                  <w:rFonts w:eastAsia="Calibri"/>
                  <w:b/>
                  <w:szCs w:val="24"/>
                </w:rPr>
              </w:pPr>
              <w:sdt>
                <w:sdtPr>
                  <w:alias w:val="Numeris"/>
                  <w:tag w:val="nr_a5d671489a054207b5126794ec18adbf"/>
                  <w:lock w:val="sdtLocked"/>
                  <w:richText/>
                </w:sdtPr>
                <w:sdtContent>
                  <w:r>
                    <w:rPr>
                      <w:rFonts w:eastAsia="Calibri"/>
                      <w:b/>
                      <w:szCs w:val="24"/>
                    </w:rPr>
                    <w:t>1</w:t>
                  </w:r>
                </w:sdtContent>
              </w:sdt>
              <w:r>
                <w:rPr>
                  <w:rFonts w:eastAsia="Calibri"/>
                  <w:b/>
                  <w:szCs w:val="24"/>
                </w:rPr>
                <w:t xml:space="preserve"> straipsnis. </w:t>
              </w:r>
              <w:sdt>
                <w:sdtPr>
                  <w:alias w:val="Pavadinimas"/>
                  <w:tag w:val="title_a5d671489a054207b5126794ec18adbf"/>
                  <w:lock w:val="sdtLocked"/>
                  <w:richText/>
                </w:sdtPr>
                <w:sdtContent>
                  <w:r>
                    <w:rPr>
                      <w:rFonts w:eastAsia="Calibri"/>
                      <w:b/>
                      <w:szCs w:val="24"/>
                    </w:rPr>
                    <w:t>273 straipsnio pakeitimas</w:t>
                  </w:r>
                </w:sdtContent>
              </w:sdt>
            </w:p>
            <w:p>
              <w:pPr>
                <w:rPr>
                  <w:sz w:val="18"/>
                  <w:szCs w:val="18"/>
                </w:rPr>
              </w:pPr>
            </w:p>
            <w:sdt>
              <w:sdtPr>
                <w:alias w:val="1 str. 1 d."/>
                <w:tag w:val="part_cb87e7efa3b94893a27ca3c91705b040"/>
                <w:lock w:val="sdtLocked"/>
                <w:richText/>
              </w:sdtPr>
              <w:sdtContent>
                <w:p>
                  <w:pPr>
                    <w:spacing w:line="276" w:lineRule="auto"/>
                    <w:ind w:firstLine="851"/>
                    <w:jc w:val="both"/>
                    <w:rPr>
                      <w:rFonts w:eastAsia="Calibri"/>
                      <w:b/>
                      <w:szCs w:val="24"/>
                    </w:rPr>
                  </w:pPr>
                  <w:sdt>
                    <w:sdtPr>
                      <w:alias w:val="Numeris"/>
                      <w:tag w:val="nr_cb87e7efa3b94893a27ca3c91705b040"/>
                      <w:lock w:val="sdtLocked"/>
                      <w:richText/>
                    </w:sdtPr>
                    <w:sdtContent>
                      <w:r>
                        <w:rPr>
                          <w:rFonts w:eastAsia="Calibri"/>
                          <w:szCs w:val="24"/>
                        </w:rPr>
                        <w:t>1</w:t>
                      </w:r>
                    </w:sdtContent>
                  </w:sdt>
                  <w:r>
                    <w:rPr>
                      <w:rFonts w:eastAsia="Calibri"/>
                      <w:szCs w:val="24"/>
                    </w:rPr>
                    <w:t>. Pakeisti 273 straipsnio 2 dalį ir ją išdėstyti taip:</w:t>
                  </w:r>
                </w:p>
                <w:p>
                  <w:pPr>
                    <w:rPr>
                      <w:sz w:val="18"/>
                      <w:szCs w:val="18"/>
                    </w:rPr>
                  </w:pPr>
                </w:p>
                <w:sdt>
                  <w:sdtPr>
                    <w:alias w:val="citata"/>
                    <w:tag w:val="part_d18cce957907453bb43ff0c3f4ee74e7"/>
                    <w:lock w:val="sdtLocked"/>
                    <w:richText/>
                  </w:sdtPr>
                  <w:sdtContent>
                    <w:sdt>
                      <w:sdtPr>
                        <w:alias w:val="2 d."/>
                        <w:tag w:val="part_447f4982ca6a41d9b307e5588d0054ef"/>
                        <w:lock w:val="sdtLocked"/>
                        <w:richText/>
                      </w:sdtPr>
                      <w:sdtContent>
                        <w:p>
                          <w:pPr>
                            <w:widowControl w:val="0"/>
                            <w:suppressAutoHyphens/>
                            <w:ind w:firstLine="851"/>
                            <w:jc w:val="both"/>
                            <w:rPr>
                              <w:rFonts w:eastAsia="Andale Sans UI" w:cs="Tahoma"/>
                              <w:szCs w:val="24"/>
                              <w:lang w:eastAsia="ru-RU"/>
                            </w:rPr>
                          </w:pPr>
                          <w:r>
                            <w:rPr>
                              <w:rFonts w:eastAsia="Andale Sans UI" w:cs="Tahoma"/>
                              <w:szCs w:val="24"/>
                              <w:lang w:eastAsia="ru-RU"/>
                            </w:rPr>
                            <w:t>„</w:t>
                          </w:r>
                          <w:sdt>
                            <w:sdtPr>
                              <w:alias w:val="Numeris"/>
                              <w:tag w:val="nr_447f4982ca6a41d9b307e5588d0054ef"/>
                              <w:lock w:val="sdtLocked"/>
                              <w:richText/>
                            </w:sdtPr>
                            <w:sdtContent>
                              <w:r>
                                <w:rPr>
                                  <w:rFonts w:eastAsia="Andale Sans UI" w:cs="Tahoma"/>
                                  <w:szCs w:val="24"/>
                                  <w:lang w:eastAsia="ru-RU"/>
                                </w:rPr>
                                <w:t>2</w:t>
                              </w:r>
                            </w:sdtContent>
                          </w:sdt>
                          <w:r>
                            <w:rPr>
                              <w:rFonts w:eastAsia="Andale Sans UI" w:cs="Tahoma"/>
                              <w:szCs w:val="24"/>
                              <w:lang w:eastAsia="ru-RU"/>
                            </w:rPr>
                            <w:t>. Teismas, nagrinėdamas klausimus, susijusius su statybos pažeidžiant teisės aktų reikalavimus padarinių šalinimu, gali priimti sprendimus, nurodytus statybų santykius reglamentuojančiuose teisės aktuose.“</w:t>
                          </w:r>
                        </w:p>
                      </w:sdtContent>
                    </w:sdt>
                  </w:sdtContent>
                </w:sdt>
              </w:sdtContent>
            </w:sdt>
            <w:sdt>
              <w:sdtPr>
                <w:alias w:val="1 str. 2 d."/>
                <w:tag w:val="part_d28e587427604a2786f6fe36a7c731d8"/>
                <w:lock w:val="sdtLocked"/>
                <w:richText/>
              </w:sdtPr>
              <w:sdtContent>
                <w:p>
                  <w:pPr>
                    <w:widowControl w:val="0"/>
                    <w:suppressAutoHyphens/>
                    <w:ind w:firstLine="851"/>
                    <w:jc w:val="both"/>
                    <w:rPr>
                      <w:rFonts w:eastAsia="Andale Sans UI" w:cs="Tahoma"/>
                      <w:szCs w:val="24"/>
                      <w:lang w:eastAsia="ru-RU"/>
                    </w:rPr>
                  </w:pPr>
                  <w:sdt>
                    <w:sdtPr>
                      <w:alias w:val="Numeris"/>
                      <w:tag w:val="nr_d28e587427604a2786f6fe36a7c731d8"/>
                      <w:lock w:val="sdtLocked"/>
                      <w:richText/>
                    </w:sdtPr>
                    <w:sdtContent>
                      <w:r>
                        <w:rPr>
                          <w:rFonts w:eastAsia="Andale Sans UI" w:cs="Tahoma"/>
                          <w:szCs w:val="24"/>
                          <w:lang w:bidi="en-US"/>
                        </w:rPr>
                        <w:t>2</w:t>
                      </w:r>
                    </w:sdtContent>
                  </w:sdt>
                  <w:r>
                    <w:rPr>
                      <w:rFonts w:eastAsia="Andale Sans UI" w:cs="Tahoma"/>
                      <w:szCs w:val="24"/>
                      <w:lang w:bidi="en-US"/>
                    </w:rPr>
                    <w:t>. Pakeisti 273 straipsnio 3 dalį ir ją išdėstyti taip:</w:t>
                  </w:r>
                </w:p>
                <w:sdt>
                  <w:sdtPr>
                    <w:alias w:val="citata"/>
                    <w:tag w:val="part_3341cf39075d4b87b5aaf98be2611b22"/>
                    <w:lock w:val="sdtLocked"/>
                    <w:richText/>
                  </w:sdtPr>
                  <w:sdtContent>
                    <w:sdt>
                      <w:sdtPr>
                        <w:alias w:val="3 d."/>
                        <w:tag w:val="part_6db03a75a4514a7bb7afcefb88d03fb0"/>
                        <w:lock w:val="sdtLocked"/>
                        <w:richText/>
                      </w:sdtPr>
                      <w:sdtContent>
                        <w:p>
                          <w:pPr>
                            <w:widowControl w:val="0"/>
                            <w:suppressAutoHyphens/>
                            <w:ind w:firstLine="851"/>
                            <w:jc w:val="both"/>
                            <w:rPr>
                              <w:rFonts w:eastAsia="Andale Sans UI" w:cs="Tahoma"/>
                              <w:szCs w:val="24"/>
                              <w:lang w:eastAsia="ru-RU"/>
                            </w:rPr>
                          </w:pPr>
                          <w:r>
                            <w:rPr>
                              <w:rFonts w:eastAsia="Andale Sans UI" w:cs="Tahoma"/>
                              <w:szCs w:val="24"/>
                              <w:lang w:eastAsia="ru-RU"/>
                            </w:rPr>
                            <w:t>„</w:t>
                          </w:r>
                          <w:sdt>
                            <w:sdtPr>
                              <w:alias w:val="Numeris"/>
                              <w:tag w:val="nr_6db03a75a4514a7bb7afcefb88d03fb0"/>
                              <w:lock w:val="sdtLocked"/>
                              <w:richText/>
                            </w:sdtPr>
                            <w:sdtContent>
                              <w:r>
                                <w:rPr>
                                  <w:rFonts w:eastAsia="Andale Sans UI" w:cs="Tahoma"/>
                                  <w:szCs w:val="24"/>
                                  <w:lang w:eastAsia="ru-RU"/>
                                </w:rPr>
                                <w:t>3</w:t>
                              </w:r>
                            </w:sdtContent>
                          </w:sdt>
                          <w:r>
                            <w:rPr>
                              <w:rFonts w:eastAsia="Andale Sans UI" w:cs="Tahoma"/>
                              <w:szCs w:val="24"/>
                              <w:lang w:eastAsia="ru-RU"/>
                            </w:rPr>
                            <w:t>. Jeigu nurodytus veiksmus gali atlikti arba nutraukti tik atsakovas, arba atsakovas įpareigojamas pašalinti statybos pažeidžiant teisės aktų reikalavimus padarinius, tai teismas sprendime nustato terminą, per kurį sprendimas turi būti įvykdytas, ir nurodo, kokio dydžio bauda atsakovui yra skiriama, jeigu jis per nustatytą terminą neįvykdys sprendimo ar nenutrauks nurodytų veiksmų.“</w:t>
                          </w:r>
                        </w:p>
                        <w:p>
                          <w:pPr>
                            <w:widowControl w:val="0"/>
                            <w:suppressAutoHyphens/>
                            <w:ind w:firstLine="1276"/>
                            <w:jc w:val="both"/>
                            <w:rPr>
                              <w:rFonts w:eastAsia="Andale Sans UI" w:cs="Tahoma"/>
                              <w:szCs w:val="24"/>
                              <w:lang w:eastAsia="ru-RU"/>
                            </w:rPr>
                          </w:pPr>
                        </w:p>
                      </w:sdtContent>
                    </w:sdt>
                  </w:sdtContent>
                </w:sdt>
              </w:sdtContent>
            </w:sdt>
          </w:sdtContent>
        </w:sdt>
        <w:sdt>
          <w:sdtPr>
            <w:alias w:val="2 str."/>
            <w:tag w:val="part_c5c926125cd042dab89fdfb9bf183cdb"/>
            <w:lock w:val="sdtLocked"/>
            <w:richText/>
          </w:sdtPr>
          <w:sdtContent>
            <w:p>
              <w:pPr>
                <w:widowControl w:val="0"/>
                <w:suppressAutoHyphens/>
                <w:ind w:firstLine="851"/>
                <w:jc w:val="both"/>
                <w:rPr>
                  <w:rFonts w:eastAsia="Andale Sans UI" w:cs="Tahoma"/>
                  <w:b/>
                  <w:szCs w:val="24"/>
                  <w:lang w:eastAsia="ru-RU"/>
                </w:rPr>
              </w:pPr>
              <w:sdt>
                <w:sdtPr>
                  <w:alias w:val="Numeris"/>
                  <w:tag w:val="nr_c5c926125cd042dab89fdfb9bf183cdb"/>
                  <w:lock w:val="sdtLocked"/>
                  <w:richText/>
                </w:sdtPr>
                <w:sdtContent>
                  <w:r>
                    <w:rPr>
                      <w:rFonts w:eastAsia="Andale Sans UI" w:cs="Tahoma"/>
                      <w:b/>
                      <w:szCs w:val="24"/>
                      <w:lang w:eastAsia="ru-RU"/>
                    </w:rPr>
                    <w:t>2</w:t>
                  </w:r>
                </w:sdtContent>
              </w:sdt>
              <w:r>
                <w:rPr>
                  <w:rFonts w:eastAsia="Andale Sans UI" w:cs="Tahoma"/>
                  <w:b/>
                  <w:szCs w:val="24"/>
                  <w:lang w:eastAsia="ru-RU"/>
                </w:rPr>
                <w:t xml:space="preserve"> straipsnis. </w:t>
              </w:r>
              <w:sdt>
                <w:sdtPr>
                  <w:alias w:val="Pavadinimas"/>
                  <w:tag w:val="title_c5c926125cd042dab89fdfb9bf183cdb"/>
                  <w:lock w:val="sdtLocked"/>
                  <w:richText/>
                </w:sdtPr>
                <w:sdtContent>
                  <w:r>
                    <w:rPr>
                      <w:rFonts w:eastAsia="Andale Sans UI" w:cs="Tahoma"/>
                      <w:b/>
                      <w:szCs w:val="24"/>
                      <w:lang w:eastAsia="ru-RU"/>
                    </w:rPr>
                    <w:t>587 straipsnio pakeitimas</w:t>
                  </w:r>
                </w:sdtContent>
              </w:sdt>
            </w:p>
            <w:sdt>
              <w:sdtPr>
                <w:alias w:val="2 str. 1 d."/>
                <w:tag w:val="part_be1fbe69daab4d5d8ccbf5eb43af4337"/>
                <w:lock w:val="sdtLocked"/>
                <w:richText/>
              </w:sdtPr>
              <w:sdtContent>
                <w:p>
                  <w:pPr>
                    <w:widowControl w:val="0"/>
                    <w:suppressAutoHyphens/>
                    <w:ind w:firstLine="851"/>
                    <w:jc w:val="both"/>
                    <w:rPr>
                      <w:rFonts w:eastAsia="Andale Sans UI" w:cs="Tahoma"/>
                      <w:szCs w:val="24"/>
                      <w:lang w:eastAsia="ru-RU"/>
                    </w:rPr>
                  </w:pPr>
                  <w:sdt>
                    <w:sdtPr>
                      <w:alias w:val="Numeris"/>
                      <w:tag w:val="nr_be1fbe69daab4d5d8ccbf5eb43af4337"/>
                      <w:lock w:val="sdtLocked"/>
                      <w:richText/>
                    </w:sdtPr>
                    <w:sdtContent>
                      <w:r>
                        <w:rPr>
                          <w:rFonts w:eastAsia="Andale Sans UI" w:cs="Tahoma"/>
                          <w:szCs w:val="24"/>
                          <w:lang w:eastAsia="ru-RU"/>
                        </w:rPr>
                        <w:t>1</w:t>
                      </w:r>
                    </w:sdtContent>
                  </w:sdt>
                  <w:r>
                    <w:rPr>
                      <w:rFonts w:eastAsia="Andale Sans UI" w:cs="Tahoma"/>
                      <w:szCs w:val="24"/>
                      <w:lang w:eastAsia="ru-RU"/>
                    </w:rPr>
                    <w:t>. Papildyti 587 straipsnį nauju 10 punktu:</w:t>
                  </w:r>
                </w:p>
                <w:sdt>
                  <w:sdtPr>
                    <w:alias w:val="citata"/>
                    <w:tag w:val="part_4e75b1bc1e9d4fb394c4ca1245da5395"/>
                    <w:lock w:val="sdtLocked"/>
                    <w:richText/>
                  </w:sdtPr>
                  <w:sdtContent>
                    <w:sdt>
                      <w:sdtPr>
                        <w:alias w:val="10 p."/>
                        <w:tag w:val="part_8b666d0d7dc546e3a144297f7334b533"/>
                        <w:lock w:val="sdtLocked"/>
                        <w:richText/>
                      </w:sdtPr>
                      <w:sdtContent>
                        <w:p>
                          <w:pPr>
                            <w:widowControl w:val="0"/>
                            <w:suppressAutoHyphens/>
                            <w:ind w:firstLine="851"/>
                            <w:jc w:val="both"/>
                            <w:rPr>
                              <w:rFonts w:eastAsia="Andale Sans UI" w:cs="Tahoma"/>
                              <w:szCs w:val="24"/>
                              <w:lang w:eastAsia="ru-RU"/>
                            </w:rPr>
                          </w:pPr>
                          <w:r>
                            <w:rPr>
                              <w:rFonts w:eastAsia="Andale Sans UI" w:cs="Tahoma"/>
                              <w:szCs w:val="24"/>
                              <w:lang w:eastAsia="ru-RU"/>
                            </w:rPr>
                            <w:t>„</w:t>
                          </w:r>
                          <w:sdt>
                            <w:sdtPr>
                              <w:alias w:val="Numeris"/>
                              <w:tag w:val="nr_8b666d0d7dc546e3a144297f7334b533"/>
                              <w:lock w:val="sdtLocked"/>
                              <w:richText/>
                            </w:sdtPr>
                            <w:sdtContent>
                              <w:r>
                                <w:rPr>
                                  <w:rFonts w:eastAsia="Andale Sans UI" w:cs="Tahoma"/>
                                  <w:szCs w:val="24"/>
                                  <w:lang w:eastAsia="ru-RU"/>
                                </w:rPr>
                                <w:t>10</w:t>
                              </w:r>
                            </w:sdtContent>
                          </w:sdt>
                          <w:r>
                            <w:rPr>
                              <w:rFonts w:eastAsia="Andale Sans UI" w:cs="Tahoma"/>
                              <w:szCs w:val="24"/>
                              <w:lang w:eastAsia="ru-RU"/>
                            </w:rPr>
                            <w:t>) Teritorijų planavimo ir statybos valstybinės priežiūros įstatyme numatyti Valstybinės teritorijų planavimo ir statybos inspekcijos prie Aplinkos ministerijos privalomieji nurodymai;“.</w:t>
                          </w:r>
                        </w:p>
                      </w:sdtContent>
                    </w:sdt>
                  </w:sdtContent>
                </w:sdt>
              </w:sdtContent>
            </w:sdt>
            <w:sdt>
              <w:sdtPr>
                <w:alias w:val="2 str. 2 d."/>
                <w:tag w:val="part_75e088a75e2f493b8db4d98781c78f54"/>
                <w:lock w:val="sdtLocked"/>
                <w:richText/>
              </w:sdtPr>
              <w:sdtContent>
                <w:p>
                  <w:pPr>
                    <w:widowControl w:val="0"/>
                    <w:suppressAutoHyphens/>
                    <w:ind w:firstLine="851"/>
                    <w:jc w:val="both"/>
                    <w:rPr>
                      <w:rFonts w:eastAsia="Andale Sans UI" w:cs="Tahoma"/>
                      <w:b/>
                      <w:szCs w:val="24"/>
                      <w:lang w:eastAsia="ru-RU"/>
                    </w:rPr>
                  </w:pPr>
                  <w:sdt>
                    <w:sdtPr>
                      <w:alias w:val="Numeris"/>
                      <w:tag w:val="nr_75e088a75e2f493b8db4d98781c78f54"/>
                      <w:lock w:val="sdtLocked"/>
                      <w:richText/>
                    </w:sdtPr>
                    <w:sdtContent>
                      <w:r>
                        <w:rPr>
                          <w:rFonts w:eastAsia="Andale Sans UI" w:cs="Tahoma"/>
                          <w:szCs w:val="24"/>
                          <w:lang w:eastAsia="ru-RU"/>
                        </w:rPr>
                        <w:t>2</w:t>
                      </w:r>
                    </w:sdtContent>
                  </w:sdt>
                  <w:r>
                    <w:rPr>
                      <w:rFonts w:eastAsia="Andale Sans UI" w:cs="Tahoma"/>
                      <w:szCs w:val="24"/>
                      <w:lang w:eastAsia="ru-RU"/>
                    </w:rPr>
                    <w:t>. Buvusį 587 straipsnio 10 punktą atitinkamai laikyti 11 punktu.</w:t>
                  </w:r>
                </w:p>
                <w:p>
                  <w:pPr>
                    <w:widowControl w:val="0"/>
                    <w:suppressAutoHyphens/>
                    <w:ind w:firstLine="1276"/>
                    <w:jc w:val="both"/>
                    <w:rPr>
                      <w:rFonts w:eastAsia="Andale Sans UI" w:cs="Tahoma"/>
                      <w:szCs w:val="24"/>
                      <w:lang w:eastAsia="ru-RU"/>
                    </w:rPr>
                  </w:pPr>
                </w:p>
              </w:sdtContent>
            </w:sdt>
          </w:sdtContent>
        </w:sdt>
        <w:sdt>
          <w:sdtPr>
            <w:alias w:val="3 str."/>
            <w:tag w:val="part_218657bf47fd4a90ba64144347497b97"/>
            <w:lock w:val="sdtLocked"/>
            <w:richText/>
          </w:sdtPr>
          <w:sdtContent>
            <w:p>
              <w:pPr>
                <w:ind w:firstLine="851"/>
                <w:jc w:val="both"/>
                <w:rPr>
                  <w:rFonts w:eastAsia="Calibri"/>
                  <w:b/>
                  <w:szCs w:val="24"/>
                </w:rPr>
              </w:pPr>
              <w:sdt>
                <w:sdtPr>
                  <w:alias w:val="Numeris"/>
                  <w:tag w:val="nr_218657bf47fd4a90ba64144347497b97"/>
                  <w:lock w:val="sdtLocked"/>
                  <w:richText/>
                </w:sdtPr>
                <w:sdtContent>
                  <w:r>
                    <w:rPr>
                      <w:rFonts w:eastAsia="Calibri"/>
                      <w:b/>
                      <w:szCs w:val="24"/>
                    </w:rPr>
                    <w:t>3</w:t>
                  </w:r>
                </w:sdtContent>
              </w:sdt>
              <w:r>
                <w:rPr>
                  <w:rFonts w:eastAsia="Calibri"/>
                  <w:b/>
                  <w:szCs w:val="24"/>
                </w:rPr>
                <w:t xml:space="preserve"> straipsnis. </w:t>
              </w:r>
              <w:sdt>
                <w:sdtPr>
                  <w:alias w:val="Pavadinimas"/>
                  <w:tag w:val="title_218657bf47fd4a90ba64144347497b97"/>
                  <w:lock w:val="sdtLocked"/>
                  <w:richText/>
                </w:sdtPr>
                <w:sdtContent>
                  <w:r>
                    <w:rPr>
                      <w:rFonts w:eastAsia="Calibri"/>
                      <w:b/>
                      <w:szCs w:val="24"/>
                    </w:rPr>
                    <w:t xml:space="preserve">771 straipsnio pakeitimas </w:t>
                  </w:r>
                </w:sdtContent>
              </w:sdt>
            </w:p>
            <w:sdt>
              <w:sdtPr>
                <w:alias w:val="3 str. 1 d."/>
                <w:tag w:val="part_7d907701e76c4da889d9202d353a27bd"/>
                <w:lock w:val="sdtLocked"/>
                <w:richText/>
              </w:sdtPr>
              <w:sdtContent>
                <w:p>
                  <w:pPr>
                    <w:ind w:firstLine="851"/>
                    <w:jc w:val="both"/>
                    <w:rPr>
                      <w:rFonts w:eastAsia="Calibri"/>
                      <w:b/>
                      <w:szCs w:val="24"/>
                    </w:rPr>
                  </w:pPr>
                  <w:r>
                    <w:rPr>
                      <w:rFonts w:eastAsia="Calibri"/>
                      <w:szCs w:val="24"/>
                    </w:rPr>
                    <w:t>Pakeisti 771 straipsnio 5 dalį ir ją išdėstyti taip:</w:t>
                  </w:r>
                </w:p>
                <w:sdt>
                  <w:sdtPr>
                    <w:alias w:val="citata"/>
                    <w:tag w:val="part_c478b410609247879f2964f40576fbc6"/>
                    <w:lock w:val="sdtLocked"/>
                    <w:richText/>
                  </w:sdtPr>
                  <w:sdtContent>
                    <w:sdt>
                      <w:sdtPr>
                        <w:alias w:val="5 d."/>
                        <w:tag w:val="part_e49019b687ba4948929076739541242e"/>
                        <w:lock w:val="sdtLocked"/>
                        <w:richText/>
                      </w:sdtPr>
                      <w:sdtContent>
                        <w:p>
                          <w:pPr>
                            <w:spacing w:line="276" w:lineRule="auto"/>
                            <w:ind w:firstLine="851"/>
                            <w:jc w:val="both"/>
                            <w:rPr>
                              <w:rFonts w:eastAsia="Calibri"/>
                              <w:szCs w:val="24"/>
                            </w:rPr>
                          </w:pPr>
                          <w:r>
                            <w:rPr>
                              <w:rFonts w:eastAsia="Calibri"/>
                              <w:szCs w:val="24"/>
                            </w:rPr>
                            <w:t>„</w:t>
                          </w:r>
                          <w:sdt>
                            <w:sdtPr>
                              <w:alias w:val="Numeris"/>
                              <w:tag w:val="nr_e49019b687ba4948929076739541242e"/>
                              <w:lock w:val="sdtLocked"/>
                              <w:richText/>
                            </w:sdtPr>
                            <w:sdtContent>
                              <w:r>
                                <w:rPr>
                                  <w:rFonts w:eastAsia="Calibri"/>
                                  <w:szCs w:val="24"/>
                                </w:rPr>
                                <w:t>5</w:t>
                              </w:r>
                            </w:sdtContent>
                          </w:sdt>
                          <w:r>
                            <w:rPr>
                              <w:rFonts w:eastAsia="Calibri"/>
                              <w:szCs w:val="24"/>
                            </w:rPr>
                            <w:t>. Jeigu per teismo nustatytą terminą neįvykdytas sprendimas, įpareigojęs skolininką atlikti arba nutraukti tam tikrus veiksmus, kuriuos gali atlikti arba nutraukti tiktai pats skolininkas, arba sprendimas, įpareigojęs pašalinti statybos pažeidžiant teisės aktų reikalavimus padarinius, surašytą aktą antstolis perduoda antstolio kontoros buveinės vietos apylinkės teismui. Sprendimo neįvykdymo klausimas išsprendžiamas teismo posėdyje. Apie teismo posėdžio laiką ir vietą pranešama išieškotojui ir skolininkui, tačiau jų neatvykimas nekliudo išnagrinėti klausimą, kodėl neįvykdytas sprendimas. Teismas, nustatęs, kad skolininkas sprendimo neįvykdė, gali jam skirti iki dviejų šimtų aštuoniasdešimt devynių eurų baudą už kiekvieną uždelstą įvykdyti sprendimą dieną išieškotojo naudai.“</w:t>
                          </w:r>
                        </w:p>
                        <w:p>
                          <w:pPr>
                            <w:rPr>
                              <w:sz w:val="18"/>
                              <w:szCs w:val="18"/>
                            </w:rPr>
                          </w:pPr>
                        </w:p>
                        <w:p>
                          <w:pPr>
                            <w:spacing w:line="276" w:lineRule="auto"/>
                            <w:ind w:firstLine="1296"/>
                            <w:jc w:val="both"/>
                            <w:rPr>
                              <w:rFonts w:eastAsia="Calibri"/>
                              <w:szCs w:val="24"/>
                            </w:rPr>
                          </w:pPr>
                        </w:p>
                        <w:p>
                          <w:pPr>
                            <w:rPr>
                              <w:sz w:val="18"/>
                              <w:szCs w:val="18"/>
                            </w:rPr>
                          </w:pPr>
                        </w:p>
                      </w:sdtContent>
                    </w:sdt>
                  </w:sdtContent>
                </w:sdt>
              </w:sdtContent>
            </w:sdt>
          </w:sdtContent>
        </w:sdt>
        <w:sdt>
          <w:sdtPr>
            <w:alias w:val="4 str."/>
            <w:tag w:val="part_b212577dc5bc4e2d944c6223fc6a714b"/>
            <w:lock w:val="sdtLocked"/>
            <w:richText/>
          </w:sdtPr>
          <w:sdtContent>
            <w:p>
              <w:pPr>
                <w:ind w:firstLine="851"/>
                <w:jc w:val="both"/>
                <w:rPr>
                  <w:rFonts w:eastAsia="Calibri"/>
                  <w:b/>
                  <w:szCs w:val="24"/>
                </w:rPr>
              </w:pPr>
              <w:sdt>
                <w:sdtPr>
                  <w:alias w:val="Numeris"/>
                  <w:tag w:val="nr_b212577dc5bc4e2d944c6223fc6a714b"/>
                  <w:lock w:val="sdtLocked"/>
                  <w:richText/>
                </w:sdtPr>
                <w:sdtContent>
                  <w:r>
                    <w:rPr>
                      <w:rFonts w:eastAsia="Calibri"/>
                      <w:b/>
                      <w:szCs w:val="24"/>
                    </w:rPr>
                    <w:t>4</w:t>
                  </w:r>
                </w:sdtContent>
              </w:sdt>
              <w:r>
                <w:rPr>
                  <w:rFonts w:eastAsia="Calibri"/>
                  <w:b/>
                  <w:szCs w:val="24"/>
                </w:rPr>
                <w:t xml:space="preserve"> straipsnis. </w:t>
              </w:r>
              <w:sdt>
                <w:sdtPr>
                  <w:alias w:val="Pavadinimas"/>
                  <w:tag w:val="title_b212577dc5bc4e2d944c6223fc6a714b"/>
                  <w:lock w:val="sdtLocked"/>
                  <w:richText/>
                </w:sdtPr>
                <w:sdtContent>
                  <w:r>
                    <w:rPr>
                      <w:rFonts w:eastAsia="Calibri"/>
                      <w:b/>
                      <w:szCs w:val="24"/>
                    </w:rPr>
                    <w:t>Kodekso papildymas 771</w:t>
                  </w:r>
                  <w:r>
                    <w:rPr>
                      <w:rFonts w:eastAsia="Calibri"/>
                      <w:b/>
                      <w:szCs w:val="24"/>
                      <w:vertAlign w:val="superscript"/>
                    </w:rPr>
                    <w:t>1</w:t>
                  </w:r>
                  <w:r>
                    <w:rPr>
                      <w:rFonts w:eastAsia="Calibri"/>
                      <w:b/>
                      <w:szCs w:val="24"/>
                    </w:rPr>
                    <w:t xml:space="preserve"> straipsniu</w:t>
                  </w:r>
                </w:sdtContent>
              </w:sdt>
            </w:p>
            <w:sdt>
              <w:sdtPr>
                <w:alias w:val="4 str. 1 d."/>
                <w:tag w:val="part_05f94e2ef24d45858a6da498a6bf23ed"/>
                <w:lock w:val="sdtLocked"/>
                <w:richText/>
              </w:sdtPr>
              <w:sdtContent>
                <w:p>
                  <w:pPr>
                    <w:ind w:firstLine="851"/>
                    <w:jc w:val="both"/>
                    <w:rPr>
                      <w:rFonts w:eastAsia="Calibri"/>
                      <w:szCs w:val="24"/>
                    </w:rPr>
                  </w:pPr>
                  <w:r>
                    <w:rPr>
                      <w:rFonts w:eastAsia="Calibri"/>
                      <w:szCs w:val="24"/>
                    </w:rPr>
                    <w:t>Papildyti Kodeksą 771</w:t>
                  </w:r>
                  <w:r>
                    <w:rPr>
                      <w:rFonts w:eastAsia="Calibri"/>
                      <w:szCs w:val="24"/>
                      <w:vertAlign w:val="superscript"/>
                    </w:rPr>
                    <w:t>1</w:t>
                  </w:r>
                  <w:r>
                    <w:rPr>
                      <w:rFonts w:eastAsia="Calibri"/>
                      <w:szCs w:val="24"/>
                    </w:rPr>
                    <w:t xml:space="preserve"> straipsniu:</w:t>
                  </w:r>
                </w:p>
                <w:sdt>
                  <w:sdtPr>
                    <w:alias w:val="citata"/>
                    <w:tag w:val="part_ccb73d291aa24f20a87aae61fdf256b9"/>
                    <w:lock w:val="sdtLocked"/>
                    <w:richText/>
                  </w:sdtPr>
                  <w:sdtContent>
                    <w:sdt>
                      <w:sdtPr>
                        <w:alias w:val="771-1 str."/>
                        <w:tag w:val="part_d8dd9cfdf0ec46d681b440736ea485a9"/>
                        <w:lock w:val="sdtLocked"/>
                        <w:richText/>
                      </w:sdtPr>
                      <w:sdtContent>
                        <w:p>
                          <w:pPr>
                            <w:shd w:val="clear" w:color="auto" w:fill="FFFFFF"/>
                            <w:ind w:firstLine="851"/>
                            <w:jc w:val="both"/>
                            <w:rPr>
                              <w:b/>
                              <w:color w:val="000000"/>
                              <w:szCs w:val="24"/>
                              <w:lang w:eastAsia="lt-LT"/>
                            </w:rPr>
                          </w:pPr>
                          <w:r>
                            <w:rPr>
                              <w:rFonts w:eastAsia="Calibri"/>
                              <w:szCs w:val="24"/>
                            </w:rPr>
                            <w:t>„</w:t>
                          </w:r>
                          <w:sdt>
                            <w:sdtPr>
                              <w:alias w:val="Numeris"/>
                              <w:tag w:val="nr_d8dd9cfdf0ec46d681b440736ea485a9"/>
                              <w:lock w:val="sdtLocked"/>
                              <w:richText/>
                            </w:sdtPr>
                            <w:sdtContent>
                              <w:r>
                                <w:rPr>
                                  <w:b/>
                                  <w:color w:val="000000"/>
                                  <w:szCs w:val="24"/>
                                  <w:lang w:eastAsia="lt-LT"/>
                                </w:rPr>
                                <w:t>771</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d8dd9cfdf0ec46d681b440736ea485a9"/>
                              <w:lock w:val="sdtLocked"/>
                              <w:richText/>
                            </w:sdtPr>
                            <w:sdtContent>
                              <w:r>
                                <w:rPr>
                                  <w:b/>
                                  <w:color w:val="000000"/>
                                  <w:szCs w:val="24"/>
                                  <w:lang w:eastAsia="lt-LT"/>
                                </w:rPr>
                                <w:t>Privalomųjų nurodymų dėl statybos pažeidžiant teisės aktų reikalavimus įvykdymas</w:t>
                              </w:r>
                            </w:sdtContent>
                          </w:sdt>
                        </w:p>
                        <w:sdt>
                          <w:sdtPr>
                            <w:alias w:val="771-1 str. 1 d."/>
                            <w:tag w:val="part_11a512cee682467485ab6f2e8d718104"/>
                            <w:lock w:val="sdtLocked"/>
                            <w:richText/>
                          </w:sdtPr>
                          <w:sdtContent>
                            <w:p>
                              <w:pPr>
                                <w:shd w:val="clear" w:color="auto" w:fill="FFFFFF"/>
                                <w:ind w:firstLine="851"/>
                                <w:jc w:val="both"/>
                                <w:rPr>
                                  <w:color w:val="000000"/>
                                  <w:szCs w:val="24"/>
                                  <w:lang w:eastAsia="lt-LT"/>
                                </w:rPr>
                              </w:pPr>
                              <w:sdt>
                                <w:sdtPr>
                                  <w:alias w:val="Numeris"/>
                                  <w:tag w:val="nr_11a512cee682467485ab6f2e8d718104"/>
                                  <w:lock w:val="sdtLocked"/>
                                  <w:richText/>
                                </w:sdtPr>
                                <w:sdtContent>
                                  <w:r>
                                    <w:rPr>
                                      <w:color w:val="000000"/>
                                      <w:szCs w:val="24"/>
                                      <w:lang w:eastAsia="lt-LT"/>
                                    </w:rPr>
                                    <w:t>1</w:t>
                                  </w:r>
                                </w:sdtContent>
                              </w:sdt>
                              <w:r>
                                <w:rPr>
                                  <w:color w:val="000000"/>
                                  <w:szCs w:val="24"/>
                                  <w:lang w:eastAsia="lt-LT"/>
                                </w:rPr>
                                <w:t>. Jeigu neįvykdytas privalomasis nurodymas, kuris pagal Teritorijų planavimo ir statybos valstybinės priežiūros įstatymą yra vykdomasis dokumentas, antstolis apie tai surašo Sprendimų vykdymo instrukcijoje nustatytos formos aktą ir perduoda jį antstolio kontoros buveinės vietos apylinkės teismui.</w:t>
                              </w:r>
                            </w:p>
                          </w:sdtContent>
                        </w:sdt>
                        <w:sdt>
                          <w:sdtPr>
                            <w:alias w:val="771-1 str. 2 d."/>
                            <w:tag w:val="part_f880c2dd3d8b47198cf8e85847749920"/>
                            <w:lock w:val="sdtLocked"/>
                            <w:richText/>
                          </w:sdtPr>
                          <w:sdtContent>
                            <w:p>
                              <w:pPr>
                                <w:shd w:val="clear" w:color="auto" w:fill="FFFFFF"/>
                                <w:ind w:firstLine="851"/>
                                <w:jc w:val="both"/>
                                <w:rPr>
                                  <w:color w:val="000000"/>
                                  <w:szCs w:val="24"/>
                                  <w:lang w:eastAsia="lt-LT"/>
                                </w:rPr>
                              </w:pPr>
                              <w:sdt>
                                <w:sdtPr>
                                  <w:alias w:val="Numeris"/>
                                  <w:tag w:val="nr_f880c2dd3d8b47198cf8e85847749920"/>
                                  <w:lock w:val="sdtLocked"/>
                                  <w:richText/>
                                </w:sdtPr>
                                <w:sdtContent>
                                  <w:r>
                                    <w:rPr>
                                      <w:color w:val="000000"/>
                                      <w:szCs w:val="24"/>
                                      <w:lang w:eastAsia="lt-LT"/>
                                    </w:rPr>
                                    <w:t>2</w:t>
                                  </w:r>
                                </w:sdtContent>
                              </w:sdt>
                              <w:r>
                                <w:rPr>
                                  <w:color w:val="000000"/>
                                  <w:szCs w:val="24"/>
                                  <w:lang w:eastAsia="lt-LT"/>
                                </w:rPr>
                                <w:t>. Jeigu privalomajame nurodyme nurodyta, kad Valstybinė teritorijų planavimo ir statybos inspekcija prie Aplinkos ministerijos turi teisę nugriauti statinį ir sutvarkyti statybvietę skolininko lėšomis, jam per nustatytą terminą neįvykdžius privalomojo nurodymo, teismas priima nutartį taikyti privalomajame nurodyme nurodytas pasekmes, kadangi skolininkas neįvykdė privalomojo nurodymo, ir gali skirti šio straipsnio 3 dalyje numatytą baudą.</w:t>
                              </w:r>
                              <w:r>
                                <w:rPr>
                                  <w:rFonts w:ascii="Calibri" w:eastAsia="Calibri" w:hAnsi="Calibri"/>
                                  <w:szCs w:val="24"/>
                                </w:rPr>
                                <w:t xml:space="preserve"> </w:t>
                              </w:r>
                              <w:r>
                                <w:rPr>
                                  <w:color w:val="000000"/>
                                  <w:szCs w:val="24"/>
                                  <w:lang w:eastAsia="lt-LT"/>
                                </w:rPr>
                                <w:t>Privalomojo nurodymo neįvykdymo klausimas išsprendžiamas teismo posėdyje. Apie teismo posėdžio laiką ir vietą pranešama išieškotojui ir skolininkui, tačiau jų neatvykimas nekliudo išnagrinėti klausimą, kodėl neįvykdytas privalomasis nurodymas.</w:t>
                              </w:r>
                            </w:p>
                          </w:sdtContent>
                        </w:sdt>
                        <w:sdt>
                          <w:sdtPr>
                            <w:alias w:val="771-1 str. 3 d."/>
                            <w:tag w:val="part_38bd4f30ef0a41a299cf75dde1061076"/>
                            <w:lock w:val="sdtLocked"/>
                            <w:richText/>
                          </w:sdtPr>
                          <w:sdtContent>
                            <w:p>
                              <w:pPr>
                                <w:shd w:val="clear" w:color="auto" w:fill="FFFFFF"/>
                                <w:ind w:firstLine="851"/>
                                <w:jc w:val="both"/>
                                <w:rPr>
                                  <w:color w:val="000000"/>
                                  <w:szCs w:val="24"/>
                                  <w:lang w:eastAsia="lt-LT"/>
                                </w:rPr>
                              </w:pPr>
                              <w:sdt>
                                <w:sdtPr>
                                  <w:alias w:val="Numeris"/>
                                  <w:tag w:val="nr_38bd4f30ef0a41a299cf75dde1061076"/>
                                  <w:lock w:val="sdtLocked"/>
                                  <w:richText/>
                                </w:sdtPr>
                                <w:sdtContent>
                                  <w:r>
                                    <w:rPr>
                                      <w:color w:val="000000"/>
                                      <w:szCs w:val="24"/>
                                      <w:lang w:eastAsia="lt-LT"/>
                                    </w:rPr>
                                    <w:t>3</w:t>
                                  </w:r>
                                </w:sdtContent>
                              </w:sdt>
                              <w:r>
                                <w:rPr>
                                  <w:color w:val="000000"/>
                                  <w:szCs w:val="24"/>
                                  <w:lang w:eastAsia="lt-LT"/>
                                </w:rPr>
                                <w:t xml:space="preserve">. Jeigu privalomajame nurodyme nenurodytos privalomojo nurodymo neįvykdymo pasekmės, teismas, nustatęs, kad skolininkas privalomojo nurodymo neįvykdė, gali jam skirti nuo dešimties iki dviejų šimtų aštuoniasdešimt devynių eurų baudą už kiekvieną uždelstą įvykdyti privalomąjį nurodymą dieną išieškotojo naudai. Privalomojo nurodymo neįvykdymo klausimas išsprendžiamas teismo posėdyje. Apie teismo posėdžio laiką ir vietą pranešama išieškotojui ir skolininkui, tačiau jų neatvykimas nekliudo išnagrinėti klausimą, kodėl neįvykdytas privalomasis nurodymas. </w:t>
                              </w:r>
                            </w:p>
                          </w:sdtContent>
                        </w:sdt>
                        <w:sdt>
                          <w:sdtPr>
                            <w:alias w:val="771-1 str. 4 d."/>
                            <w:tag w:val="part_0ef00dbd10d349549adeb8368ae11883"/>
                            <w:lock w:val="sdtLocked"/>
                            <w:richText/>
                          </w:sdtPr>
                          <w:sdtContent>
                            <w:p>
                              <w:pPr>
                                <w:shd w:val="clear" w:color="auto" w:fill="FFFFFF"/>
                                <w:ind w:firstLine="851"/>
                                <w:jc w:val="both"/>
                                <w:rPr>
                                  <w:color w:val="000000"/>
                                  <w:szCs w:val="24"/>
                                  <w:lang w:eastAsia="lt-LT"/>
                                </w:rPr>
                              </w:pPr>
                              <w:sdt>
                                <w:sdtPr>
                                  <w:alias w:val="Numeris"/>
                                  <w:tag w:val="nr_0ef00dbd10d349549adeb8368ae11883"/>
                                  <w:lock w:val="sdtLocked"/>
                                  <w:richText/>
                                </w:sdtPr>
                                <w:sdtContent>
                                  <w:r>
                                    <w:rPr>
                                      <w:color w:val="000000"/>
                                      <w:szCs w:val="24"/>
                                      <w:lang w:eastAsia="lt-LT"/>
                                    </w:rPr>
                                    <w:t>4</w:t>
                                  </w:r>
                                </w:sdtContent>
                              </w:sdt>
                              <w:r>
                                <w:rPr>
                                  <w:color w:val="000000"/>
                                  <w:szCs w:val="24"/>
                                  <w:lang w:eastAsia="lt-LT"/>
                                </w:rPr>
                                <w:t>. Jeigu skolininkas antrą kartą ir daugiau kartų pažeidžia privalomajam nurodymui įvykdyti nustatytus terminus, teismas vėl pritaiko skolininkui priemones, numatytas šio straipsnio 3 dalyje. Baudos sumokėjimas skolininko neatleidžia nuo pareigos atlikti arba nutraukti privalomajame nurodyme numatytus veiksmus.</w:t>
                              </w:r>
                            </w:p>
                          </w:sdtContent>
                        </w:sdt>
                        <w:sdt>
                          <w:sdtPr>
                            <w:alias w:val="771-1 str. 5 d."/>
                            <w:tag w:val="part_1859f33ef0b94fc5a3c3b46ea6d2dc59"/>
                            <w:lock w:val="sdtLocked"/>
                            <w:richText/>
                          </w:sdtPr>
                          <w:sdtContent>
                            <w:p>
                              <w:pPr>
                                <w:shd w:val="clear" w:color="auto" w:fill="FFFFFF"/>
                                <w:ind w:firstLine="851"/>
                                <w:jc w:val="both"/>
                                <w:rPr>
                                  <w:color w:val="000000"/>
                                  <w:szCs w:val="24"/>
                                  <w:lang w:eastAsia="lt-LT"/>
                                </w:rPr>
                              </w:pPr>
                              <w:sdt>
                                <w:sdtPr>
                                  <w:alias w:val="Numeris"/>
                                  <w:tag w:val="nr_1859f33ef0b94fc5a3c3b46ea6d2dc59"/>
                                  <w:lock w:val="sdtLocked"/>
                                  <w:richText/>
                                </w:sdtPr>
                                <w:sdtContent>
                                  <w:r>
                                    <w:rPr>
                                      <w:color w:val="000000"/>
                                      <w:szCs w:val="24"/>
                                      <w:lang w:eastAsia="lt-LT"/>
                                    </w:rPr>
                                    <w:t>5</w:t>
                                  </w:r>
                                </w:sdtContent>
                              </w:sdt>
                              <w:r>
                                <w:rPr>
                                  <w:color w:val="000000"/>
                                  <w:szCs w:val="24"/>
                                  <w:lang w:eastAsia="lt-LT"/>
                                </w:rPr>
                                <w:t>. Tuo atveju, kai privalomojo nurodymo neįvykdo juridinis asmuo, priemones, numatytas šio straipsnio 3 ir 4 dalyse, teismas gali pritaikyti juridinio asmens vadovui arba kitam už sprendimo įvykdymą atsakingam asmeniui.</w:t>
                              </w:r>
                            </w:p>
                          </w:sdtContent>
                        </w:sdt>
                        <w:sdt>
                          <w:sdtPr>
                            <w:alias w:val="771-1 str. 6 d."/>
                            <w:tag w:val="part_795cd76fd877436ea6d387ad969f67d4"/>
                            <w:lock w:val="sdtLocked"/>
                            <w:richText/>
                          </w:sdtPr>
                          <w:sdtContent>
                            <w:p>
                              <w:pPr>
                                <w:shd w:val="clear" w:color="auto" w:fill="FFFFFF"/>
                                <w:ind w:firstLine="851"/>
                                <w:jc w:val="both"/>
                                <w:rPr>
                                  <w:rFonts w:eastAsia="Calibri"/>
                                  <w:szCs w:val="24"/>
                                </w:rPr>
                              </w:pPr>
                              <w:sdt>
                                <w:sdtPr>
                                  <w:alias w:val="Numeris"/>
                                  <w:tag w:val="nr_795cd76fd877436ea6d387ad969f67d4"/>
                                  <w:lock w:val="sdtLocked"/>
                                  <w:richText/>
                                </w:sdtPr>
                                <w:sdtContent>
                                  <w:r>
                                    <w:rPr>
                                      <w:color w:val="000000"/>
                                      <w:szCs w:val="24"/>
                                      <w:lang w:eastAsia="lt-LT"/>
                                    </w:rPr>
                                    <w:t>6</w:t>
                                  </w:r>
                                </w:sdtContent>
                              </w:sdt>
                              <w:r>
                                <w:rPr>
                                  <w:color w:val="000000"/>
                                  <w:szCs w:val="24"/>
                                  <w:lang w:eastAsia="lt-LT"/>
                                </w:rPr>
                                <w:t>. Dėl nutarčių šiame straipsnyje nurodytais klausimais gali būti duodamas atskirasis skundas.</w:t>
                              </w:r>
                              <w:r>
                                <w:rPr>
                                  <w:rFonts w:eastAsia="Calibri"/>
                                  <w:szCs w:val="24"/>
                                </w:rPr>
                                <w:t>“</w:t>
                              </w:r>
                            </w:p>
                            <w:p>
                              <w:pPr>
                                <w:shd w:val="clear" w:color="auto" w:fill="FFFFFF"/>
                                <w:ind w:firstLine="709"/>
                                <w:jc w:val="both"/>
                                <w:rPr>
                                  <w:b/>
                                  <w:color w:val="000000"/>
                                  <w:szCs w:val="24"/>
                                  <w:lang w:eastAsia="lt-LT"/>
                                </w:rPr>
                              </w:pPr>
                            </w:p>
                          </w:sdtContent>
                        </w:sdt>
                      </w:sdtContent>
                    </w:sdt>
                  </w:sdtContent>
                </w:sdt>
              </w:sdtContent>
            </w:sdt>
          </w:sdtContent>
        </w:sdt>
        <w:sdt>
          <w:sdtPr>
            <w:alias w:val="5 str."/>
            <w:tag w:val="part_5a596754b8e9427aa5da3f009ff2f7bf"/>
            <w:lock w:val="sdtLocked"/>
            <w:richText/>
          </w:sdtPr>
          <w:sdtContent>
            <w:p>
              <w:pPr>
                <w:ind w:firstLine="851"/>
                <w:jc w:val="both"/>
                <w:rPr>
                  <w:szCs w:val="24"/>
                  <w:lang w:eastAsia="lt-LT"/>
                </w:rPr>
              </w:pPr>
              <w:sdt>
                <w:sdtPr>
                  <w:alias w:val="Numeris"/>
                  <w:tag w:val="nr_5a596754b8e9427aa5da3f009ff2f7bf"/>
                  <w:lock w:val="sdtLocked"/>
                  <w:richText/>
                </w:sdtPr>
                <w:sdtContent>
                  <w:r>
                    <w:rPr>
                      <w:b/>
                      <w:bCs/>
                      <w:szCs w:val="24"/>
                      <w:lang w:eastAsia="lt-LT"/>
                    </w:rPr>
                    <w:t>5</w:t>
                  </w:r>
                </w:sdtContent>
              </w:sdt>
              <w:r>
                <w:rPr>
                  <w:b/>
                  <w:bCs/>
                  <w:szCs w:val="24"/>
                  <w:lang w:eastAsia="lt-LT"/>
                </w:rPr>
                <w:t xml:space="preserve"> straipsnis. </w:t>
              </w:r>
              <w:sdt>
                <w:sdtPr>
                  <w:alias w:val="Pavadinimas"/>
                  <w:tag w:val="title_5a596754b8e9427aa5da3f009ff2f7bf"/>
                  <w:lock w:val="sdtLocked"/>
                  <w:richText/>
                </w:sdtPr>
                <w:sdtContent>
                  <w:r>
                    <w:rPr>
                      <w:b/>
                      <w:bCs/>
                      <w:szCs w:val="24"/>
                      <w:lang w:eastAsia="lt-LT"/>
                    </w:rPr>
                    <w:t>Įstatymo įsigaliojimas</w:t>
                  </w:r>
                </w:sdtContent>
              </w:sdt>
            </w:p>
            <w:sdt>
              <w:sdtPr>
                <w:alias w:val="5 str. 1 d."/>
                <w:tag w:val="part_c0686708de4444a188523876147eacbb"/>
                <w:lock w:val="sdtLocked"/>
                <w:richText/>
              </w:sdtPr>
              <w:sdtContent>
                <w:p>
                  <w:pPr>
                    <w:ind w:firstLine="851"/>
                    <w:jc w:val="both"/>
                    <w:rPr>
                      <w:szCs w:val="24"/>
                      <w:lang w:eastAsia="lt-LT"/>
                    </w:rPr>
                  </w:pPr>
                  <w:r>
                    <w:rPr>
                      <w:szCs w:val="24"/>
                      <w:lang w:eastAsia="lt-LT"/>
                    </w:rPr>
                    <w:t>Šis įstatymas įsigalioja 2017 m. sausio 1 d.</w:t>
                  </w:r>
                </w:p>
                <w:p>
                  <w:pPr>
                    <w:spacing w:line="276" w:lineRule="auto"/>
                    <w:jc w:val="both"/>
                    <w:rPr>
                      <w:rFonts w:eastAsia="Calibri"/>
                      <w:szCs w:val="24"/>
                    </w:rPr>
                  </w:pPr>
                </w:p>
                <w:p>
                  <w:pPr>
                    <w:rPr>
                      <w:sz w:val="18"/>
                      <w:szCs w:val="18"/>
                    </w:rPr>
                  </w:pPr>
                </w:p>
              </w:sdtContent>
            </w:sdt>
          </w:sdtContent>
        </w:sdt>
        <w:sdt>
          <w:sdtPr>
            <w:alias w:val="signatura"/>
            <w:tag w:val="part_b1633af9c89b41c5b293ff13298e609d"/>
            <w:lock w:val="sdtLocked"/>
            <w:richText/>
          </w:sdtPr>
          <w:sdtContent>
            <w:p>
              <w:pPr>
                <w:overflowPunct w:val="0"/>
                <w:jc w:val="both"/>
                <w:textAlignment w:val="baseline"/>
                <w:rPr>
                  <w:rFonts w:eastAsia="Calibri"/>
                  <w:i/>
                  <w:szCs w:val="24"/>
                </w:rPr>
              </w:pPr>
              <w:r>
                <w:rPr>
                  <w:i/>
                  <w:iCs/>
                  <w:szCs w:val="24"/>
                  <w:lang w:eastAsia="lt-LT"/>
                </w:rPr>
                <w:t>Skelbiu šį Lietuvos Respublikos Seimo priimtą įstatymą.</w:t>
              </w:r>
            </w:p>
            <w:p>
              <w:pPr>
                <w:overflowPunct w:val="0"/>
                <w:ind w:firstLine="709"/>
                <w:jc w:val="both"/>
                <w:textAlignment w:val="baseline"/>
                <w:rPr>
                  <w:szCs w:val="24"/>
                  <w:lang w:eastAsia="lt-LT"/>
                </w:rPr>
              </w:pPr>
            </w:p>
            <w:p>
              <w:pPr>
                <w:overflowPunct w:val="0"/>
                <w:ind w:firstLine="709"/>
                <w:jc w:val="both"/>
                <w:textAlignment w:val="baseline"/>
                <w:rPr>
                  <w:szCs w:val="24"/>
                  <w:lang w:eastAsia="lt-LT"/>
                </w:rPr>
              </w:pPr>
            </w:p>
            <w:p>
              <w:pPr>
                <w:overflowPunct w:val="0"/>
                <w:jc w:val="both"/>
                <w:textAlignment w:val="baseline"/>
                <w:rPr>
                  <w:szCs w:val="24"/>
                  <w:lang w:eastAsia="lt-LT"/>
                </w:rPr>
              </w:pPr>
              <w:r>
                <w:rPr>
                  <w:szCs w:val="24"/>
                  <w:lang w:eastAsia="lt-LT"/>
                </w:rPr>
                <w:t>Respublikos Prezidentas</w:t>
              </w:r>
            </w:p>
            <w:p>
              <w:pPr>
                <w:spacing w:line="276" w:lineRule="auto"/>
                <w:jc w:val="both"/>
                <w:rPr>
                  <w:rFonts w:eastAsia="Calibri"/>
                  <w:szCs w:val="24"/>
                </w:rPr>
              </w:pPr>
            </w:p>
            <w:p>
              <w:pPr>
                <w:rPr>
                  <w:sz w:val="18"/>
                  <w:szCs w:val="18"/>
                </w:rPr>
              </w:pPr>
            </w:p>
            <w:p>
              <w:pPr>
                <w:jc w:val="center"/>
                <w:rPr>
                  <w:rFonts w:eastAsia="Calibri"/>
                  <w:szCs w:val="24"/>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proofState w:spelling="clean" w:grammar="clean"/>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6D2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26671710">
      <w:bodyDiv w:val="1"/>
      <w:marLeft w:val="0"/>
      <w:marRight w:val="0"/>
      <w:marTop w:val="0"/>
      <w:marBottom w:val="0"/>
      <w:divBdr>
        <w:top w:val="none" w:sz="0" w:space="0" w:color="auto"/>
        <w:left w:val="none" w:sz="0" w:space="0" w:color="auto"/>
        <w:bottom w:val="none" w:sz="0" w:space="0" w:color="auto"/>
        <w:right w:val="none" w:sz="0" w:space="0" w:color="auto"/>
      </w:divBdr>
    </w:div>
    <w:div w:id="1352414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6e825ea247741d2a64bdbb37dcc82a5" PartId="a714ed0c0043486792f35fec03b5fe7e">
    <Part Type="straipsnis" Nr="1" Abbr="1 str." Title="273 straipsnio pakeitimas" DocPartId="cd43efe27c6e4df8b58b2266edd33278" PartId="a5d671489a054207b5126794ec18adbf">
      <Part Type="strDalis" Nr="1" Abbr="1 str. 1 d." DocPartId="282926347c644ff8a1202d98d4c34e4b" PartId="cb87e7efa3b94893a27ca3c91705b040">
        <Part Type="citata" DocPartId="4b82e5956f1a4264a5ea92e96e391638" PartId="d18cce957907453bb43ff0c3f4ee74e7">
          <Part Type="strDalis" Nr="2" Abbr="2 d." DocPartId="a29158b2289240b59d7d933dfc9515f1" PartId="447f4982ca6a41d9b307e5588d0054ef"/>
        </Part>
      </Part>
      <Part Type="strDalis" Nr="2" Abbr="1 str. 2 d." DocPartId="0f1d37291ace45078a548b99d22011de" PartId="d28e587427604a2786f6fe36a7c731d8">
        <Part Type="citata" DocPartId="6cd3126be82c4ad880fdb47d015560a4" PartId="3341cf39075d4b87b5aaf98be2611b22">
          <Part Type="strDalis" Nr="3" Abbr="3 d." DocPartId="dd3bc5a6670643a68b3f4891f73e8628" PartId="6db03a75a4514a7bb7afcefb88d03fb0"/>
        </Part>
      </Part>
    </Part>
    <Part Type="straipsnis" Nr="2" Abbr="2 str." Title="587 straipsnio pakeitimas" DocPartId="36f58d10b68b49b2bc4e5675686ba9c6" PartId="c5c926125cd042dab89fdfb9bf183cdb">
      <Part Type="strDalis" Nr="1" Abbr="2 str. 1 d." DocPartId="ee441e8fa88940929ef0c8cbd2635576" PartId="be1fbe69daab4d5d8ccbf5eb43af4337">
        <Part Type="citata" DocPartId="7d0c3af9b7f04075951f45d062b878b3" PartId="4e75b1bc1e9d4fb394c4ca1245da5395">
          <Part Type="strPunktas" Nr="10" Abbr="10 p." DocPartId="7453cdf2a8b14b94abab97af01699894" PartId="8b666d0d7dc546e3a144297f7334b533"/>
        </Part>
      </Part>
      <Part Type="strDalis" Nr="2" Abbr="2 str. 2 d." DocPartId="60a3f19cea484a3a9982d2f18918522d" PartId="75e088a75e2f493b8db4d98781c78f54"/>
    </Part>
    <Part Type="straipsnis" Nr="3" Abbr="3 str." Title="771 straipsnio pakeitimas" DocPartId="3a4bceecd2974d35bd582501006ff760" PartId="218657bf47fd4a90ba64144347497b97">
      <Part Type="strDalis" Nr="1" Abbr="3 str. 1 d." DocPartId="7f416c9914814358a8cbea26642c5806" PartId="7d907701e76c4da889d9202d353a27bd">
        <Part Type="citata" DocPartId="f176f233c883488398c025f3c26e440a" PartId="c478b410609247879f2964f40576fbc6">
          <Part Type="strDalis" Nr="5" Abbr="5 d." DocPartId="9409f3919de74fa7a436f4ce65a7c899" PartId="e49019b687ba4948929076739541242e"/>
        </Part>
      </Part>
    </Part>
    <Part Type="straipsnis" Nr="4" Abbr="4 str." Title="Kodekso papildymas 771¹ straipsniu" DocPartId="c82b7fd71a51467690cab403bd41f4ed" PartId="b212577dc5bc4e2d944c6223fc6a714b">
      <Part Type="strDalis" Nr="1" Abbr="4 str. 1 d." DocPartId="423bb81e0c3646118650eabc8fc24408" PartId="05f94e2ef24d45858a6da498a6bf23ed">
        <Part Type="citata" DocPartId="3ee27b4af0124ee4bbfd8683c65a5608" PartId="ccb73d291aa24f20a87aae61fdf256b9">
          <Part Type="straipsnis" Nr="771-1" Abbr="771-1 str." Title="Privalomųjų nurodymų dėl statybos pažeidžiant teisės aktų reikalavimus įvykdymas" DocPartId="286f4b678d9b4796b8fafe46d6d0e06e" PartId="d8dd9cfdf0ec46d681b440736ea485a9">
            <Part Type="strDalis" Nr="1" Abbr="771-1 str. 1 d." DocPartId="7c1cef6b377e4806bd9845ec785489ca" PartId="11a512cee682467485ab6f2e8d718104"/>
            <Part Type="strDalis" Nr="2" Abbr="771-1 str. 2 d." DocPartId="a94e06999f384451952df30eb3bca64e" PartId="f880c2dd3d8b47198cf8e85847749920"/>
            <Part Type="strDalis" Nr="3" Abbr="771-1 str. 3 d." DocPartId="fe67eee8d8984b548781c73d499b6559" PartId="38bd4f30ef0a41a299cf75dde1061076"/>
            <Part Type="strDalis" Nr="4" Abbr="771-1 str. 4 d." DocPartId="28fe02ee1d7749b8a62004ffde3100d2" PartId="0ef00dbd10d349549adeb8368ae11883"/>
            <Part Type="strDalis" Nr="5" Abbr="771-1 str. 5 d." DocPartId="cac23f990c9d4f7292abfca836d8d9bb" PartId="1859f33ef0b94fc5a3c3b46ea6d2dc59"/>
            <Part Type="strDalis" Nr="6" Abbr="771-1 str. 6 d." DocPartId="7825303320ba4c2299dfa4559ed0e160" PartId="795cd76fd877436ea6d387ad969f67d4"/>
          </Part>
        </Part>
      </Part>
    </Part>
    <Part Type="straipsnis" Nr="5" Abbr="5 str." Title="Įstatymo įsigaliojimas" DocPartId="6845e78e54f7497eb3a37f1889c00f3f" PartId="5a596754b8e9427aa5da3f009ff2f7bf">
      <Part Type="strDalis" Nr="1" Abbr="5 str. 1 d." DocPartId="15f77b2f1a024e1a97550ed361e0a14f" PartId="c0686708de4444a188523876147eacbb"/>
    </Part>
    <Part Type="signatura" DocPartId="ef3d8fda5df74835a8ad8a04f75d56b1" PartId="b1633af9c89b41c5b293ff13298e609d"/>
  </Part>
</Parts>
</file>

<file path=customXml/itemProps1.xml><?xml version="1.0" encoding="utf-8"?>
<ds:datastoreItem xmlns:ds="http://schemas.openxmlformats.org/officeDocument/2006/customXml" ds:itemID="{D214FC68-D13C-42FA-8613-310C6960554D}">
  <ds:schemaRefs>
    <ds:schemaRef ds:uri="http://schemas.openxmlformats.org/officeDocument/2006/bibliography"/>
  </ds:schemaRefs>
</ds:datastoreItem>
</file>

<file path=customXml/itemProps2.xml><?xml version="1.0" encoding="utf-8"?>
<ds:datastoreItem xmlns:ds="http://schemas.openxmlformats.org/officeDocument/2006/customXml" ds:itemID="{E193073F-E894-4936-83CD-E798CD190A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570</Words>
  <Characters>4094</Characters>
  <Application>Microsoft Office Word</Application>
  <DocSecurity>4</DocSecurity>
  <Lines>83</Lines>
  <Paragraphs>35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Hewlett-Packard Company</Company>
  <LinksUpToDate>false</LinksUpToDate>
  <CharactersWithSpaces>4629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2016-03-23T17:32:00Z</dcterms:created>
  <dc:creator>JENDOVICKAITĖ Sondra</dc:creator>
  <lastModifiedBy>CLUSadmin</lastModifiedBy>
  <lastPrinted>2016-03-22T07:37:00Z</lastPrinted>
  <dcterms:modified xsi:type="dcterms:W3CDTF">2016-03-23T17:32:00Z</dcterms:modified>
  <revision>2</revision>
</coreProperties>
</file>