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365fb3088ca4be394e3765624e0914c"/>
        <w:lock w:val="sdtLocked"/>
        <w:richText/>
      </w:sdtPr>
      <w:sdtContent>
        <w:p>
          <w:pPr>
            <w:tabs>
              <w:tab w:val="center" w:pos="4819"/>
              <w:tab w:val="right" w:pos="9638"/>
            </w:tabs>
          </w:pPr>
        </w:p>
        <w:p>
          <w:pPr>
            <w:suppressAutoHyphens/>
            <w:ind w:left="6480" w:right="139" w:firstLine="720"/>
            <w:jc w:val="center"/>
            <w:rPr>
              <w:b/>
              <w:bCs/>
              <w:lang w:eastAsia="lt-LT"/>
            </w:rPr>
          </w:pPr>
          <w:r>
            <w:rPr>
              <w:b/>
              <w:bCs/>
              <w:lang w:eastAsia="lt-LT"/>
            </w:rPr>
            <w:t>Projektas</w:t>
          </w:r>
        </w:p>
        <w:p>
          <w:pPr>
            <w:tabs>
              <w:tab w:val="center" w:pos="4153"/>
              <w:tab w:val="right" w:pos="9072"/>
            </w:tabs>
            <w:suppressAutoHyphens/>
            <w:ind w:left="5954" w:right="139" w:firstLine="992"/>
            <w:rPr>
              <w:b/>
              <w:bCs/>
              <w:lang w:eastAsia="lt-LT"/>
            </w:rPr>
          </w:pPr>
        </w:p>
        <w:p>
          <w:pPr>
            <w:suppressAutoHyphens/>
            <w:jc w:val="right"/>
            <w:rPr>
              <w:szCs w:val="24"/>
            </w:rPr>
          </w:pPr>
        </w:p>
        <w:p>
          <w:pPr>
            <w:suppressAutoHyphens/>
            <w:spacing w:line="360" w:lineRule="auto"/>
            <w:jc w:val="center"/>
            <w:rPr>
              <w:b/>
              <w:bCs/>
              <w:szCs w:val="24"/>
              <w:lang w:eastAsia="lt-LT"/>
            </w:rPr>
          </w:pPr>
          <w:r>
            <w:rPr>
              <w:b/>
              <w:bCs/>
              <w:szCs w:val="24"/>
              <w:lang w:eastAsia="lt-LT"/>
            </w:rPr>
            <w:t>LIETUVOS RESPUBLIKOS APLINKOS MINISTRAS</w:t>
          </w:r>
        </w:p>
        <w:p>
          <w:pPr>
            <w:spacing w:line="360" w:lineRule="auto"/>
            <w:jc w:val="center"/>
            <w:rPr>
              <w:szCs w:val="24"/>
            </w:rPr>
          </w:pPr>
        </w:p>
        <w:p>
          <w:pPr>
            <w:suppressAutoHyphens/>
            <w:jc w:val="center"/>
            <w:rPr>
              <w:szCs w:val="24"/>
            </w:rPr>
          </w:pPr>
          <w:r>
            <w:rPr>
              <w:b/>
              <w:bCs/>
              <w:szCs w:val="24"/>
              <w:lang w:eastAsia="lt-LT"/>
            </w:rPr>
            <w:t>ĮSAKYMAS</w:t>
          </w:r>
        </w:p>
        <w:p>
          <w:pPr>
            <w:suppressAutoHyphens/>
            <w:jc w:val="center"/>
            <w:rPr>
              <w:b/>
              <w:bCs/>
              <w:color w:val="000000"/>
              <w:szCs w:val="24"/>
              <w:lang w:eastAsia="lt-LT"/>
            </w:rPr>
          </w:pPr>
          <w:r>
            <w:rPr>
              <w:b/>
              <w:bCs/>
              <w:color w:val="000000"/>
              <w:szCs w:val="24"/>
              <w:lang w:eastAsia="lt-LT"/>
            </w:rPr>
            <w:t>DĖL LIETUVOS RESPUBLIKOS APLINKOS MINISTRO 2012 M. GRUODŽIO 28 D. ĮSAKYMO NR. D1-1120 „DĖL VANDENS NAUDOJIMO IR NUOTEKŲ TVARKYMO APSKAITOS TVARKOS APRAŠO PATVIRTINIMO“ PAKEITIMO</w:t>
          </w:r>
        </w:p>
        <w:p>
          <w:pPr>
            <w:suppressAutoHyphens/>
            <w:spacing w:line="360" w:lineRule="auto"/>
            <w:jc w:val="center"/>
            <w:rPr>
              <w:b/>
              <w:szCs w:val="24"/>
              <w:lang w:eastAsia="lt-LT"/>
            </w:rPr>
          </w:pPr>
        </w:p>
        <w:p>
          <w:pPr>
            <w:suppressAutoHyphens/>
            <w:spacing w:line="360" w:lineRule="auto"/>
            <w:jc w:val="center"/>
            <w:rPr>
              <w:szCs w:val="24"/>
              <w:lang w:eastAsia="lt-LT"/>
            </w:rPr>
          </w:pPr>
          <w:r>
            <w:rPr>
              <w:szCs w:val="24"/>
              <w:lang w:eastAsia="lt-LT"/>
            </w:rPr>
            <w:t xml:space="preserve">2023 m.                    Nr. </w:t>
          </w:r>
        </w:p>
        <w:p>
          <w:pPr>
            <w:suppressAutoHyphens/>
            <w:spacing w:line="360" w:lineRule="auto"/>
            <w:jc w:val="center"/>
            <w:rPr>
              <w:szCs w:val="24"/>
              <w:lang w:eastAsia="lt-LT"/>
            </w:rPr>
          </w:pPr>
          <w:r>
            <w:rPr>
              <w:szCs w:val="24"/>
              <w:lang w:eastAsia="lt-LT"/>
            </w:rPr>
            <w:t>Vilnius</w:t>
          </w:r>
        </w:p>
        <w:p>
          <w:pPr>
            <w:suppressAutoHyphens/>
            <w:jc w:val="center"/>
            <w:rPr>
              <w:spacing w:val="8"/>
              <w:szCs w:val="24"/>
              <w:lang w:eastAsia="lt-LT"/>
            </w:rPr>
          </w:pPr>
        </w:p>
        <w:p>
          <w:pPr>
            <w:suppressAutoHyphens/>
            <w:jc w:val="center"/>
            <w:rPr>
              <w:spacing w:val="8"/>
              <w:szCs w:val="24"/>
              <w:lang w:eastAsia="lt-LT"/>
            </w:rPr>
          </w:pPr>
        </w:p>
        <w:sdt>
          <w:sdtPr>
            <w:alias w:val="1 p."/>
            <w:tag w:val="part_77c98eadef0a4cc3b37f25ff4d13b4ca"/>
            <w:lock w:val="sdtLocked"/>
            <w:richText/>
          </w:sdtPr>
          <w:sdtContent>
            <w:p>
              <w:pPr>
                <w:suppressAutoHyphens/>
                <w:spacing w:line="360" w:lineRule="auto"/>
                <w:ind w:firstLine="567"/>
                <w:jc w:val="both"/>
                <w:rPr>
                  <w:color w:val="000000"/>
                  <w:szCs w:val="24"/>
                  <w:lang w:eastAsia="lt-LT"/>
                </w:rPr>
              </w:pPr>
              <w:sdt>
                <w:sdtPr>
                  <w:alias w:val="Numeris"/>
                  <w:tag w:val="nr_77c98eadef0a4cc3b37f25ff4d13b4ca"/>
                  <w:lock w:val="sdtLocked"/>
                  <w:richText/>
                </w:sdtPr>
                <w:sdtContent>
                  <w:r>
                    <w:rPr>
                      <w:color w:val="000000"/>
                      <w:szCs w:val="24"/>
                      <w:lang w:eastAsia="lt-LT"/>
                    </w:rPr>
                    <w:t>1</w:t>
                  </w:r>
                </w:sdtContent>
              </w:sdt>
              <w:r>
                <w:rPr>
                  <w:color w:val="000000"/>
                  <w:szCs w:val="24"/>
                  <w:lang w:eastAsia="lt-LT"/>
                </w:rPr>
                <w:t>. P a k e i č i u Vandens naudojimo ir nuotekų tvarkymo apskaitos tvarkos aprašą, patvirtintą Lietuvos Respublikos aplinkos ministro 2012 m. gruodžio 28 d. įsakymu Nr. D1-1120 „Dėl Vandens naudojimo ir nuotekų tvarkymo apskaitos tvarkos aprašo patvirtinimo“:</w:t>
              </w:r>
            </w:p>
            <w:sdt>
              <w:sdtPr>
                <w:alias w:val="1.1 pp."/>
                <w:tag w:val="part_44a02345c707437f814ab2f4f474a8a6"/>
                <w:lock w:val="sdtLocked"/>
                <w:richText/>
              </w:sdtPr>
              <w:sdtContent>
                <w:p>
                  <w:pPr>
                    <w:suppressAutoHyphens/>
                    <w:spacing w:line="360" w:lineRule="auto"/>
                    <w:ind w:firstLine="567"/>
                    <w:jc w:val="both"/>
                    <w:rPr>
                      <w:szCs w:val="24"/>
                      <w:lang w:eastAsia="lt-LT"/>
                    </w:rPr>
                  </w:pPr>
                  <w:sdt>
                    <w:sdtPr>
                      <w:alias w:val="Numeris"/>
                      <w:tag w:val="nr_44a02345c707437f814ab2f4f474a8a6"/>
                      <w:lock w:val="sdtLocked"/>
                      <w:richText/>
                    </w:sdtPr>
                    <w:sdtContent>
                      <w:r>
                        <w:rPr>
                          <w:szCs w:val="24"/>
                          <w:lang w:eastAsia="lt-LT"/>
                        </w:rPr>
                        <w:t>1.1</w:t>
                      </w:r>
                    </w:sdtContent>
                  </w:sdt>
                  <w:r>
                    <w:rPr>
                      <w:szCs w:val="24"/>
                      <w:lang w:eastAsia="lt-LT"/>
                    </w:rPr>
                    <w:t xml:space="preserve">. Pripažįstu netekusiu galios </w:t>
                  </w:r>
                  <w:r>
                    <w:rPr>
                      <w:lang w:eastAsia="lt-LT"/>
                    </w:rPr>
                    <w:t xml:space="preserve">2 </w:t>
                  </w:r>
                  <w:r>
                    <w:rPr>
                      <w:szCs w:val="24"/>
                      <w:lang w:eastAsia="lt-LT"/>
                    </w:rPr>
                    <w:t>punktą.</w:t>
                  </w:r>
                </w:p>
              </w:sdtContent>
            </w:sdt>
            <w:sdt>
              <w:sdtPr>
                <w:alias w:val="1.2 pp."/>
                <w:tag w:val="part_5ac47722194f4fee82a014b2c1415676"/>
                <w:lock w:val="sdtLocked"/>
                <w:richText/>
              </w:sdtPr>
              <w:sdtContent>
                <w:p>
                  <w:pPr>
                    <w:suppressAutoHyphens/>
                    <w:spacing w:line="360" w:lineRule="auto"/>
                    <w:ind w:firstLine="567"/>
                    <w:jc w:val="both"/>
                    <w:rPr>
                      <w:szCs w:val="24"/>
                      <w:lang w:eastAsia="lt-LT"/>
                    </w:rPr>
                  </w:pPr>
                  <w:sdt>
                    <w:sdtPr>
                      <w:alias w:val="Numeris"/>
                      <w:tag w:val="nr_5ac47722194f4fee82a014b2c1415676"/>
                      <w:lock w:val="sdtLocked"/>
                      <w:richText/>
                    </w:sdtPr>
                    <w:sdtContent>
                      <w:r>
                        <w:rPr>
                          <w:szCs w:val="24"/>
                          <w:lang w:eastAsia="lt-LT"/>
                        </w:rPr>
                        <w:t>1.2</w:t>
                      </w:r>
                    </w:sdtContent>
                  </w:sdt>
                  <w:r>
                    <w:rPr>
                      <w:szCs w:val="24"/>
                      <w:lang w:eastAsia="lt-LT"/>
                    </w:rPr>
                    <w:t>. Pakeičiu 5 punktą ir jį išdėstau taip:</w:t>
                  </w:r>
                </w:p>
                <w:sdt>
                  <w:sdtPr>
                    <w:alias w:val="citata"/>
                    <w:tag w:val="part_a0db0a9c6ff34a1db7ac6712eb88b790"/>
                    <w:lock w:val="sdtLocked"/>
                    <w:richText/>
                  </w:sdtPr>
                  <w:sdtContent>
                    <w:sdt>
                      <w:sdtPr>
                        <w:alias w:val="5 p."/>
                        <w:tag w:val="part_a9916ef1bc6a42a29583274eb86df38b"/>
                        <w:lock w:val="sdtLocked"/>
                        <w:richText/>
                      </w:sdtPr>
                      <w:sdtContent>
                        <w:p>
                          <w:pPr>
                            <w:suppressAutoHyphens/>
                            <w:spacing w:line="360" w:lineRule="auto"/>
                            <w:ind w:firstLine="567"/>
                            <w:jc w:val="both"/>
                            <w:rPr>
                              <w:szCs w:val="24"/>
                              <w:lang w:eastAsia="lt-LT"/>
                            </w:rPr>
                          </w:pPr>
                          <w:r>
                            <w:rPr>
                              <w:szCs w:val="24"/>
                              <w:lang w:eastAsia="lt-LT"/>
                            </w:rPr>
                            <w:t>„</w:t>
                          </w:r>
                          <w:sdt>
                            <w:sdtPr>
                              <w:alias w:val="Numeris"/>
                              <w:tag w:val="nr_a9916ef1bc6a42a29583274eb86df38b"/>
                              <w:lock w:val="sdtLocked"/>
                              <w:richText/>
                            </w:sdtPr>
                            <w:sdtContent>
                              <w:r>
                                <w:rPr>
                                  <w:lang w:eastAsia="lt-LT"/>
                                </w:rPr>
                                <w:t>5</w:t>
                              </w:r>
                            </w:sdtContent>
                          </w:sdt>
                          <w:r>
                            <w:rPr>
                              <w:lang w:eastAsia="lt-LT"/>
                            </w:rPr>
                            <w:t>. Vandens naudojimo apskaita apima iš paviršinių ir (arba) požeminių vandens telkinių išgauto, perduoto ir naudojamo</w:t>
                          </w:r>
                          <w:r>
                            <w:rPr>
                              <w:color w:val="000000"/>
                              <w:szCs w:val="24"/>
                              <w:lang w:eastAsia="lt-LT"/>
                            </w:rPr>
                            <w:t xml:space="preserve"> vandens kiekio, </w:t>
                          </w:r>
                          <w:r>
                            <w:rPr>
                              <w:szCs w:val="24"/>
                            </w:rPr>
                            <w:t>per hidrotechninius statinius praleidžiamo paviršinio vandens ir hidroenergijai hidroelektrinėse išgauti naudojamo</w:t>
                          </w:r>
                          <w:r>
                            <w:rPr>
                              <w:rFonts w:ascii="Segoe UI" w:hAnsi="Segoe UI" w:cs="Segoe UI"/>
                              <w:sz w:val="18"/>
                              <w:szCs w:val="18"/>
                            </w:rPr>
                            <w:t xml:space="preserve"> </w:t>
                          </w:r>
                          <w:r>
                            <w:rPr>
                              <w:lang w:eastAsia="lt-LT"/>
                            </w:rPr>
                            <w:t>vandens kiekio, geriamojo vandens tiekimo įrangos techninių parametrų, vandens tiekimo fiziniams asmenims, naudojantiems vandenį ir (ar) nuotekų tvarkymo paslaugas asmeniniams, šeimos, namų ūkio poreikiams tenkinti (toliau – Gyventojai) ir ūkio subjektams apskaitą.</w:t>
                          </w:r>
                          <w:r>
                            <w:rPr>
                              <w:szCs w:val="24"/>
                              <w:lang w:eastAsia="lt-LT"/>
                            </w:rPr>
                            <w:t>“</w:t>
                          </w:r>
                        </w:p>
                      </w:sdtContent>
                    </w:sdt>
                  </w:sdtContent>
                </w:sdt>
              </w:sdtContent>
            </w:sdt>
            <w:sdt>
              <w:sdtPr>
                <w:alias w:val="1.3 pp."/>
                <w:tag w:val="part_0e7d4544a8f3471b8f49f6c19e4419e5"/>
                <w:lock w:val="sdtLocked"/>
                <w:richText/>
              </w:sdtPr>
              <w:sdtContent>
                <w:p>
                  <w:pPr>
                    <w:suppressAutoHyphens/>
                    <w:spacing w:line="360" w:lineRule="auto"/>
                    <w:ind w:firstLine="567"/>
                    <w:jc w:val="both"/>
                    <w:rPr>
                      <w:szCs w:val="24"/>
                      <w:lang w:eastAsia="lt-LT"/>
                    </w:rPr>
                  </w:pPr>
                  <w:sdt>
                    <w:sdtPr>
                      <w:alias w:val="Numeris"/>
                      <w:tag w:val="nr_0e7d4544a8f3471b8f49f6c19e4419e5"/>
                      <w:lock w:val="sdtLocked"/>
                      <w:richText/>
                    </w:sdtPr>
                    <w:sdtContent>
                      <w:r>
                        <w:rPr>
                          <w:szCs w:val="24"/>
                          <w:lang w:eastAsia="lt-LT"/>
                        </w:rPr>
                        <w:t>1.3</w:t>
                      </w:r>
                    </w:sdtContent>
                  </w:sdt>
                  <w:r>
                    <w:rPr>
                      <w:szCs w:val="24"/>
                      <w:lang w:eastAsia="lt-LT"/>
                    </w:rPr>
                    <w:t>. Pakeičiu 6 punktą ir jį išdėstau taip:</w:t>
                  </w:r>
                </w:p>
                <w:sdt>
                  <w:sdtPr>
                    <w:alias w:val="citata"/>
                    <w:tag w:val="part_069d5c0e0e8a4871ba23107f1ce69b61"/>
                    <w:lock w:val="sdtLocked"/>
                    <w:richText/>
                  </w:sdtPr>
                  <w:sdtContent>
                    <w:sdt>
                      <w:sdtPr>
                        <w:alias w:val="6 p."/>
                        <w:tag w:val="part_eef85354f27944b0b8b0b4f690e51c38"/>
                        <w:lock w:val="sdtLocked"/>
                        <w:richText/>
                      </w:sdtPr>
                      <w:sdtContent>
                        <w:p>
                          <w:pPr>
                            <w:suppressAutoHyphens/>
                            <w:spacing w:line="360" w:lineRule="auto"/>
                            <w:ind w:firstLine="567"/>
                            <w:jc w:val="both"/>
                            <w:rPr>
                              <w:lang w:eastAsia="lt-LT"/>
                            </w:rPr>
                          </w:pPr>
                          <w:r>
                            <w:rPr>
                              <w:lang w:eastAsia="lt-LT"/>
                            </w:rPr>
                            <w:t>„</w:t>
                          </w:r>
                          <w:sdt>
                            <w:sdtPr>
                              <w:alias w:val="Numeris"/>
                              <w:tag w:val="nr_eef85354f27944b0b8b0b4f690e51c38"/>
                              <w:lock w:val="sdtLocked"/>
                              <w:richText/>
                            </w:sdtPr>
                            <w:sdtContent>
                              <w:r>
                                <w:rPr>
                                  <w:lang w:eastAsia="lt-LT"/>
                                </w:rPr>
                                <w:t>6</w:t>
                              </w:r>
                            </w:sdtContent>
                          </w:sdt>
                          <w:r>
                            <w:rPr>
                              <w:lang w:eastAsia="lt-LT"/>
                            </w:rPr>
                            <w:t>. Iš paviršinių ir (arba) požeminių vandens telkinių išgauto vandens, jo naudojimo ir (arba) perdavimo, perduoto vandens naudojimo,</w:t>
                          </w:r>
                          <w:r>
                            <w:t xml:space="preserve"> </w:t>
                          </w:r>
                          <w:r>
                            <w:rPr>
                              <w:lang w:eastAsia="lt-LT"/>
                            </w:rPr>
                            <w:t xml:space="preserve">per hidrotechninius statinius praleidžiamo vandens apskaitą privalo vykdyti ūkio subjektai, nurodyti Vandens įstatymo 25 straipsnio 2 dalyje ir Žemės gelmių įstatymo 25 straipsnio 2 dalyje.“ </w:t>
                          </w:r>
                        </w:p>
                      </w:sdtContent>
                    </w:sdt>
                  </w:sdtContent>
                </w:sdt>
              </w:sdtContent>
            </w:sdt>
            <w:sdt>
              <w:sdtPr>
                <w:alias w:val="1.4 pp."/>
                <w:tag w:val="part_38a2d40dba5745a0aeb5c498a37e3857"/>
                <w:lock w:val="sdtLocked"/>
                <w:richText/>
              </w:sdtPr>
              <w:sdtContent>
                <w:p>
                  <w:pPr>
                    <w:suppressAutoHyphens/>
                    <w:spacing w:line="360" w:lineRule="auto"/>
                    <w:ind w:firstLine="567"/>
                    <w:jc w:val="both"/>
                    <w:rPr>
                      <w:szCs w:val="24"/>
                      <w:lang w:eastAsia="lt-LT"/>
                    </w:rPr>
                  </w:pPr>
                  <w:sdt>
                    <w:sdtPr>
                      <w:alias w:val="Numeris"/>
                      <w:tag w:val="nr_38a2d40dba5745a0aeb5c498a37e3857"/>
                      <w:lock w:val="sdtLocked"/>
                      <w:richText/>
                    </w:sdtPr>
                    <w:sdtContent>
                      <w:r>
                        <w:rPr>
                          <w:szCs w:val="24"/>
                          <w:lang w:eastAsia="lt-LT"/>
                        </w:rPr>
                        <w:t>1.4</w:t>
                      </w:r>
                    </w:sdtContent>
                  </w:sdt>
                  <w:r>
                    <w:rPr>
                      <w:szCs w:val="24"/>
                      <w:lang w:eastAsia="lt-LT"/>
                    </w:rPr>
                    <w:t>. Pakeičiu 7 punktą ir jį išdėstau taip:</w:t>
                  </w:r>
                </w:p>
                <w:sdt>
                  <w:sdtPr>
                    <w:alias w:val="citata"/>
                    <w:tag w:val="part_ab8b4775deeb4fb9a3be22471462380c"/>
                    <w:lock w:val="sdtLocked"/>
                    <w:richText/>
                  </w:sdtPr>
                  <w:sdtContent>
                    <w:sdt>
                      <w:sdtPr>
                        <w:alias w:val="7 p."/>
                        <w:tag w:val="part_6f168a2bae3542bba68a3a0c86c50530"/>
                        <w:lock w:val="sdtLocked"/>
                        <w:richText/>
                      </w:sdtPr>
                      <w:sdtContent>
                        <w:p>
                          <w:pPr>
                            <w:widowControl w:val="0"/>
                            <w:shd w:val="clear" w:color="000000" w:fill="auto"/>
                            <w:spacing w:line="360" w:lineRule="auto"/>
                            <w:ind w:firstLine="567"/>
                            <w:jc w:val="both"/>
                            <w:rPr>
                              <w:color w:val="000000"/>
                            </w:rPr>
                          </w:pPr>
                          <w:r>
                            <w:rPr>
                              <w:szCs w:val="24"/>
                              <w:lang w:eastAsia="lt-LT"/>
                            </w:rPr>
                            <w:t>„</w:t>
                          </w:r>
                          <w:sdt>
                            <w:sdtPr>
                              <w:alias w:val="Numeris"/>
                              <w:tag w:val="nr_6f168a2bae3542bba68a3a0c86c50530"/>
                              <w:lock w:val="sdtLocked"/>
                              <w:richText/>
                            </w:sdtPr>
                            <w:sdtContent>
                              <w:r>
                                <w:rPr>
                                  <w:color w:val="000000"/>
                                </w:rPr>
                                <w:t>7</w:t>
                              </w:r>
                            </w:sdtContent>
                          </w:sdt>
                          <w:r>
                            <w:rPr>
                              <w:color w:val="000000"/>
                            </w:rPr>
                            <w:t>. Naudojamo vandens kiekio apskaita vykdoma:</w:t>
                          </w:r>
                        </w:p>
                        <w:sdt>
                          <w:sdtPr>
                            <w:alias w:val="7.1 pp."/>
                            <w:tag w:val="part_d8f9866ea6a040f7aad18c0e9cff4a03"/>
                            <w:lock w:val="sdtLocked"/>
                            <w:richText/>
                          </w:sdtPr>
                          <w:sdtContent>
                            <w:p>
                              <w:pPr>
                                <w:widowControl w:val="0"/>
                                <w:shd w:val="clear" w:color="000000" w:fill="auto"/>
                                <w:tabs>
                                  <w:tab w:val="left" w:pos="993"/>
                                </w:tabs>
                                <w:spacing w:line="360" w:lineRule="auto"/>
                                <w:ind w:firstLine="567"/>
                                <w:jc w:val="both"/>
                                <w:rPr>
                                  <w:color w:val="000000"/>
                                </w:rPr>
                              </w:pPr>
                              <w:sdt>
                                <w:sdtPr>
                                  <w:alias w:val="Numeris"/>
                                  <w:tag w:val="nr_d8f9866ea6a040f7aad18c0e9cff4a03"/>
                                  <w:lock w:val="sdtLocked"/>
                                  <w:richText/>
                                </w:sdtPr>
                                <w:sdtContent>
                                  <w:r>
                                    <w:rPr>
                                      <w:color w:val="000000"/>
                                    </w:rPr>
                                    <w:t>7.1</w:t>
                                  </w:r>
                                </w:sdtContent>
                              </w:sdt>
                              <w:r>
                                <w:rPr>
                                  <w:color w:val="000000"/>
                                </w:rPr>
                                <w:t>. pagal vandens kiekio matavimo prietaisų duomenis, kai vanduo išgaunamas stacionariomis vandens išgavimo priemonėmis;</w:t>
                              </w:r>
                            </w:p>
                          </w:sdtContent>
                        </w:sdt>
                        <w:sdt>
                          <w:sdtPr>
                            <w:alias w:val="7.2 pp."/>
                            <w:tag w:val="part_5976ecb27fa24b5d9e5dabff9bec38ba"/>
                            <w:lock w:val="sdtLocked"/>
                            <w:richText/>
                          </w:sdtPr>
                          <w:sdtContent>
                            <w:p>
                              <w:pPr>
                                <w:widowControl w:val="0"/>
                                <w:shd w:val="clear" w:color="000000" w:fill="auto"/>
                                <w:tabs>
                                  <w:tab w:val="left" w:pos="993"/>
                                </w:tabs>
                                <w:spacing w:line="360" w:lineRule="auto"/>
                                <w:ind w:firstLine="567"/>
                                <w:jc w:val="both"/>
                                <w:rPr>
                                  <w:color w:val="000000"/>
                                </w:rPr>
                              </w:pPr>
                              <w:sdt>
                                <w:sdtPr>
                                  <w:alias w:val="Numeris"/>
                                  <w:tag w:val="nr_5976ecb27fa24b5d9e5dabff9bec38ba"/>
                                  <w:lock w:val="sdtLocked"/>
                                  <w:richText/>
                                </w:sdtPr>
                                <w:sdtContent>
                                  <w:r>
                                    <w:rPr>
                                      <w:color w:val="000000"/>
                                    </w:rPr>
                                    <w:t>7.2</w:t>
                                  </w:r>
                                </w:sdtContent>
                              </w:sdt>
                              <w:r>
                                <w:rPr>
                                  <w:color w:val="000000"/>
                                </w:rPr>
                                <w:t>. apskaičiuojant pagal vandens išgavimo priemonių techninius (siurblio galia) arba fizinius (talpyklos tūris) rodiklius kai vanduo išgaunamas mobiliomis vandens išgavimo priemonėmis;</w:t>
                              </w:r>
                            </w:p>
                          </w:sdtContent>
                        </w:sdt>
                        <w:sdt>
                          <w:sdtPr>
                            <w:alias w:val="7.3 pp."/>
                            <w:tag w:val="part_a5d8a143ad95464e97dab5649d680c4b"/>
                            <w:lock w:val="sdtLocked"/>
                            <w:richText/>
                          </w:sdtPr>
                          <w:sdtContent>
                            <w:p>
                              <w:pPr>
                                <w:widowControl w:val="0"/>
                                <w:shd w:val="clear" w:color="000000" w:fill="auto"/>
                                <w:tabs>
                                  <w:tab w:val="left" w:pos="993"/>
                                </w:tabs>
                                <w:spacing w:line="360" w:lineRule="auto"/>
                                <w:ind w:firstLine="567"/>
                                <w:jc w:val="both"/>
                                <w:rPr>
                                  <w:color w:val="000000"/>
                                  <w:szCs w:val="24"/>
                                  <w:lang w:eastAsia="lt-LT"/>
                                </w:rPr>
                              </w:pPr>
                              <w:sdt>
                                <w:sdtPr>
                                  <w:alias w:val="Numeris"/>
                                  <w:tag w:val="nr_a5d8a143ad95464e97dab5649d680c4b"/>
                                  <w:lock w:val="sdtLocked"/>
                                  <w:richText/>
                                </w:sdtPr>
                                <w:sdtContent>
                                  <w:r>
                                    <w:rPr>
                                      <w:color w:val="000000"/>
                                    </w:rPr>
                                    <w:t>7.</w:t>
                                  </w:r>
                                  <w:r>
                                    <w:rPr>
                                      <w:color w:val="000000"/>
                                      <w:szCs w:val="24"/>
                                      <w:lang w:eastAsia="lt-LT"/>
                                    </w:rPr>
                                    <w:t>3</w:t>
                                  </w:r>
                                </w:sdtContent>
                              </w:sdt>
                              <w:r>
                                <w:rPr>
                                  <w:color w:val="000000"/>
                                  <w:szCs w:val="24"/>
                                  <w:lang w:eastAsia="lt-LT"/>
                                </w:rPr>
                                <w:t xml:space="preserve"> apskaičiuojant pagal formulę, nurodytą šio Tvarkos aprašo 8 priede, kai vanduo naudojamas hidroenergijai išgauti hidroelektrinėse;</w:t>
                              </w:r>
                            </w:p>
                          </w:sdtContent>
                        </w:sdt>
                        <w:sdt>
                          <w:sdtPr>
                            <w:alias w:val="7.4 pp."/>
                            <w:tag w:val="part_92f05a5bfba54102906145f3765ac457"/>
                            <w:lock w:val="sdtLocked"/>
                            <w:richText/>
                          </w:sdtPr>
                          <w:sdtContent>
                            <w:p>
                              <w:pPr>
                                <w:widowControl w:val="0"/>
                                <w:shd w:val="clear" w:color="000000" w:fill="auto"/>
                                <w:tabs>
                                  <w:tab w:val="left" w:pos="993"/>
                                </w:tabs>
                                <w:spacing w:line="360" w:lineRule="auto"/>
                                <w:ind w:firstLine="567"/>
                                <w:jc w:val="both"/>
                                <w:rPr>
                                  <w:color w:val="000000"/>
                                </w:rPr>
                              </w:pPr>
                              <w:sdt>
                                <w:sdtPr>
                                  <w:alias w:val="Numeris"/>
                                  <w:tag w:val="nr_92f05a5bfba54102906145f3765ac457"/>
                                  <w:lock w:val="sdtLocked"/>
                                  <w:richText/>
                                </w:sdtPr>
                                <w:sdtContent>
                                  <w:r>
                                    <w:rPr>
                                      <w:color w:val="000000"/>
                                      <w:szCs w:val="24"/>
                                      <w:lang w:eastAsia="lt-LT"/>
                                    </w:rPr>
                                    <w:t>7.4</w:t>
                                  </w:r>
                                </w:sdtContent>
                              </w:sdt>
                              <w:r>
                                <w:rPr>
                                  <w:color w:val="000000"/>
                                  <w:szCs w:val="24"/>
                                  <w:lang w:eastAsia="lt-LT"/>
                                </w:rPr>
                                <w:t>. apskaičiuojant pagal žuvininkystės tvenkinio fizinius rodiklius, kai vandens kiekis panaudotas žuvininkystės reikmėms.</w:t>
                              </w:r>
                              <w:r>
                                <w:rPr>
                                  <w:szCs w:val="24"/>
                                  <w:lang w:eastAsia="lt-LT"/>
                                </w:rPr>
                                <w:t>“</w:t>
                              </w:r>
                            </w:p>
                          </w:sdtContent>
                        </w:sdt>
                      </w:sdtContent>
                    </w:sdt>
                  </w:sdtContent>
                </w:sdt>
              </w:sdtContent>
            </w:sdt>
            <w:sdt>
              <w:sdtPr>
                <w:alias w:val="1.5 pp."/>
                <w:tag w:val="part_562bcdea9c864b85b96afe4622bb743a"/>
                <w:lock w:val="sdtLocked"/>
                <w:richText/>
              </w:sdtPr>
              <w:sdtContent>
                <w:p>
                  <w:pPr>
                    <w:suppressAutoHyphens/>
                    <w:spacing w:line="360" w:lineRule="auto"/>
                    <w:ind w:firstLine="567"/>
                    <w:jc w:val="both"/>
                    <w:rPr>
                      <w:szCs w:val="24"/>
                      <w:lang w:eastAsia="lt-LT"/>
                    </w:rPr>
                  </w:pPr>
                  <w:sdt>
                    <w:sdtPr>
                      <w:alias w:val="Numeris"/>
                      <w:tag w:val="nr_562bcdea9c864b85b96afe4622bb743a"/>
                      <w:lock w:val="sdtLocked"/>
                      <w:richText/>
                    </w:sdtPr>
                    <w:sdtContent>
                      <w:r>
                        <w:rPr>
                          <w:szCs w:val="24"/>
                          <w:lang w:eastAsia="lt-LT"/>
                        </w:rPr>
                        <w:t>1.5</w:t>
                      </w:r>
                    </w:sdtContent>
                  </w:sdt>
                  <w:r>
                    <w:rPr>
                      <w:szCs w:val="24"/>
                      <w:lang w:eastAsia="lt-LT"/>
                    </w:rPr>
                    <w:t>. Pakeičiu 20 punktą ir jį išdėstau taip:</w:t>
                  </w:r>
                </w:p>
                <w:sdt>
                  <w:sdtPr>
                    <w:alias w:val="citata"/>
                    <w:tag w:val="part_b352036866d94ba7936beaacc8b0fc47"/>
                    <w:lock w:val="sdtLocked"/>
                    <w:richText/>
                  </w:sdtPr>
                  <w:sdtContent>
                    <w:sdt>
                      <w:sdtPr>
                        <w:alias w:val="20 p."/>
                        <w:tag w:val="part_c8eccf56abea43599972299fabb4ca97"/>
                        <w:lock w:val="sdtLocked"/>
                        <w:richText/>
                      </w:sdtPr>
                      <w:sdtContent>
                        <w:p>
                          <w:pPr>
                            <w:suppressAutoHyphens/>
                            <w:spacing w:line="360" w:lineRule="auto"/>
                            <w:ind w:firstLine="567"/>
                            <w:jc w:val="both"/>
                            <w:rPr>
                              <w:lang w:eastAsia="lt-LT"/>
                            </w:rPr>
                          </w:pPr>
                          <w:r>
                            <w:rPr>
                              <w:lang w:eastAsia="lt-LT"/>
                            </w:rPr>
                            <w:t>„</w:t>
                          </w:r>
                          <w:sdt>
                            <w:sdtPr>
                              <w:alias w:val="Numeris"/>
                              <w:tag w:val="nr_c8eccf56abea43599972299fabb4ca97"/>
                              <w:lock w:val="sdtLocked"/>
                              <w:richText/>
                            </w:sdtPr>
                            <w:sdtContent>
                              <w:r>
                                <w:rPr>
                                  <w:lang w:eastAsia="lt-LT"/>
                                </w:rPr>
                                <w:t>20</w:t>
                              </w:r>
                            </w:sdtContent>
                          </w:sdt>
                          <w:r>
                            <w:rPr>
                              <w:lang w:eastAsia="lt-LT"/>
                            </w:rPr>
                            <w:t>. Šio Tvarkos aprašo 6, 10, 11, 14, 17 arba 18 punktuose nurodyti ūkio subjektai, išskyrus ūkių subjektus, nurodytus šio Tvarkos aprašo 20</w:t>
                          </w:r>
                          <w:r>
                            <w:rPr>
                              <w:vertAlign w:val="superscript"/>
                              <w:lang w:eastAsia="lt-LT"/>
                            </w:rPr>
                            <w:t>2</w:t>
                          </w:r>
                          <w:r>
                            <w:rPr>
                              <w:lang w:eastAsia="lt-LT"/>
                            </w:rPr>
                            <w:t xml:space="preserve"> punkte, pagal šio Tvarkos aprašo 12, 19 punktus vykdantys atskiras vandens naudojimo apskaitą ar nuotekų tvarkymo apskaitą, praėjusių kalendorinių metų Vandens naudojimo apskaitos ir (ar) Nuotekų tvarkymo apskaitos metines ataskaitas (toliau – Ataskaitos) pateikia Aplinkos apsaugos agentūrai per informacinę sistemą „Aplinkos informacijos valdymo integruota kompiuterinė sistema“ (IS AIVIKS) ne vėliau kaip iki einamųjų metų vasario 15 d.“</w:t>
                          </w:r>
                        </w:p>
                      </w:sdtContent>
                    </w:sdt>
                  </w:sdtContent>
                </w:sdt>
              </w:sdtContent>
            </w:sdt>
            <w:sdt>
              <w:sdtPr>
                <w:alias w:val="1.6 pp."/>
                <w:tag w:val="part_5625b42d7af14c07b30e8ad404c68001"/>
                <w:lock w:val="sdtLocked"/>
                <w:richText/>
              </w:sdtPr>
              <w:sdtContent>
                <w:p>
                  <w:pPr>
                    <w:suppressAutoHyphens/>
                    <w:spacing w:line="360" w:lineRule="auto"/>
                    <w:ind w:firstLine="567"/>
                    <w:jc w:val="both"/>
                    <w:rPr>
                      <w:szCs w:val="24"/>
                      <w:lang w:eastAsia="lt-LT"/>
                    </w:rPr>
                  </w:pPr>
                  <w:sdt>
                    <w:sdtPr>
                      <w:alias w:val="Numeris"/>
                      <w:tag w:val="nr_5625b42d7af14c07b30e8ad404c68001"/>
                      <w:lock w:val="sdtLocked"/>
                      <w:richText/>
                    </w:sdtPr>
                    <w:sdtContent>
                      <w:r>
                        <w:rPr>
                          <w:szCs w:val="24"/>
                          <w:lang w:eastAsia="lt-LT"/>
                        </w:rPr>
                        <w:t>1.6</w:t>
                      </w:r>
                    </w:sdtContent>
                  </w:sdt>
                  <w:r>
                    <w:rPr>
                      <w:szCs w:val="24"/>
                      <w:lang w:eastAsia="lt-LT"/>
                    </w:rPr>
                    <w:t>. Papildau 20</w:t>
                  </w:r>
                  <w:r>
                    <w:rPr>
                      <w:szCs w:val="24"/>
                      <w:vertAlign w:val="superscript"/>
                      <w:lang w:eastAsia="lt-LT"/>
                    </w:rPr>
                    <w:t>2</w:t>
                  </w:r>
                  <w:r>
                    <w:rPr>
                      <w:szCs w:val="24"/>
                      <w:lang w:eastAsia="lt-LT"/>
                    </w:rPr>
                    <w:t xml:space="preserve"> punktu:</w:t>
                  </w:r>
                </w:p>
                <w:sdt>
                  <w:sdtPr>
                    <w:alias w:val="citata"/>
                    <w:tag w:val="part_3785e984280642f195bb8db7ef3f5b55"/>
                    <w:lock w:val="sdtLocked"/>
                    <w:richText/>
                  </w:sdtPr>
                  <w:sdtContent>
                    <w:sdt>
                      <w:sdtPr>
                        <w:alias w:val="20-2 p."/>
                        <w:tag w:val="part_789f1ad6324f4f61b41fb1fb0c85a291"/>
                        <w:lock w:val="sdtLocked"/>
                        <w:richText/>
                      </w:sdtPr>
                      <w:sdtContent>
                        <w:p>
                          <w:pPr>
                            <w:suppressAutoHyphens/>
                            <w:spacing w:line="360" w:lineRule="auto"/>
                            <w:ind w:firstLine="567"/>
                            <w:jc w:val="both"/>
                            <w:rPr>
                              <w:lang w:eastAsia="lt-LT"/>
                            </w:rPr>
                          </w:pPr>
                          <w:r>
                            <w:rPr>
                              <w:lang w:eastAsia="lt-LT"/>
                            </w:rPr>
                            <w:t>„</w:t>
                          </w:r>
                          <w:sdt>
                            <w:sdtPr>
                              <w:alias w:val="Numeris"/>
                              <w:tag w:val="nr_789f1ad6324f4f61b41fb1fb0c85a291"/>
                              <w:lock w:val="sdtLocked"/>
                              <w:richText/>
                            </w:sdtPr>
                            <w:sdtContent>
                              <w:r>
                                <w:t>20</w:t>
                              </w:r>
                              <w:r>
                                <w:rPr>
                                  <w:vertAlign w:val="superscript"/>
                                </w:rPr>
                                <w:t>2</w:t>
                              </w:r>
                            </w:sdtContent>
                          </w:sdt>
                          <w:r>
                            <w:t xml:space="preserve">. Ūkio subjektai, </w:t>
                          </w:r>
                          <w:r>
                            <w:rPr>
                              <w:color w:val="000000"/>
                            </w:rPr>
                            <w:t>išgaunantys mažiau kaip 100 m</w:t>
                          </w:r>
                          <w:r>
                            <w:rPr>
                              <w:color w:val="000000"/>
                              <w:vertAlign w:val="superscript"/>
                            </w:rPr>
                            <w:t>3</w:t>
                          </w:r>
                          <w:r>
                            <w:rPr>
                              <w:color w:val="000000"/>
                            </w:rPr>
                            <w:t xml:space="preserve"> per parą vandens iš vieno paviršinio vandens telkinio, taip pat praleidžiantys paviršinį vandenį per hidrotechninius statinius ir naudojantys vandenį hidroenergijai išgauti hidroelektrinėse, privalo tvarkyti išgaunamo ar praleidžiamo per hidrotechninius statinius vandens apskaitą pagal Vandens įstatymo 25 straipsnio 2 dalies 4 punktą. Sunaudojamo vandens kiekio (</w:t>
                          </w:r>
                          <w:r>
                            <w:t>m</w:t>
                          </w:r>
                          <w:r>
                            <w:rPr>
                              <w:vertAlign w:val="superscript"/>
                            </w:rPr>
                            <w:t>3</w:t>
                          </w:r>
                          <w:r>
                            <w:t xml:space="preserve"> </w:t>
                          </w:r>
                          <w:r>
                            <w:rPr>
                              <w:color w:val="000000"/>
                            </w:rPr>
                            <w:t xml:space="preserve">per parą) duomenis (pildo laisvos formos žurnalą ar fiksuoja informacinių technologijų priemonėmis) </w:t>
                          </w:r>
                          <w:r>
                            <w:t>privalo</w:t>
                          </w:r>
                          <w:r>
                            <w:rPr>
                              <w:color w:val="FF0000"/>
                            </w:rPr>
                            <w:t xml:space="preserve"> </w:t>
                          </w:r>
                          <w:r>
                            <w:rPr>
                              <w:color w:val="000000"/>
                            </w:rPr>
                            <w:t>saugoti iki kalendorinių metų pabaigos ir pareikalavus pateikti aplinkos apsaugos valstybinės kontrolės pareigūnams. Šiame punkte nurodyti ūkio subjektai neteikia Vandens naudojimo apskaitos metinės ataskaitos.“</w:t>
                          </w:r>
                        </w:p>
                      </w:sdtContent>
                    </w:sdt>
                  </w:sdtContent>
                </w:sdt>
              </w:sdtContent>
            </w:sdt>
            <w:sdt>
              <w:sdtPr>
                <w:alias w:val="1.7 pp."/>
                <w:tag w:val="part_0d26b42de340403d986c336dae289021"/>
                <w:lock w:val="sdtLocked"/>
                <w:richText/>
              </w:sdtPr>
              <w:sdtContent>
                <w:p>
                  <w:pPr>
                    <w:tabs>
                      <w:tab w:val="left" w:pos="0"/>
                    </w:tabs>
                    <w:spacing w:line="360" w:lineRule="auto"/>
                    <w:ind w:firstLine="567"/>
                    <w:jc w:val="both"/>
                    <w:rPr>
                      <w:color w:val="000000"/>
                    </w:rPr>
                  </w:pPr>
                  <w:sdt>
                    <w:sdtPr>
                      <w:alias w:val="Numeris"/>
                      <w:tag w:val="nr_0d26b42de340403d986c336dae289021"/>
                      <w:lock w:val="sdtLocked"/>
                      <w:richText/>
                    </w:sdtPr>
                    <w:sdtContent>
                      <w:r>
                        <w:rPr>
                          <w:szCs w:val="24"/>
                          <w:lang w:eastAsia="lt-LT"/>
                        </w:rPr>
                        <w:t>1.7</w:t>
                      </w:r>
                    </w:sdtContent>
                  </w:sdt>
                  <w:r>
                    <w:rPr>
                      <w:szCs w:val="24"/>
                      <w:lang w:eastAsia="lt-LT"/>
                    </w:rPr>
                    <w:t xml:space="preserve">. Papildau </w:t>
                  </w:r>
                  <w:r>
                    <w:rPr>
                      <w:color w:val="000000"/>
                    </w:rPr>
                    <w:t>8 priedu (pridedama).</w:t>
                  </w:r>
                </w:p>
              </w:sdtContent>
            </w:sdt>
          </w:sdtContent>
        </w:sdt>
        <w:sdt>
          <w:sdtPr>
            <w:alias w:val="2 p."/>
            <w:tag w:val="part_84916e22dc5144ab8f2269be8a3c2714"/>
            <w:lock w:val="sdtLocked"/>
            <w:richText/>
          </w:sdtPr>
          <w:sdtContent>
            <w:p>
              <w:pPr>
                <w:spacing w:line="360" w:lineRule="auto"/>
                <w:ind w:firstLine="567"/>
                <w:jc w:val="both"/>
                <w:rPr>
                  <w:color w:val="000000"/>
                </w:rPr>
              </w:pPr>
              <w:sdt>
                <w:sdtPr>
                  <w:alias w:val="Numeris"/>
                  <w:tag w:val="nr_84916e22dc5144ab8f2269be8a3c2714"/>
                  <w:lock w:val="sdtLocked"/>
                  <w:richText/>
                </w:sdtPr>
                <w:sdtContent>
                  <w:r>
                    <w:rPr>
                      <w:color w:val="000000"/>
                    </w:rPr>
                    <w:t>2</w:t>
                  </w:r>
                </w:sdtContent>
              </w:sdt>
              <w:r>
                <w:rPr>
                  <w:color w:val="000000"/>
                </w:rPr>
                <w:t>. N u s t a t a u, kad šis įsakymas įsigalioja 2024 m. sausio 1 d.</w:t>
              </w:r>
            </w:p>
            <w:p>
              <w:pPr>
                <w:suppressAutoHyphens/>
                <w:jc w:val="both"/>
              </w:pPr>
            </w:p>
            <w:p>
              <w:pPr>
                <w:suppressAutoHyphens/>
                <w:jc w:val="both"/>
              </w:pPr>
            </w:p>
            <w:p>
              <w:pPr>
                <w:suppressAutoHyphens/>
                <w:jc w:val="both"/>
              </w:pPr>
            </w:p>
          </w:sdtContent>
        </w:sdt>
        <w:sdt>
          <w:sdtPr>
            <w:alias w:val="signatura"/>
            <w:tag w:val="part_43e2c58cde934458a09241a7d64f41de"/>
            <w:lock w:val="sdtLocked"/>
            <w:richText/>
          </w:sdtPr>
          <w:sdtContent>
            <w:p>
              <w:pPr>
                <w:suppressAutoHyphens/>
                <w:jc w:val="both"/>
                <w:rPr>
                  <w:lang w:eastAsia="lt-LT"/>
                </w:rPr>
              </w:pPr>
              <w:r>
                <w:rPr>
                  <w:lang w:eastAsia="lt-LT"/>
                </w:rPr>
                <w:t xml:space="preserve">Aplinkos ministras </w:t>
                <w:tab/>
                <w:tab/>
              </w:r>
            </w:p>
            <w:p>
              <w:pPr>
                <w:suppressAutoHyphens/>
                <w:jc w:val="both"/>
                <w:rPr>
                  <w:lang w:eastAsia="lt-LT"/>
                </w:rPr>
              </w:pPr>
            </w:p>
            <w:p>
              <w:pPr>
                <w:suppressAutoHyphens/>
                <w:jc w:val="both"/>
                <w:rPr>
                  <w:lang w:eastAsia="lt-LT"/>
                </w:rPr>
              </w:pPr>
            </w:p>
            <w:p>
              <w:pPr>
                <w:suppressAutoHyphens/>
                <w:jc w:val="both"/>
                <w:rPr>
                  <w:lang w:eastAsia="lt-LT"/>
                </w:rPr>
              </w:pPr>
            </w:p>
            <w:p>
              <w:pPr>
                <w:suppressAutoHyphens/>
                <w:jc w:val="both"/>
                <w:rPr>
                  <w:lang w:eastAsia="lt-LT"/>
                </w:rPr>
              </w:pPr>
            </w:p>
            <w:p>
              <w:pPr>
                <w:suppressAutoHyphens/>
                <w:jc w:val="both"/>
                <w:rPr>
                  <w:lang w:eastAsia="lt-LT"/>
                </w:rPr>
              </w:pPr>
            </w:p>
            <w:p>
              <w:pPr>
                <w:suppressAutoHyphens/>
                <w:jc w:val="both"/>
                <w:rPr>
                  <w:lang w:eastAsia="lt-LT"/>
                </w:rPr>
              </w:pPr>
            </w:p>
            <w:p>
              <w:pPr>
                <w:suppressAutoHyphens/>
                <w:jc w:val="both"/>
                <w:rPr>
                  <w:lang w:eastAsia="lt-LT"/>
                </w:rPr>
              </w:pPr>
            </w:p>
            <w:p>
              <w:pPr>
                <w:suppressAutoHyphens/>
                <w:jc w:val="both"/>
                <w:rPr>
                  <w:lang w:eastAsia="lt-LT"/>
                </w:rPr>
              </w:pPr>
            </w:p>
            <w:p>
              <w:pPr>
                <w:suppressAutoHyphens/>
                <w:jc w:val="both"/>
                <w:rPr>
                  <w:lang w:eastAsia="lt-LT"/>
                </w:rPr>
              </w:pPr>
            </w:p>
            <w:p>
              <w:pPr>
                <w:suppressAutoHyphens/>
                <w:jc w:val="both"/>
                <w:rPr>
                  <w:lang w:eastAsia="lt-LT"/>
                </w:rPr>
              </w:pPr>
            </w:p>
            <w:p>
              <w:pPr>
                <w:rPr>
                  <w:lang w:eastAsia="lt-LT"/>
                </w:rPr>
              </w:pPr>
            </w:p>
            <w:p>
              <w:pPr>
                <w:rPr>
                  <w:lang w:eastAsia="lt-LT"/>
                </w:rPr>
              </w:pPr>
            </w:p>
            <w:p>
              <w:pPr>
                <w:rPr>
                  <w:lang w:eastAsia="lt-LT"/>
                </w:rPr>
              </w:pPr>
            </w:p>
            <w:p>
              <w:pPr>
                <w:rPr>
                  <w:lang w:eastAsia="lt-LT"/>
                </w:rPr>
              </w:pPr>
            </w:p>
            <w:p>
              <w:pPr>
                <w:rPr>
                  <w:lang w:eastAsia="lt-LT"/>
                </w:rPr>
              </w:pPr>
            </w:p>
            <w:p>
              <w:pPr>
                <w:rPr>
                  <w:lang w:eastAsia="lt-LT"/>
                </w:rPr>
              </w:pPr>
            </w:p>
          </w:sdtContent>
        </w:sdt>
      </w:sdtContent>
    </w:sdt>
    <w:sdt>
      <w:sdtPr>
        <w:alias w:val="8 pr."/>
        <w:tag w:val="part_88f948de252e4ace9a9cb77a1ca77d98"/>
        <w:lock w:val="sdtLocked"/>
        <w:richText/>
      </w:sdtPr>
      <w:sdtContent>
        <w:p>
          <w:pPr>
            <w:ind w:left="6096"/>
            <w:rPr>
              <w:color w:val="000000"/>
              <w:szCs w:val="24"/>
              <w:lang w:eastAsia="lt-LT"/>
            </w:rPr>
          </w:pPr>
          <w:r>
            <w:rPr>
              <w:color w:val="000000"/>
              <w:szCs w:val="24"/>
              <w:lang w:val="en-US"/>
            </w:rPr>
            <mc:AlternateContent>
              <mc:Choice Requires="wps">
                <w:drawing>
                  <wp:anchor distT="0" distB="0" distL="114300" distR="114300" simplePos="0" relativeHeight="251657216" behindDoc="0" locked="0" layoutInCell="1" allowOverlap="1" wp14:anchorId="65840A75" wp14:editId="159205B2">
                    <wp:simplePos x="0" y="0"/>
                    <wp:positionH relativeFrom="column">
                      <wp:posOffset>2988945</wp:posOffset>
                    </wp:positionH>
                    <wp:positionV relativeFrom="paragraph">
                      <wp:posOffset>-452120</wp:posOffset>
                    </wp:positionV>
                    <wp:extent cx="137160" cy="182880"/>
                    <wp:effectExtent l="0" t="0" r="15240" b="26670"/>
                    <wp:wrapNone/>
                    <wp:docPr id="924050298" name="Rectangle 924050298"/>
                    <wp:cNvGraphicFramePr/>
                    <a:graphic xmlns:a="http://schemas.openxmlformats.org/drawingml/2006/main">
                      <a:graphicData uri="http://schemas.microsoft.com/office/word/2010/wordprocessingShape">
                        <wps:wsp>
                          <wps:cNvSpPr/>
                          <wps:spPr>
                            <a:xfrm>
                              <a:off x="0" y="0"/>
                              <a:ext cx="137160" cy="18288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0DD9DA0" id="Rectangle 924050298" o:spid="_x0000_s1026" style="position:absolute;margin-left:235.35pt;margin-top:-35.6pt;width:10.8pt;height:14.4pt;z-index:251657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Xm2pmgIAALsFAAAOAAAAZHJzL2Uyb0RvYy54bWysVEtv2zAMvg/YfxB0X/1Y2iZBnCJo0WFA 0QZth54VWYoNyKImKXGyXz9KfqTrih2K5aCIJvmR/ERycXVoFNkL62rQBc3OUkqE5lDWelvQH8+3 X6aUOM90yRRoUdCjcPRq+fnTojVzkUMFqhSWIIh289YUtPLezJPE8Uo0zJ2BERqVEmzDPIp2m5SW tYjeqCRP04ukBVsaC1w4h19vOiVdRnwpBfcPUjrhiSoo5ubjaeO5CWeyXLD51jJT1bxPg30gi4bV GoOOUDfMM7Kz9V9QTc0tOJD+jEOTgJQ1F7EGrCZL31TzVDEjYi1IjjMjTe7/wfL7/dqSuizoLJ+k 52k+wwfTrMGnekTymN4qQU4qpKs1bo5eT2Zte8nhNdR+kLYJ/1gVOUSKjyPF4uAJx4/Z18vsAh+C oyqb5tNpfILk5Gys898ENCRcCmoxiUgs2985jwHRdDAJsRyourytlYpC6BpxrSzZM3zvzTYL74se f1gp/SFHhAmeSai/qzje/FGJgKf0o5BIJNaYx4RjC5+SYZwL7bNOVbFSdDmep/gbshzSjzlHwIAs sboRuwcYLDuQAbsrtrcPriJOwOic/iuxznn0iJFB+9G5qTXY9wAUVtVH7uwHkjpqAksbKI/YZha6 +XOG39b4vHfM+TWzOHDYEbhE/AMeUkFbUOhvlFRgf733PdjjHKCWkhYHuKDu545ZQYn6rnFCZtlk EiY+CpPzyxwF+1qzea3Ru+YasGcyXFeGx2uw92q4SgvNC+6aVYiKKqY5xi4o93YQrn23WHBbcbFa RTOccsP8nX4yPIAHVkP7Ph9emDV9j3scjnsYhp3N37R6Zxs8Nax2HmQd5+DEa883bojYOP02Cyvo tRytTjt3+RsAAP//AwBQSwMEFAAGAAgAAAAhAJfMHFfgAAAACwEAAA8AAABkcnMvZG93bnJldi54 bWxMj8FOwzAMhu9IvENkJC5oS1sKXUvTCSFxBW1w4ZY1XlPROFWTdYWnx5zgaPvT7++vt4sbxIxT 6D0pSNcJCKTWm546Be9vz6sNiBA1GT14QgVfGGDbXF7UujL+TDuc97ETHEKh0gpsjGMlZWgtOh3W fkTi29FPTkcep06aSZ853A0yS5J76XRP/MHqEZ8stp/7k1NQfrevcePHOxv7j7Jz6ctxmm+Uur5a Hh9ARFziHwy/+qwODTsd/IlMEIOCvEgKRhWsijQDwUReZrcgDrzJsxxkU8v/HZofAAAA//8DAFBL AQItABQABgAIAAAAIQC2gziS/gAAAOEBAAATAAAAAAAAAAAAAAAAAAAAAABbQ29udGVudF9UeXBl c10ueG1sUEsBAi0AFAAGAAgAAAAhADj9If/WAAAAlAEAAAsAAAAAAAAAAAAAAAAALwEAAF9yZWxz Ly5yZWxzUEsBAi0AFAAGAAgAAAAhAGdebamaAgAAuwUAAA4AAAAAAAAAAAAAAAAALgIAAGRycy9l Mm9Eb2MueG1sUEsBAi0AFAAGAAgAAAAhAJfMHFfgAAAACwEAAA8AAAAAAAAAAAAAAAAA9AQAAGRy cy9kb3ducmV2LnhtbFBLBQYAAAAABAAEAPMAAAABBgAAAAA= " fillcolor="white [3212]" strokecolor="white [3212]" strokeweight="2pt"/>
                </w:pict>
              </mc:Fallback>
            </mc:AlternateContent>
          </w:r>
          <w:r>
            <w:rPr>
              <w:color w:val="000000"/>
              <w:szCs w:val="24"/>
              <w:lang w:eastAsia="lt-LT"/>
            </w:rPr>
            <w:t>Vandens naudojimo ir nuotekų</w:t>
          </w:r>
        </w:p>
        <w:p>
          <w:pPr>
            <w:ind w:left="6096"/>
            <w:rPr>
              <w:color w:val="000000"/>
              <w:szCs w:val="24"/>
              <w:lang w:eastAsia="lt-LT"/>
            </w:rPr>
          </w:pPr>
          <w:r>
            <w:rPr>
              <w:color w:val="000000"/>
              <w:szCs w:val="24"/>
              <w:lang w:eastAsia="lt-LT"/>
            </w:rPr>
            <w:t>tvarkymo apskaitos tvarkos aprašo</w:t>
          </w:r>
        </w:p>
        <w:p>
          <w:pPr>
            <w:ind w:left="6096"/>
            <w:rPr>
              <w:color w:val="000000"/>
              <w:szCs w:val="24"/>
              <w:lang w:eastAsia="lt-LT"/>
            </w:rPr>
          </w:pPr>
          <w:sdt>
            <w:sdtPr>
              <w:alias w:val="Numeris"/>
              <w:tag w:val="nr_88f948de252e4ace9a9cb77a1ca77d98"/>
              <w:lock w:val="sdtLocked"/>
              <w:richText/>
            </w:sdtPr>
            <w:sdtContent>
              <w:r>
                <w:rPr>
                  <w:color w:val="000000"/>
                  <w:szCs w:val="24"/>
                  <w:lang w:eastAsia="lt-LT"/>
                </w:rPr>
                <w:t>8</w:t>
              </w:r>
            </w:sdtContent>
          </w:sdt>
          <w:r>
            <w:rPr>
              <w:color w:val="000000"/>
              <w:szCs w:val="24"/>
              <w:lang w:eastAsia="lt-LT"/>
            </w:rPr>
            <w:t> priedas</w:t>
          </w:r>
        </w:p>
        <w:p>
          <w:pPr>
            <w:widowControl w:val="0"/>
            <w:tabs>
              <w:tab w:val="left" w:pos="1304"/>
              <w:tab w:val="left" w:pos="1457"/>
              <w:tab w:val="left" w:pos="1604"/>
              <w:tab w:val="left" w:pos="1757"/>
            </w:tabs>
            <w:spacing w:line="360" w:lineRule="auto"/>
            <w:jc w:val="center"/>
            <w:rPr>
              <w:lang w:eastAsia="zh-CN"/>
            </w:rPr>
          </w:pPr>
        </w:p>
        <w:p>
          <w:pPr>
            <w:widowControl w:val="0"/>
            <w:tabs>
              <w:tab w:val="left" w:pos="1304"/>
              <w:tab w:val="left" w:pos="1457"/>
              <w:tab w:val="left" w:pos="1604"/>
              <w:tab w:val="left" w:pos="1757"/>
            </w:tabs>
            <w:jc w:val="center"/>
            <w:rPr>
              <w:b/>
              <w:sz w:val="32"/>
              <w:szCs w:val="24"/>
              <w:lang w:eastAsia="zh-CN"/>
            </w:rPr>
          </w:pPr>
          <w:sdt>
            <w:sdtPr>
              <w:alias w:val="Pavadinimas"/>
              <w:tag w:val="title_88f948de252e4ace9a9cb77a1ca77d98"/>
              <w:lock w:val="sdtLocked"/>
              <w:richText/>
            </w:sdtPr>
            <w:sdtContent>
              <w:r>
                <w:rPr>
                  <w:b/>
                  <w:lang w:eastAsia="zh-CN"/>
                </w:rPr>
                <w:t xml:space="preserve">VANDENS,  PRALEIDŽIAMO PER HIDROTECHNINIUS STATINIUS IR NAUDOJAMO HIDROENERGIJAI IŠGAUTI HIDROELEKTRINĖSE,</w:t>
              </w:r>
              <w:r>
                <w:rPr>
                  <w:b/>
                  <w:sz w:val="32"/>
                  <w:szCs w:val="24"/>
                  <w:lang w:eastAsia="zh-CN"/>
                </w:rPr>
                <w:t xml:space="preserve"> </w:t>
              </w:r>
              <w:r>
                <w:rPr>
                  <w:b/>
                  <w:lang w:eastAsia="zh-CN"/>
                </w:rPr>
                <w:t>KIEKIO SKAIČIAVIMO METODIKA</w:t>
              </w:r>
            </w:sdtContent>
          </w:sdt>
        </w:p>
        <w:p>
          <w:pPr>
            <w:widowControl w:val="0"/>
            <w:tabs>
              <w:tab w:val="left" w:pos="1304"/>
              <w:tab w:val="left" w:pos="1457"/>
              <w:tab w:val="left" w:pos="1604"/>
              <w:tab w:val="left" w:pos="1757"/>
            </w:tabs>
            <w:spacing w:line="360" w:lineRule="auto"/>
            <w:ind w:left="4535"/>
          </w:pPr>
        </w:p>
        <w:sdt>
          <w:sdtPr>
            <w:alias w:val="8 pr. 1 p."/>
            <w:tag w:val="part_0fdb5a275a5e4d439798cc0628623b80"/>
            <w:lock w:val="sdtLocked"/>
            <w:richText/>
          </w:sdtPr>
          <w:sdtContent>
            <w:p>
              <w:pPr>
                <w:widowControl w:val="0"/>
                <w:tabs>
                  <w:tab w:val="left" w:pos="851"/>
                  <w:tab w:val="left" w:pos="1304"/>
                  <w:tab w:val="left" w:pos="1457"/>
                  <w:tab w:val="left" w:pos="1604"/>
                  <w:tab w:val="left" w:pos="1757"/>
                </w:tabs>
                <w:spacing w:line="360" w:lineRule="auto"/>
                <w:ind w:firstLine="567"/>
                <w:jc w:val="both"/>
              </w:pPr>
              <w:sdt>
                <w:sdtPr>
                  <w:alias w:val="Numeris"/>
                  <w:tag w:val="nr_0fdb5a275a5e4d439798cc0628623b80"/>
                  <w:lock w:val="sdtLocked"/>
                  <w:richText/>
                </w:sdtPr>
                <w:sdtContent>
                  <w:r>
                    <w:t>1</w:t>
                  </w:r>
                </w:sdtContent>
              </w:sdt>
              <w:r>
                <w:t>.</w:t>
                <w:tab/>
                <w:t>Debitas elektros gamybai hidroelektrinėse, kurių galia yra 10 MW ir didesnė, apskaičiuojamas pagal formulę:</w:t>
              </w:r>
            </w:p>
            <w:p>
              <w:pPr>
                <w:widowControl w:val="0"/>
                <w:tabs>
                  <w:tab w:val="left" w:pos="1304"/>
                  <w:tab w:val="left" w:pos="1457"/>
                  <w:tab w:val="left" w:pos="1604"/>
                  <w:tab w:val="left" w:pos="1757"/>
                </w:tabs>
                <w:spacing w:line="360" w:lineRule="auto"/>
                <w:ind w:hanging="142"/>
                <w:jc w:val="center"/>
              </w:pPr>
              <w:r>
                <w:rPr>
                  <w:lang w:val="en-US"/>
                </w:rPr>
                <w:drawing>
                  <wp:inline distT="0" distB="0" distL="0" distR="0" wp14:anchorId="1DF13351" wp14:editId="494A6000">
                    <wp:extent cx="1981372" cy="807790"/>
                    <wp:effectExtent l="0" t="0" r="0" b="0"/>
                    <wp:docPr id="446763655" name="Picture 446763655" descr="Paveikslėlis, kuriame yra tekstas, Šriftas, baltas, rankrašt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6763655" name="Paveikslėlis 1" descr="Paveikslėlis, kuriame yra tekstas, Šriftas, baltas, rankraštis  Automatiškai sugeneruotas aprašymas"/>
                            <pic:cNvPicPr/>
                          </pic:nvPicPr>
                          <pic:blipFill>
                            <a:blip r:embed="rId10"/>
                            <a:stretch>
                              <a:fillRect/>
                            </a:stretch>
                          </pic:blipFill>
                          <pic:spPr>
                            <a:xfrm>
                              <a:off x="0" y="0"/>
                              <a:ext cx="1981372" cy="807790"/>
                            </a:xfrm>
                            <a:prstGeom prst="rect">
                              <a:avLst/>
                            </a:prstGeom>
                          </pic:spPr>
                        </pic:pic>
                      </a:graphicData>
                    </a:graphic>
                  </wp:inline>
                </w:drawing>
              </w:r>
            </w:p>
            <w:p>
              <w:pPr>
                <w:widowControl w:val="0"/>
                <w:tabs>
                  <w:tab w:val="left" w:pos="1304"/>
                  <w:tab w:val="left" w:pos="1457"/>
                  <w:tab w:val="left" w:pos="1604"/>
                  <w:tab w:val="left" w:pos="1757"/>
                </w:tabs>
                <w:spacing w:line="360" w:lineRule="auto"/>
                <w:ind w:firstLine="567"/>
                <w:jc w:val="both"/>
              </w:pPr>
              <w:r>
                <w:t>čia: Q</w:t>
              </w:r>
              <w:r>
                <w:rPr>
                  <w:vertAlign w:val="subscript"/>
                </w:rPr>
                <w:t>E</w:t>
              </w:r>
              <w:r>
                <w:t xml:space="preserve"> – debitas elektros gamybai; </w:t>
              </w:r>
            </w:p>
            <w:p>
              <w:pPr>
                <w:widowControl w:val="0"/>
                <w:tabs>
                  <w:tab w:val="left" w:pos="1304"/>
                  <w:tab w:val="left" w:pos="1457"/>
                  <w:tab w:val="left" w:pos="1604"/>
                  <w:tab w:val="left" w:pos="1757"/>
                </w:tabs>
                <w:spacing w:line="360" w:lineRule="auto"/>
                <w:ind w:firstLine="567"/>
                <w:jc w:val="both"/>
              </w:pPr>
              <w:r>
                <w:t xml:space="preserve">P – HE galia, nustatoma pagal formulę (naudojamas faktinis pagamintos energijos kiekis pagal skaitiklio rodmenis); </w:t>
              </w:r>
            </w:p>
            <w:p>
              <w:pPr>
                <w:widowControl w:val="0"/>
                <w:tabs>
                  <w:tab w:val="left" w:pos="1304"/>
                  <w:tab w:val="left" w:pos="1457"/>
                  <w:tab w:val="left" w:pos="1604"/>
                  <w:tab w:val="left" w:pos="1757"/>
                </w:tabs>
                <w:spacing w:line="360" w:lineRule="auto"/>
                <w:ind w:firstLine="567"/>
                <w:jc w:val="both"/>
              </w:pPr>
              <w:r>
                <w:t xml:space="preserve">H – HE patvanka. Nuostoliai ant grotelių nustatomi slėgio skirtumo matuokliu veikiant agregatams pastoviu apkrovimu; </w:t>
              </w:r>
            </w:p>
            <w:p>
              <w:pPr>
                <w:widowControl w:val="0"/>
                <w:tabs>
                  <w:tab w:val="left" w:pos="1304"/>
                  <w:tab w:val="left" w:pos="1457"/>
                  <w:tab w:val="left" w:pos="1604"/>
                  <w:tab w:val="left" w:pos="1757"/>
                </w:tabs>
                <w:spacing w:line="360" w:lineRule="auto"/>
                <w:ind w:firstLine="567"/>
                <w:jc w:val="both"/>
              </w:pPr>
              <w:r>
                <w:rPr>
                  <w:sz w:val="36"/>
                  <w:szCs w:val="36"/>
                </w:rPr>
                <w:t>ᶯ</w:t>
              </w:r>
              <w:r>
                <w:t xml:space="preserve"> – įrenginio naudingo veikimo koeficientas.</w:t>
              </w:r>
            </w:p>
            <w:p>
              <w:pPr>
                <w:widowControl w:val="0"/>
                <w:tabs>
                  <w:tab w:val="left" w:pos="1304"/>
                  <w:tab w:val="left" w:pos="1457"/>
                  <w:tab w:val="left" w:pos="1604"/>
                  <w:tab w:val="left" w:pos="1757"/>
                </w:tabs>
                <w:spacing w:line="360" w:lineRule="auto"/>
                <w:ind w:firstLine="567"/>
                <w:jc w:val="both"/>
              </w:pPr>
            </w:p>
          </w:sdtContent>
        </w:sdt>
        <w:sdt>
          <w:sdtPr>
            <w:alias w:val="8 pr. 2 p."/>
            <w:tag w:val="part_5db454560df245b9b62a7f18cb2af00b"/>
            <w:lock w:val="sdtLocked"/>
            <w:richText/>
          </w:sdtPr>
          <w:sdtContent>
            <w:p>
              <w:pPr>
                <w:widowControl w:val="0"/>
                <w:tabs>
                  <w:tab w:val="left" w:pos="851"/>
                  <w:tab w:val="left" w:pos="1304"/>
                  <w:tab w:val="left" w:pos="1457"/>
                  <w:tab w:val="left" w:pos="1604"/>
                  <w:tab w:val="left" w:pos="1757"/>
                </w:tabs>
                <w:spacing w:line="360" w:lineRule="auto"/>
                <w:ind w:firstLine="567"/>
                <w:jc w:val="both"/>
              </w:pPr>
              <w:sdt>
                <w:sdtPr>
                  <w:alias w:val="Numeris"/>
                  <w:tag w:val="nr_5db454560df245b9b62a7f18cb2af00b"/>
                  <w:lock w:val="sdtLocked"/>
                  <w:richText/>
                </w:sdtPr>
                <w:sdtContent>
                  <w:r>
                    <w:t>2</w:t>
                  </w:r>
                </w:sdtContent>
              </w:sdt>
              <w:r>
                <w:t>.</w:t>
                <w:tab/>
                <w:t>Debitas elektros gamybai hidroelektrinėse, kurių galia mažesnė kaip 10 MW, apskaičiuojamas pagal formulę:</w:t>
              </w:r>
            </w:p>
            <w:p>
              <w:pPr>
                <w:spacing w:line="360" w:lineRule="auto"/>
                <w:jc w:val="center"/>
              </w:pPr>
              <w:r>
                <w:rPr>
                  <w:lang w:val="en-US"/>
                </w:rPr>
                <w:drawing>
                  <wp:inline distT="0" distB="0" distL="0" distR="0" wp14:anchorId="4551B4F8" wp14:editId="6A98672E">
                    <wp:extent cx="1829055" cy="790685"/>
                    <wp:effectExtent l="0" t="0" r="0" b="9525"/>
                    <wp:docPr id="1064843228" name="Picture 1064843228" descr="Paveikslėlis, kuriame yra tekstas, Šriftas, baltas, skaičiu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4843228" name="Paveikslėlis 1" descr="Paveikslėlis, kuriame yra tekstas, Šriftas, baltas, skaičius  Automatiškai sugeneruotas aprašymas"/>
                            <pic:cNvPicPr/>
                          </pic:nvPicPr>
                          <pic:blipFill>
                            <a:blip r:embed="rId11">
                              <a:extLst>
                                <a:ext uri="{28A0092B-C50C-407E-A947-70E740481C1C}">
                                  <a14:useLocalDpi xmlns:a14="http://schemas.microsoft.com/office/drawing/2010/main" val="0"/>
                                </a:ext>
                              </a:extLst>
                            </a:blip>
                            <a:stretch>
                              <a:fillRect/>
                            </a:stretch>
                          </pic:blipFill>
                          <pic:spPr>
                            <a:xfrm>
                              <a:off x="0" y="0"/>
                              <a:ext cx="1829055" cy="790685"/>
                            </a:xfrm>
                            <a:prstGeom prst="rect">
                              <a:avLst/>
                            </a:prstGeom>
                          </pic:spPr>
                        </pic:pic>
                      </a:graphicData>
                    </a:graphic>
                  </wp:inline>
                </w:drawing>
              </w:r>
            </w:p>
            <w:p>
              <w:pPr>
                <w:widowControl w:val="0"/>
                <w:tabs>
                  <w:tab w:val="left" w:pos="1304"/>
                  <w:tab w:val="left" w:pos="1457"/>
                  <w:tab w:val="left" w:pos="1604"/>
                  <w:tab w:val="left" w:pos="1757"/>
                </w:tabs>
                <w:spacing w:line="360" w:lineRule="auto"/>
                <w:ind w:firstLine="567"/>
                <w:jc w:val="both"/>
              </w:pPr>
              <w:r>
                <w:t>čia: Q</w:t>
              </w:r>
              <w:r>
                <w:rPr>
                  <w:vertAlign w:val="subscript"/>
                </w:rPr>
                <w:t>E</w:t>
              </w:r>
              <w:r>
                <w:t xml:space="preserve"> – debitas elektros gamybai; </w:t>
              </w:r>
            </w:p>
            <w:p>
              <w:pPr>
                <w:widowControl w:val="0"/>
                <w:tabs>
                  <w:tab w:val="left" w:pos="1304"/>
                  <w:tab w:val="left" w:pos="1457"/>
                  <w:tab w:val="left" w:pos="1604"/>
                  <w:tab w:val="left" w:pos="1757"/>
                </w:tabs>
                <w:spacing w:line="360" w:lineRule="auto"/>
                <w:ind w:firstLine="567"/>
                <w:jc w:val="both"/>
              </w:pPr>
              <w:r>
                <w:t xml:space="preserve">P – HE galia, nustatoma pagal formulę (naudojamas faktinis pagamintos energijos kiekis pagal skaitiklio rodmenis); </w:t>
              </w:r>
            </w:p>
            <w:p>
              <w:pPr>
                <w:widowControl w:val="0"/>
                <w:tabs>
                  <w:tab w:val="left" w:pos="1304"/>
                  <w:tab w:val="left" w:pos="1457"/>
                  <w:tab w:val="left" w:pos="1604"/>
                  <w:tab w:val="left" w:pos="1757"/>
                </w:tabs>
                <w:spacing w:line="360" w:lineRule="auto"/>
                <w:ind w:firstLine="567"/>
                <w:jc w:val="both"/>
              </w:pPr>
              <w:r>
                <w:t xml:space="preserve">H – HE patvanka. </w:t>
              </w:r>
            </w:p>
          </w:sdtContent>
        </w:sdt>
        <w:sdt>
          <w:sdtPr>
            <w:alias w:val="pabaiga"/>
            <w:tag w:val="part_24e960f935464ba38b1b8c77d1bdc237"/>
            <w:lock w:val="sdtLocked"/>
            <w:richText/>
          </w:sdtPr>
          <w:sdtContent>
            <w:p>
              <w:pPr>
                <w:widowControl w:val="0"/>
                <w:tabs>
                  <w:tab w:val="left" w:pos="1304"/>
                  <w:tab w:val="left" w:pos="1457"/>
                  <w:tab w:val="left" w:pos="1604"/>
                  <w:tab w:val="left" w:pos="1757"/>
                </w:tabs>
                <w:spacing w:line="360" w:lineRule="auto"/>
                <w:jc w:val="center"/>
              </w:pPr>
              <w:r>
                <w:t>_________________</w:t>
              </w:r>
            </w:p>
            <w:p>
              <w:pPr>
                <w:rPr>
                  <w:lang w:eastAsia="lt-LT"/>
                </w:rPr>
              </w:pPr>
            </w:p>
          </w:sdtContent>
        </w:sdt>
      </w:sdtContent>
    </w:sdt>
    <w:sectPr>
      <w:headerReference w:type="even" r:id="rId12"/>
      <w:headerReference w:type="default" r:id="rId13"/>
      <w:footerReference w:type="even" r:id="rId14"/>
      <w:footerReference w:type="default" r:id="rId15"/>
      <w:headerReference w:type="first" r:id="rId16"/>
      <w:footerReference w:type="first" r:id="rId17"/>
      <w:footnotePr>
        <w:pos w:val="beneathText"/>
      </w:footnotePr>
      <w:type w:val="continuous"/>
      <w:pgSz w:w="11905" w:h="16837" w:code="9"/>
      <w:pgMar w:top="1134" w:right="567" w:bottom="1134" w:left="1701" w:header="567" w:footer="567"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10022FF" w:usb1="C000E47F" w:usb2="00000029" w:usb3="00000000" w:csb0="000001D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A00002EF" w:usb1="4000004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PAGE   \* MERGEFORMAT</w:instrText>
    </w:r>
    <w:r>
      <w:rPr>
        <w:rFonts w:ascii="Tahoma" w:hAnsi="Tahoma"/>
        <w:spacing w:val="10"/>
        <w:sz w:val="20"/>
        <w:lang w:eastAsia="lt-LT"/>
      </w:rPr>
      <w:fldChar w:fldCharType="separate"/>
    </w:r>
    <w:r>
      <w:rPr>
        <w:rFonts w:ascii="Tahoma" w:hAnsi="Tahoma"/>
        <w:spacing w:val="10"/>
        <w:sz w:val="20"/>
        <w:lang w:eastAsia="lt-LT"/>
      </w:rPr>
      <w:t>3</w:t>
    </w:r>
    <w:r>
      <w:rPr>
        <w:rFonts w:ascii="Tahoma" w:hAnsi="Tahoma"/>
        <w:spacing w:val="10"/>
        <w:sz w:val="20"/>
        <w:lang w:eastAsia="lt-LT"/>
      </w:rPr>
      <w:fldChar w:fldCharType="end"/>
    </w:r>
  </w:p>
  <w:p>
    <w:pPr>
      <w:tabs>
        <w:tab w:val="left" w:pos="3344"/>
        <w:tab w:val="left" w:pos="8291"/>
      </w:tabs>
      <w:suppressAutoHyphens/>
      <w:spacing w:before="120" w:after="60"/>
      <w:ind w:left="-17" w:firstLine="17"/>
      <w:jc w:val="center"/>
      <w:rPr>
        <w:b/>
        <w:bCs/>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pos w:val="beneathTex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1C6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51776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image" Target="media/image2.png"/>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1c3940de04e14822bf949e51bb879635" PartId="7365fb3088ca4be394e3765624e0914c">
    <Part Type="punktas" Nr="1" Abbr="1 p." DocPartId="2fb40ec3db5546288556150bda684478" PartId="77c98eadef0a4cc3b37f25ff4d13b4ca">
      <Part Type="papunktis" Nr="1.1" Abbr="1.1 pp." DocPartId="c38779cc7b2647159c8bed4c731a874d" PartId="44a02345c707437f814ab2f4f474a8a6"/>
      <Part Type="papunktis" Nr="1.2" Abbr="1.2 pp." DocPartId="3e1c62780e364240895b1a4293697077" PartId="5ac47722194f4fee82a014b2c1415676">
        <Part Type="citata" DocPartId="2c55d3f2ca4d4d0198557bb21a25d897" PartId="a0db0a9c6ff34a1db7ac6712eb88b790">
          <Part Type="punktas" Nr="5" Abbr="5 p." DocPartId="9851406f5aff4d2d95e3a51a7441367a" PartId="a9916ef1bc6a42a29583274eb86df38b"/>
        </Part>
      </Part>
      <Part Type="papunktis" Nr="1.3" Abbr="1.3 pp." DocPartId="e46b66612b5f410eba1f9e05795ef906" PartId="0e7d4544a8f3471b8f49f6c19e4419e5">
        <Part Type="citata" DocPartId="fc8fa3750b90482d9b16a78135e0a17c" PartId="069d5c0e0e8a4871ba23107f1ce69b61">
          <Part Type="punktas" Nr="6" Abbr="6 p." DocPartId="707d4b6c11d04a309ae3ed4722138ab6" PartId="eef85354f27944b0b8b0b4f690e51c38"/>
        </Part>
      </Part>
      <Part Type="papunktis" Nr="1.4" Abbr="1.4 pp." DocPartId="5350dc92f0bc4f3585a194ad04baa57e" PartId="38a2d40dba5745a0aeb5c498a37e3857">
        <Part Type="citata" DocPartId="7a5df813248f45148057495a007ae28b" PartId="ab8b4775deeb4fb9a3be22471462380c">
          <Part Type="punktas" Nr="7" Abbr="7 p." DocPartId="0d609c9ca3fa444f91d678947978bf1d" PartId="6f168a2bae3542bba68a3a0c86c50530">
            <Part Type="papunktis" Nr="7.1" Abbr="7.1 pp." DocPartId="7dee546e2ef44da4b2f1f75d57c1920c" PartId="d8f9866ea6a040f7aad18c0e9cff4a03"/>
            <Part Type="papunktis" Nr="7.2" Abbr="7.2 pp." DocPartId="985b8cf2dc4c4c7a8daf922c986b699b" PartId="5976ecb27fa24b5d9e5dabff9bec38ba"/>
            <Part Type="papunktis" Nr="7.3" Abbr="7.3 pp." DocPartId="f8e4aabaeeeb440f8e843cca60d3d0fe" PartId="a5d8a143ad95464e97dab5649d680c4b"/>
            <Part Type="papunktis" Nr="7.4" Abbr="7.4 pp." DocPartId="500456fa93714c6191e1c5a390ec4c6a" PartId="92f05a5bfba54102906145f3765ac457"/>
          </Part>
        </Part>
      </Part>
      <Part Type="papunktis" Nr="1.5" Abbr="1.5 pp." DocPartId="6a1dae877c594dabac819d8e465e668a" PartId="562bcdea9c864b85b96afe4622bb743a">
        <Part Type="citata" DocPartId="160492b048b8473195949490a003f078" PartId="b352036866d94ba7936beaacc8b0fc47">
          <Part Type="punktas" Nr="20" Abbr="20 p." DocPartId="07a4dda6c0e5446098636ed64b2bdab2" PartId="c8eccf56abea43599972299fabb4ca97"/>
        </Part>
      </Part>
      <Part Type="papunktis" Nr="1.6" Abbr="1.6 pp." DocPartId="5f3bfb32bd50430ea144457a9a9b50b0" PartId="5625b42d7af14c07b30e8ad404c68001">
        <Part Type="citata" DocPartId="59235c195c0f4275a7f5f9d8b204e829" PartId="3785e984280642f195bb8db7ef3f5b55">
          <Part Type="punktas" Nr="20-2" Abbr="20-2 p." DocPartId="943b4a082cd940a1aaf1e65d9113d4d8" PartId="789f1ad6324f4f61b41fb1fb0c85a291"/>
        </Part>
      </Part>
      <Part Type="papunktis" Nr="1.7" Abbr="1.7 pp." DocPartId="26016665d9794e7ab55260d867532519" PartId="0d26b42de340403d986c336dae289021"/>
    </Part>
    <Part Type="punktas" Nr="2" Abbr="2 p." DocPartId="14f73f6f049e4ee0a5960d26eb5fba85" PartId="84916e22dc5144ab8f2269be8a3c2714"/>
    <Part Type="signatura" DocPartId="e9e2adac76844bec9b9e6c823c419dbb" PartId="43e2c58cde934458a09241a7d64f41de"/>
  </Part>
  <Part Type="priedas" Nr="8" Abbr="8 pr." Title="VANDENS, PRALEIDŽIAMO PER HIDROTECHNINIUS STATINIUS IR NAUDOJAMO HIDROENERGIJAI IŠGAUTI HIDROELEKTRINĖSE, KIEKIO SKAIČIAVIMO METODIKA" DocPartId="9659dfac8b7146ecbab8830409aa1069" PartId="88f948de252e4ace9a9cb77a1ca77d98">
    <Part Type="punktas" Nr="1" Abbr="8 pr. 1 p." DocPartId="806571e4b5234bd78840f03c4af2dffc" PartId="0fdb5a275a5e4d439798cc0628623b80"/>
    <Part Type="punktas" Nr="2" Abbr="8 pr. 2 p." DocPartId="fdc29df0c620495d9f6cc0e86702c6fa" PartId="5db454560df245b9b62a7f18cb2af00b"/>
    <Part Type="pabaiga" DocPartId="082ec5649e824c6db304c426a73bde71" PartId="24e960f935464ba38b1b8c77d1bdc237"/>
  </Part>
</Parts>
</file>

<file path=customXml/itemProps1.xml><?xml version="1.0" encoding="utf-8"?>
<ds:datastoreItem xmlns:ds="http://schemas.openxmlformats.org/officeDocument/2006/customXml" ds:itemID="{15C3CF5D-7944-4836-B71C-A3400840F0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A71CDB-73C5-4841-972B-AF905D5930EA}">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601FB198-41D3-4EC3-AFD9-2277C8B0E21D}">
  <ds:schemaRefs>
    <ds:schemaRef ds:uri="http://schemas.microsoft.com/sharepoint/v3/contenttype/forms"/>
  </ds:schemaRefs>
</ds:datastoreItem>
</file>

<file path=customXml/itemProps4.xml><?xml version="1.0" encoding="utf-8"?>
<ds:datastoreItem xmlns:ds="http://schemas.openxmlformats.org/officeDocument/2006/customXml" ds:itemID="{B16430E5-B428-4E84-A46A-616082E4CB9E}">
  <ds:schemaRefs>
    <ds:schemaRef ds:uri="http://schemas.openxmlformats.org/officeDocument/2006/bibliography"/>
  </ds:schemaRefs>
</ds:datastoreItem>
</file>

<file path=customXml/itemProps5.xml><?xml version="1.0" encoding="utf-8"?>
<ds:datastoreItem xmlns:ds="http://schemas.openxmlformats.org/officeDocument/2006/customXml" ds:itemID="{100E2499-30E8-4A3A-ACF1-381F641B0CA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605</Words>
  <Characters>4055</Characters>
  <Application>Microsoft Office Word</Application>
  <DocSecurity>4</DocSecurity>
  <Lines>109</Lines>
  <Paragraphs>45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4615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2023-07-04T07:26:00Z</dcterms:created>
  <dcterms:modified xsi:type="dcterms:W3CDTF">2023-07-04T07:26:00Z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