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d413766c0c45279bfdbac2a2e7379f"/>
        <w:lock w:val="sdtLocked"/>
        <w:richText/>
      </w:sdtPr>
      <w:sdtContent>
        <w:p>
          <w:pPr>
            <w:tabs>
              <w:tab w:val="center" w:pos="4153"/>
              <w:tab w:val="right" w:pos="8306"/>
            </w:tabs>
            <w:jc w:val="right"/>
          </w:pPr>
        </w:p>
        <w:p>
          <w:pPr>
            <w:rPr>
              <w:sz w:val="14"/>
              <w:szCs w:val="14"/>
            </w:rPr>
          </w:pPr>
        </w:p>
        <w:p>
          <w:pPr>
            <w:ind w:left="-851"/>
            <w:jc w:val="center"/>
            <w:rPr>
              <w:b/>
              <w:caps/>
            </w:rPr>
          </w:pPr>
          <w:r>
            <w:rPr>
              <w:lang w:val="en-US"/>
            </w:rPr>
            <w:drawing>
              <wp:anchor distT="0" distB="0" distL="114300" distR="114300" simplePos="0" relativeHeight="251658240" behindDoc="0" locked="0" layoutInCell="0" allowOverlap="1" wp14:anchorId="69563D77" wp14:editId="2C80FD63">
                <wp:simplePos x="0" y="0"/>
                <wp:positionH relativeFrom="page">
                  <wp:posOffset>3776980</wp:posOffset>
                </wp:positionH>
                <wp:positionV relativeFrom="page">
                  <wp:posOffset>720090</wp:posOffset>
                </wp:positionV>
                <wp:extent cx="543560" cy="595630"/>
                <wp:effectExtent l="0" t="0" r="0" b="0"/>
                <wp:wrapTopAndBottom/>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pic:spPr>
                    </pic:pic>
                  </a:graphicData>
                </a:graphic>
                <wp14:sizeRelH relativeFrom="page">
                  <wp14:pctWidth>0</wp14:pctWidth>
                </wp14:sizeRelH>
                <wp14:sizeRelV relativeFrom="page">
                  <wp14:pctHeight>0</wp14:pctHeight>
                </wp14:sizeRelV>
              </wp:anchor>
            </w:drawing>
          </w:r>
          <w:r>
            <w:rPr>
              <w:b/>
              <w:bCs/>
              <w:caps/>
            </w:rPr>
            <w:t>LIETUVOS RESPUBLIKOS Ekonomikos ir inovacijų MINISTERIJA</w:t>
          </w:r>
        </w:p>
        <w:p>
          <w:pPr>
            <w:ind w:left="-851"/>
            <w:jc w:val="center"/>
            <w:rPr>
              <w:b/>
              <w:caps/>
              <w:sz w:val="10"/>
            </w:rPr>
          </w:pPr>
        </w:p>
        <w:p>
          <w:pPr>
            <w:rPr>
              <w:sz w:val="4"/>
              <w:szCs w:val="4"/>
            </w:rPr>
          </w:pPr>
        </w:p>
        <w:p>
          <w:pPr>
            <w:ind w:left="-851"/>
            <w:jc w:val="center"/>
            <w:rPr>
              <w:sz w:val="17"/>
            </w:rPr>
          </w:pPr>
          <w:r>
            <w:rPr>
              <w:sz w:val="17"/>
            </w:rPr>
            <w:t>Biudžetinė įstaiga, Gedimino pr. 38, LT-01104 Vilnius, tel.: 8 706 64 845, 8 706 64 868,</w:t>
            <w:br/>
            <w:t>el. p. kanc@eimin.lt, http://eimin.lrv.lt.</w:t>
          </w:r>
        </w:p>
        <w:p>
          <w:pPr>
            <w:widowControl w:val="0"/>
            <w:ind w:left="-851"/>
            <w:jc w:val="center"/>
            <w:rPr>
              <w:sz w:val="17"/>
            </w:rPr>
          </w:pPr>
          <w:r>
            <w:rPr>
              <w:sz w:val="17"/>
            </w:rPr>
            <w:t>Duomenys kaupiami ir saugomi Juridinių asmenų registre, kodas 188621919</w:t>
          </w:r>
        </w:p>
        <w:p>
          <w:pPr>
            <w:rPr>
              <w:sz w:val="4"/>
              <w:szCs w:val="4"/>
            </w:rPr>
          </w:pPr>
        </w:p>
        <w:p>
          <w:pPr>
            <w:jc w:val="both"/>
          </w:pPr>
          <w:r>
            <w:rPr>
              <w:lang w:val="en-US"/>
            </w:rPr>
            <mc:AlternateContent>
              <mc:Choice Requires="wps">
                <w:drawing>
                  <wp:anchor distT="0" distB="0" distL="114300" distR="114300" simplePos="0" relativeHeight="251658241" behindDoc="1" locked="0" layoutInCell="1" allowOverlap="1" wp14:anchorId="6B857BCE" wp14:editId="7AEB7A8E">
                    <wp:simplePos x="0" y="0"/>
                    <wp:positionH relativeFrom="column">
                      <wp:posOffset>-41910</wp:posOffset>
                    </wp:positionH>
                    <wp:positionV relativeFrom="paragraph">
                      <wp:posOffset>-635</wp:posOffset>
                    </wp:positionV>
                    <wp:extent cx="5924550" cy="0"/>
                    <wp:effectExtent l="9525" t="11430" r="9525" b="762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4550" cy="0"/>
                            </a:xfrm>
                            <a:prstGeom prst="straightConnector1">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62930C1" id="_x0000_t32" coordsize="21600,21600" o:spt="32" o:oned="t" path="m,l21600,21600e" filled="f">
                    <v:path arrowok="t" fillok="f" o:connecttype="none"/>
                    <o:lock v:ext="edit" shapetype="t"/>
                  </v:shapetype>
                  <v:shape id="AutoShape 2" o:spid="_x0000_s1026" type="#_x0000_t32" style="position:absolute;margin-left:-3.3pt;margin-top:-.05pt;width:466.5pt;height:0;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qcdyugEAAGQDAAAOAAAAZHJzL2Uyb0RvYy54bWysU8Fu2zAMvQ/YPwi6L06ypdiMOD2k6y7d FqDdBzCSbAuTRYFU4uTvJ6lxNnS3oj4Qoig+Pj7S69vT4MTREFv0jVzM5lIYr1Bb3zXy19P9h89S cASvwaE3jTwblreb9+/WY6jNEnt02pBIIJ7rMTSyjzHUVcWqNwPwDIPxKdgiDRCTS12lCcaEPrhq OZ/fVCOSDoTKMKfbu+eg3BT8tjUq/mxbNlG4RiZusVgqdp9ttVlD3RGE3qoLDXgFiwGsT0WvUHcQ QRzI/gc1WEXI2MaZwqHCtrXKlB5SN4v5i24eewim9JLE4XCVid8OVv04bv2OMnV18o/hAdVvFh63 PfjOFAJP55AGt8hSVWPg+pqSHQ47EvvxO+r0Bg4RiwqnloYMmfoTpyL2+Sq2OUWh0uXqy/LTapVm oqZYBfWUGIjjN4ODyIdGciSwXR+36H0aKdKilIHjA8dMC+opIVf1eG+dK5N1XoyNvPmY6uQIo7M6 B4tD3X7rSBwh70b5So8vnhEevC5gvQH99XKOYN3zORV3PuOZsm4XRpM2eRG53qM+72gSMI2ycL6s Xd6Vf/0i89+fY/MHAAD//wMAUEsDBBQABgAIAAAAIQBQGPAa2QAAAAYBAAAPAAAAZHJzL2Rvd25y ZXYueG1sTI4xT8MwFIR3JP6D9SqxtU4rsEqIUyEQExNph4xO/JpEjZ+j2E3Sf8+DBabT6U53X3ZY XC8mHEPnScN2k4BAqr3tqNFwOn6s9yBCNGRN7wk13DDAIb+/y0xq/UxfOBWxETxCITUa2hiHVMpQ t+hM2PgBibOzH52JbMdG2tHMPO56uUsSJZ3piB9aM+Bbi/WluDoNR/9+7p7KotqXvlRTgvPnrZi1 flgtry8gIi7xrww/+IwOOTNV/ko2iF7DWilusm5BcPy8U48gql8v80z+x8+/AQAA//8DAFBLAQIt ABQABgAIAAAAIQC2gziS/gAAAOEBAAATAAAAAAAAAAAAAAAAAAAAAABbQ29udGVudF9UeXBlc10u eG1sUEsBAi0AFAAGAAgAAAAhADj9If/WAAAAlAEAAAsAAAAAAAAAAAAAAAAALwEAAF9yZWxzLy5y ZWxzUEsBAi0AFAAGAAgAAAAhACWpx3K6AQAAZAMAAA4AAAAAAAAAAAAAAAAALgIAAGRycy9lMm9E b2MueG1sUEsBAi0AFAAGAAgAAAAhAFAY8BrZAAAABgEAAA8AAAAAAAAAAAAAAAAAFAQAAGRycy9k b3ducmV2LnhtbFBLBQYAAAAABAAEAPMAAAAaBQAAAAA= " strokeweight=".5pt">
                    <v:shadow color="#7f7f7f" opacity=".5" offset="1pt"/>
                  </v:shape>
                </w:pict>
              </mc:Fallback>
            </mc:AlternateContent>
          </w:r>
        </w:p>
        <w:tbl>
          <w:tblPr>
            <w:tblW w:w="0" w:type="auto"/>
            <w:tblCellMar>
              <w:left w:w="0" w:type="dxa"/>
              <w:right w:w="28" w:type="dxa"/>
            </w:tblCellMar>
            <w:tblLook w:val="0000" w:firstRow="0" w:lastRow="0" w:firstColumn="0" w:lastColumn="0" w:noHBand="0" w:noVBand="0"/>
          </w:tblPr>
          <w:tblGrid>
            <w:gridCol w:w="4522"/>
            <w:gridCol w:w="415"/>
            <w:gridCol w:w="1518"/>
            <w:gridCol w:w="2933"/>
          </w:tblGrid>
          <w:tr>
            <w:trPr>
              <w:cantSplit/>
              <w:trHeight w:val="233"/>
            </w:trPr>
            <w:tc>
              <w:tcPr>
                <w:tcW w:w="4522" w:type="dxa"/>
                <w:vMerge w:val="restart"/>
              </w:tcPr>
              <w:p>
                <w:pPr>
                  <w:rPr>
                    <w:iCs/>
                    <w:szCs w:val="24"/>
                  </w:rPr>
                </w:pPr>
                <w:r>
                  <w:rPr>
                    <w:iCs/>
                    <w:szCs w:val="24"/>
                    <w:lang w:eastAsia="lt-LT"/>
                  </w:rPr>
                  <w:t xml:space="preserve">Lietuvos Respublikos </w:t>
                </w:r>
                <w:r>
                  <w:rPr>
                    <w:color w:val="000000"/>
                    <w:szCs w:val="24"/>
                    <w:lang w:eastAsia="lt-LT"/>
                  </w:rPr>
                  <w:t>Vyriausybei</w:t>
                </w:r>
              </w:p>
              <w:p>
                <w:pPr>
                  <w:rPr>
                    <w:szCs w:val="24"/>
                  </w:rPr>
                </w:pPr>
              </w:p>
              <w:p>
                <w:pPr>
                  <w:rPr>
                    <w:szCs w:val="24"/>
                  </w:rPr>
                </w:pPr>
              </w:p>
            </w:tc>
            <w:tc>
              <w:tcPr>
                <w:tcW w:w="415" w:type="dxa"/>
              </w:tcPr>
              <w:p>
                <w:pPr>
                  <w:rPr>
                    <w:szCs w:val="24"/>
                  </w:rPr>
                </w:pPr>
              </w:p>
            </w:tc>
            <w:tc>
              <w:tcPr>
                <w:tcW w:w="1518" w:type="dxa"/>
              </w:tcPr>
              <w:p>
                <w:pPr>
                  <w:rPr>
                    <w:szCs w:val="24"/>
                  </w:rPr>
                </w:pPr>
                <w:r>
                  <w:rPr>
                    <w:szCs w:val="24"/>
                  </w:rPr>
                  <w:t xml:space="preserve">2023-   - </w:t>
                </w:r>
              </w:p>
            </w:tc>
            <w:tc>
              <w:tcPr>
                <w:tcW w:w="2933" w:type="dxa"/>
              </w:tcPr>
              <w:p>
                <w:pPr>
                  <w:rPr>
                    <w:szCs w:val="24"/>
                  </w:rPr>
                </w:pPr>
                <w:r>
                  <w:rPr>
                    <w:szCs w:val="24"/>
                  </w:rPr>
                  <w:t xml:space="preserve">Nr. </w:t>
                </w:r>
              </w:p>
            </w:tc>
          </w:tr>
          <w:tr>
            <w:trPr>
              <w:cantSplit/>
              <w:trHeight w:val="433"/>
            </w:trPr>
            <w:tc>
              <w:tcPr>
                <w:tcW w:w="4522" w:type="dxa"/>
                <w:vMerge/>
              </w:tcPr>
              <w:p>
                <w:pPr>
                  <w:rPr>
                    <w:sz w:val="23"/>
                    <w:szCs w:val="23"/>
                  </w:rPr>
                </w:pPr>
              </w:p>
            </w:tc>
            <w:tc>
              <w:tcPr>
                <w:tcW w:w="415" w:type="dxa"/>
              </w:tcPr>
              <w:p>
                <w:pPr>
                  <w:rPr>
                    <w:sz w:val="23"/>
                    <w:szCs w:val="23"/>
                  </w:rPr>
                </w:pPr>
              </w:p>
            </w:tc>
            <w:tc>
              <w:tcPr>
                <w:tcW w:w="1518" w:type="dxa"/>
              </w:tcPr>
              <w:p>
                <w:pPr>
                  <w:rPr>
                    <w:sz w:val="23"/>
                    <w:szCs w:val="23"/>
                  </w:rPr>
                </w:pPr>
              </w:p>
            </w:tc>
            <w:tc>
              <w:tcPr>
                <w:tcW w:w="2933" w:type="dxa"/>
              </w:tcPr>
              <w:p>
                <w:pPr>
                  <w:ind w:firstLine="57"/>
                  <w:rPr>
                    <w:sz w:val="23"/>
                    <w:szCs w:val="23"/>
                  </w:rPr>
                </w:pPr>
              </w:p>
            </w:tc>
          </w:tr>
        </w:tbl>
        <w:sdt>
          <w:sdtPr>
            <w:alias w:val="skirsnis"/>
            <w:tag w:val="part_e0cbf170849a40279f71e3be838784ad"/>
            <w:lock w:val="sdtLocked"/>
            <w:richText/>
          </w:sdtPr>
          <w:sdtContent>
            <w:p>
              <w:pPr>
                <w:jc w:val="both"/>
                <w:rPr>
                  <w:sz w:val="23"/>
                  <w:szCs w:val="23"/>
                </w:rPr>
              </w:pPr>
              <w:sdt>
                <w:sdtPr>
                  <w:alias w:val="Pavadinimas"/>
                  <w:tag w:val="title_e0cbf170849a40279f71e3be838784ad"/>
                  <w:lock w:val="sdtLocked"/>
                  <w:richText/>
                </w:sdtPr>
                <w:sdtContent>
                  <w:r>
                    <w:rPr>
                      <w:b/>
                      <w:bCs/>
                      <w:caps/>
                    </w:rPr>
                    <w:t xml:space="preserve">DĖL LIETUVOS RESPUBLIKOS INVESTICIJŲ ĮSTATYMO NR. </w:t>
                  </w:r>
                  <w:r>
                    <w:rPr>
                      <w:b/>
                      <w:caps/>
                    </w:rPr>
                    <w:t>VIII-1312 2, 12, 13</w:t>
                  </w:r>
                  <w:r>
                    <w:rPr>
                      <w:b/>
                      <w:caps/>
                      <w:vertAlign w:val="superscript"/>
                    </w:rPr>
                    <w:t>1</w:t>
                  </w:r>
                  <w:r>
                    <w:rPr>
                      <w:b/>
                      <w:caps/>
                    </w:rPr>
                    <w:t xml:space="preserve"> ir </w:t>
                  </w:r>
                  <w:r>
                    <w:rPr>
                      <w:b/>
                      <w:szCs w:val="24"/>
                      <w:lang w:eastAsia="lt-LT"/>
                    </w:rPr>
                    <w:t>15</w:t>
                  </w:r>
                  <w:r>
                    <w:rPr>
                      <w:b/>
                      <w:szCs w:val="24"/>
                      <w:vertAlign w:val="superscript"/>
                      <w:lang w:eastAsia="lt-LT"/>
                    </w:rPr>
                    <w:t>4</w:t>
                  </w:r>
                  <w:r>
                    <w:rPr>
                      <w:b/>
                      <w:caps/>
                    </w:rPr>
                    <w:t xml:space="preserve"> </w:t>
                  </w:r>
                  <w:r>
                    <w:rPr>
                      <w:b/>
                      <w:bCs/>
                      <w:caps/>
                    </w:rPr>
                    <w:t xml:space="preserve">STRAIPSNIŲ PAKEITIMO ĮSTATYMO IR LIETUVOS RESPUBLIKOS PELNO MOKESČIO ĮSTATYMO NR. IX-675 58 STRAIPSNIO PAKEITIMO ĮSTATYMO PROJEKTŲ teikimo </w:t>
                  </w:r>
                </w:sdtContent>
              </w:sdt>
            </w:p>
            <w:p>
              <w:pPr>
                <w:jc w:val="both"/>
                <w:rPr>
                  <w:sz w:val="23"/>
                  <w:szCs w:val="23"/>
                </w:rPr>
              </w:pPr>
            </w:p>
            <w:p>
              <w:pPr>
                <w:jc w:val="both"/>
                <w:rPr>
                  <w:sz w:val="23"/>
                  <w:szCs w:val="23"/>
                </w:rPr>
              </w:pPr>
            </w:p>
            <w:p>
              <w:pPr>
                <w:ind w:firstLine="720"/>
                <w:jc w:val="both"/>
              </w:pPr>
              <w:r>
                <w:t xml:space="preserve">Lietuvos Respublikos ekonomikos ir inovacijų ministerija (toliau – Ministerija) pakartotinai teikia  Lietuvos Respublikos investicijų įstatymo Nr. VIII-1312 2 ir </w:t>
              </w:r>
              <w:r>
                <w:rPr>
                  <w:bCs/>
                  <w:szCs w:val="24"/>
                  <w:lang w:eastAsia="lt-LT"/>
                </w:rPr>
                <w:t>15</w:t>
              </w:r>
              <w:r>
                <w:rPr>
                  <w:bCs/>
                  <w:szCs w:val="24"/>
                  <w:vertAlign w:val="superscript"/>
                  <w:lang w:eastAsia="lt-LT"/>
                </w:rPr>
                <w:t>4</w:t>
              </w:r>
              <w:r>
                <w:t xml:space="preserve"> straipsnių pakeitimo įstatymo (toliau – Investicijų įstatymo pakeitimo įstatymas) ir Lietuvos Respublikos pelno mokesčio įstatymo Nr. IX-675 58 straipsnio pakeitimo įstatymo (toliau – Pelno mokesčio pakeitimo įstatymas) projektus (toliau – Įstatymų projektai), patikslintus pagal Lietuvos Respublikos Vyriausybės kanceliarijos Teisės grupės pastabas.</w:t>
              </w:r>
            </w:p>
            <w:p>
              <w:pPr>
                <w:ind w:firstLine="567"/>
                <w:jc w:val="both"/>
              </w:pPr>
              <w:r>
                <w:t xml:space="preserve">Įstatymų projektai parengti siekiant prisidėti prie Aštuonioliktosios Lietuvos Respublikos Vyriausybės programoje, </w:t>
              </w:r>
              <w:r>
                <w:rPr>
                  <w:color w:val="000000"/>
                  <w:shd w:val="clear" w:color="auto" w:fill="FFFFFF"/>
                </w:rPr>
                <w:t xml:space="preserve">kuriai pritarta  Lietuvos Respublikos Seimo 2020 m. gruodžio 11 d. nutarimu Nr. XIV-72 „Dėl </w:t>
              </w:r>
              <w:r>
                <w:t>Aštuonioliktosios Lietuvos Respublikos Vyriausybės programos“ (toliau – Vyriausybės programa)</w:t>
              </w:r>
              <w:r>
                <w:rPr>
                  <w:color w:val="000000"/>
                  <w:shd w:val="clear" w:color="auto" w:fill="FFFFFF"/>
                </w:rPr>
                <w:t xml:space="preserve">, 6 punkte </w:t>
              </w:r>
              <w:r>
                <w:t xml:space="preserve">nustatyto </w:t>
              </w:r>
              <w:r>
                <w:rPr>
                  <w:color w:val="000000"/>
                  <w:shd w:val="clear" w:color="auto" w:fill="FFFFFF"/>
                </w:rPr>
                <w:t>įsipareigojamo pasiekti esminį ekonomikos proveržį, pereinant prie aukštesnės, negu dabar esama, pridėtinės ekonominės vertės, įgyvendinimo. Taip pat, be kita ko, skatinti augantį darbo našumą ir didėjančias tiesiogines užsienio investicijas bei sukurti draugišką aplinką, palankią steigti naujas darbo vietas ir vystyti verslą. Įstatymų projektų siūlomais pakeitimais siekiama prisidėti ir prie Vyriausybės programoje numatytos misijos – aukštos pridėtinės vertės ekonomikos.</w:t>
              </w:r>
            </w:p>
            <w:p>
              <w:pPr>
                <w:ind w:firstLine="720"/>
                <w:jc w:val="both"/>
              </w:pPr>
              <w:r>
                <w:t xml:space="preserve">Įstatymų projektų tikslas – sudaryti galimybę projektams, atitinkantiems tiek dabar teisės aktuose numatytus Stambių projektų kriterijus, tiek siūlomus nustatyti kriterijus, taikyti pelno mokesčio lengvatą ir kitas specialiąsias investavimo ir verslo sąlygas, numatytas Lietuvos Respublikos investicijų įstatyme (toliau – Investicijų įstatymas). Siūlomi Stambių projektų kriterijai leistų užtikrinti, kad Stambiais projektais būtų pripažįstami ir tie projektai, kurie yra imlūs kapitalo investicijoms, bet dėl savo išskirtinio pobūdžio sukuria mažiau naujų darbo vietų, nei numatyta dabartiniame teisiniame reguliavime, tačiau užtikrinant, kad naujai sukuriamose darbo vietose mokamas didesnis darbo užmokestis. </w:t>
              </w:r>
            </w:p>
            <w:p>
              <w:pPr>
                <w:ind w:firstLine="567"/>
                <w:jc w:val="both"/>
                <w:rPr>
                  <w:color w:val="00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796"/>
              </w:tblGrid>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 Sprendžiamos problemos</w:t>
                    </w:r>
                  </w:p>
                </w:tc>
                <w:tc>
                  <w:tcPr>
                    <w:tcW w:w="7796" w:type="dxa"/>
                    <w:tcBorders>
                      <w:top w:val="single" w:sz="4" w:space="0" w:color="auto"/>
                      <w:left w:val="single" w:sz="4" w:space="0" w:color="auto"/>
                      <w:bottom w:val="single" w:sz="4" w:space="0" w:color="auto"/>
                      <w:right w:val="single" w:sz="4" w:space="0" w:color="auto"/>
                    </w:tcBorders>
                  </w:tcPr>
                  <w:p>
                    <w:pPr>
                      <w:ind w:firstLine="567"/>
                      <w:jc w:val="both"/>
                      <w:rPr>
                        <w:color w:val="000000"/>
                      </w:rPr>
                    </w:pPr>
                    <w:r>
                      <w:t xml:space="preserve">Investicijų įstatymas nustato, kokius kriterijus atitinkantis projektas gali būti laikomas Stambiu projektu. Teisinis reglamentavimas yra orientuotas į naujas darbo vietas kuriančius investicinius projektus ir numato, kad Stambūs projektai – tai tokie projektai, kurie sukuria ne mažiau kaip 150, </w:t>
                    </w:r>
                    <w:r>
                      <w:rPr>
                        <w:color w:val="000000"/>
                      </w:rPr>
                      <w:t xml:space="preserve">o kai investuojama Vilniuje – ne mažiau kaip 200 naujų darbo vietų, dėl kurių įstatymų nustatyta tvarka bus sudarytos viso darbo laiko darbo sutartys, ir kiekviena sukurta darbo vieta išlaikoma ne trumpiau kaip penkerius metus nuo pirmosios darbuotojo priėmimo į sukurtą darbo vietą dienos ir investuojama Lietuvos Respublikoje ne mažiau kaip 20 milijonų eurų, o kai investuojama Vilniuje – ne mažiau kaip 30 milijonų eurų vertės privačių kapitalo investicijų. </w:t>
                    </w:r>
                  </w:p>
                  <w:p>
                    <w:pPr>
                      <w:ind w:firstLine="567"/>
                      <w:jc w:val="both"/>
                      <w:rPr>
                        <w:color w:val="000000"/>
                        <w:sz w:val="22"/>
                        <w:szCs w:val="22"/>
                      </w:rPr>
                    </w:pPr>
                    <w:r>
                      <w:t>Lietuvos Respublikos pelno mokesčio įstatymas (toliau – Pelno mokesčio įstatymas) nustato, kad juridiniai asmenys, kurie įgyvendina Stambų projektą pagal galiojančią stambaus projekto investicijų sutartį ir kurių projektai atitinka Investicijų įstatyme nustatytus Stambaus projekto kriterijus, nemoka pelno mokesčio pradedant tuo mokestiniu laikotarpiu, kurį Pelno mokesčio įstatyme nustatyti kriterijai buvo pasiekti. Lengvata netaikoma tą mokestinį laikotarpį, kurį juridinio asmens privačių kapitalo investicijų suma ir (arba) vidutinis darbuotojų skaičius mokestiniais metais taip sumažėjo, ir lengvatos taikymas atnaujinamas tą mokestinį laikotarpį, kurį juridinio asmens privačios kapitalo investicijos į Stambų projektą vėl pasiekia 20 milijonų eurų sumą, o kai investuojama Vilniuje, – 30 milijonų eurų sumą ir (arba) vidutinis darbuotojų, reikalingų Stambiam projektui įgyvendinti, skaičius mokestiniais metais vėl tampa ne mažesnis kaip 150, o kai investuojama Vilniuje, – ne mažesnis kaip 200. Ši lengvata juridiniam asmeniui, įgyvendinančiam Stambų projektą, taikoma ne ilgiau negu 20 metų nuo Stambaus projekto investicijų sutarties įsigaliojimo dienos.</w:t>
                    </w:r>
                    <w:r>
                      <w:rPr>
                        <w:color w:val="000000"/>
                        <w:sz w:val="22"/>
                        <w:szCs w:val="22"/>
                      </w:rPr>
                      <w:t> </w:t>
                    </w:r>
                  </w:p>
                  <w:p>
                    <w:pPr>
                      <w:ind w:firstLine="720"/>
                      <w:jc w:val="both"/>
                    </w:pPr>
                    <w:r>
                      <w:t xml:space="preserve">Stambių projektų kriterijai neleidžia projektams, kurie yra imlūs kapitalo investicijoms, bet dėl savo išskirtinio pobūdžio sukuria mažiau naujų darbo vietų, nei numatyta dabartiniame teisiniame reguliavime, būti pripažintiems stambiais projektais. </w:t>
                    </w:r>
                  </w:p>
                  <w:p>
                    <w:pPr>
                      <w:ind w:firstLine="567"/>
                      <w:jc w:val="both"/>
                      <w:rPr>
                        <w:szCs w:val="24"/>
                      </w:rPr>
                    </w:pPr>
                    <w:r>
                      <w:rPr>
                        <w:szCs w:val="24"/>
                      </w:rPr>
                      <w:t>Galiojančio Investicijų įstatymo 15</w:t>
                    </w:r>
                    <w:r>
                      <w:rPr>
                        <w:szCs w:val="24"/>
                        <w:vertAlign w:val="superscript"/>
                      </w:rPr>
                      <w:t>4</w:t>
                    </w:r>
                    <w:r>
                      <w:rPr>
                        <w:szCs w:val="24"/>
                      </w:rPr>
                      <w:t xml:space="preserve"> straipsnio 9 dalyje įtvirtinta, kad įsigaliojus stambaus projekto investicijų sutarčiai, kuria numatoma įgyvendinti stambų projektą iš anksto savivaldybės suplanuotoje teritorijoje, ir įtraukus stambų projektą į stambių projektų sąrašą, ne anksčiau kaip kitais biudžetiniais metais po stambaus projekto investicijų sutarties įsigaliojimo gali būti skiriama speciali tikslinė iki 5 procentų stambaus projekto vertės valstybės biudžeto dotacija savivaldybės biudžetui savivaldybės</w:t>
                    </w:r>
                    <w:r>
                      <w:rPr>
                        <w:i/>
                        <w:szCs w:val="24"/>
                      </w:rPr>
                      <w:t xml:space="preserve"> viešajai infrastruktūrai plėtoti</w:t>
                    </w:r>
                    <w:r>
                      <w:rPr>
                        <w:szCs w:val="24"/>
                      </w:rPr>
                      <w:t>. Atsižvelgiant į tai, ir siekiant teisinio aiškumo, Investicijų įstatymo pakeitimo įstatymo projektu siūloma patikslinti minėtą dalį ir nustatyti, kad Lietuvos Respublikos ekonomikos ir inovacijų ministras nustato valstybės biudžeto specialios tikslinės dotacijos savivaldybės biudžetui</w:t>
                    </w:r>
                    <w:r>
                      <w:rPr>
                        <w:sz w:val="20"/>
                        <w:lang w:val="en-GB"/>
                      </w:rPr>
                      <w:t xml:space="preserve"> </w:t>
                    </w:r>
                    <w:r>
                      <w:rPr>
                        <w:szCs w:val="24"/>
                      </w:rPr>
                      <w:t xml:space="preserve">savivaldybės </w:t>
                    </w:r>
                    <w:r>
                      <w:rPr>
                        <w:i/>
                        <w:szCs w:val="24"/>
                      </w:rPr>
                      <w:t>viešajai infrastruktūrai plėtoti</w:t>
                    </w:r>
                    <w:r>
                      <w:rPr>
                        <w:szCs w:val="24"/>
                      </w:rPr>
                      <w:t xml:space="preserve"> skyrimo, grąžinimo ir apskaičiavimo tvarką nustato. </w:t>
                    </w: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II. Siūlomos priemonės</w:t>
                    </w:r>
                  </w:p>
                </w:tc>
                <w:tc>
                  <w:tcPr>
                    <w:tcW w:w="7796" w:type="dxa"/>
                    <w:tcBorders>
                      <w:top w:val="single" w:sz="4" w:space="0" w:color="auto"/>
                      <w:left w:val="single" w:sz="4" w:space="0" w:color="auto"/>
                      <w:bottom w:val="single" w:sz="4" w:space="0" w:color="auto"/>
                      <w:right w:val="single" w:sz="4" w:space="0" w:color="auto"/>
                    </w:tcBorders>
                  </w:tcPr>
                  <w:p>
                    <w:pPr>
                      <w:ind w:firstLine="567"/>
                      <w:jc w:val="both"/>
                      <w:rPr>
                        <w:color w:val="000000"/>
                      </w:rPr>
                    </w:pPr>
                    <w:r>
                      <w:rPr>
                        <w:color w:val="000000"/>
                      </w:rPr>
                      <w:t>Dabartinis teisinis reguliavimas skatina darbo vietų kūrimui imlius Stambius projektus, kuriuose įdarbinami įvairių kvalifikacijų darbuotojai ir jiems mokamas kvalifikaciją atitinkantis darbo užmokestis. Investicijų įstatymo pakeitimo</w:t>
                    </w:r>
                    <w:r>
                      <w:t xml:space="preserve"> įstatymo projektu siūloma įtvirtinti galimybę skatinti ir tokius Stambius projektus, kurie kuria mažiau, bet tik aukštos kvalifikacijos darbo vietas. Įstatymų pakeitimuose siūloma tokio pobūdžio projektams nustatyti tokius kriterijus, t. y. papildyti 2 straipsnio 25 dalį šiais Stambaus projekto kriterijais:</w:t>
                    </w:r>
                  </w:p>
                  <w:p>
                    <w:pPr>
                      <w:ind w:firstLine="540"/>
                      <w:jc w:val="both"/>
                      <w:rPr>
                        <w:color w:val="000000"/>
                      </w:rPr>
                    </w:pPr>
                    <w:r>
                      <w:t>1)</w:t>
                      <w:tab/>
                    </w:r>
                    <w:r>
                      <w:rPr>
                        <w:color w:val="000000"/>
                      </w:rPr>
                      <w:t>sukurs Lietuvos Respublikoje nuo 20 iki 149, o kai investuojama Vilniuje – nuo 20 iki 199 naujų darbo vietų, dėl kurių įstatymų nustatyta tvarka bus sudarytos viso darbo laiko darbo sutartys, ir kiekvieną sukurtą darbo vietą išlaikys ne trumpiau kaip penkerius metus nuo pirmosios darbuotojo priėmimo į sukurtą darbo vietą dienos,</w:t>
                    </w:r>
                  </w:p>
                  <w:p>
                    <w:pPr>
                      <w:ind w:firstLine="540"/>
                      <w:jc w:val="both"/>
                      <w:rPr>
                        <w:color w:val="000000"/>
                      </w:rPr>
                    </w:pPr>
                    <w:r>
                      <w:t>2)</w:t>
                      <w:tab/>
                    </w:r>
                    <w:r>
                      <w:rPr>
                        <w:color w:val="000000"/>
                      </w:rPr>
                      <w:t xml:space="preserve">užtikrinant, kad 20 </w:t>
                    </w:r>
                    <w:r>
                      <w:rPr>
                        <w:lang w:eastAsia="lt-LT"/>
                      </w:rPr>
                      <w:t>investicijų projektu sukurtų naujų darbo vietų įdarbintų asmenų atitinkamų metų vidutinis bruto darbo užmokestis (taikoma kiekvienam darbuotojui atskirai) būtų ne mažesnis kaip 1,2</w:t>
                    </w:r>
                    <w:r>
                      <w:rPr>
                        <w:lang w:val="en-US" w:eastAsia="lt-LT"/>
                      </w:rPr>
                      <w:t>5</w:t>
                    </w:r>
                    <w:r>
                      <w:rPr>
                        <w:lang w:eastAsia="lt-LT"/>
                      </w:rPr>
                      <w:t xml:space="preserve"> </w:t>
                    </w:r>
                    <w:r>
                      <w:rPr>
                        <w:color w:val="000000"/>
                        <w:shd w:val="clear" w:color="auto" w:fill="FFFFFF"/>
                      </w:rPr>
                      <w:t>Lietuvos statistikos departamento paskutinio skelbiamo savivaldybės, kurioje investuojama, vidutinio mėnesinio bruto darbo užmokesčio, įskaitant individualias įmones, dydžio, o šį skaičių viršijančiose</w:t>
                    </w:r>
                    <w:r>
                      <w:rPr>
                        <w:lang w:eastAsia="lt-LT"/>
                      </w:rPr>
                      <w:t xml:space="preserve"> investiciniu projektu sukurtose naujose darbo vietose įdarbintų asmenų atitinkamų metų vidutinis bruto darbo užmokestis (taikoma kiekvienam darbuotojui atskirai) bus ne mažesnis kaip </w:t>
                    </w:r>
                    <w:r>
                      <w:rPr>
                        <w:color w:val="000000"/>
                        <w:shd w:val="clear" w:color="auto" w:fill="FFFFFF"/>
                      </w:rPr>
                      <w:t xml:space="preserve">Lietuvos statistikos departamento paskutinis skelbiamas savivaldybės, kurioje investuojama, vidutinis mėnesinis bruto darbo užmokestis, įskaitant individualias įmones, </w:t>
                    </w:r>
                    <w:r>
                      <w:rPr>
                        <w:color w:val="000000"/>
                      </w:rPr>
                      <w:t xml:space="preserve">ir </w:t>
                    </w:r>
                  </w:p>
                  <w:p>
                    <w:pPr>
                      <w:ind w:firstLine="540"/>
                      <w:jc w:val="both"/>
                      <w:rPr>
                        <w:color w:val="000000"/>
                      </w:rPr>
                    </w:pPr>
                    <w:r>
                      <w:t>3)</w:t>
                      <w:tab/>
                    </w:r>
                    <w:r>
                      <w:rPr>
                        <w:color w:val="000000"/>
                      </w:rPr>
                      <w:t>investuos Lietuvos Respublikoje ne mažiau kaip 20 milijonų eurų, o kai investuojama Vilniuje – ne mažiau kaip 30 milijonų eurų vertės privačių kapitalo investicijų.</w:t>
                    </w:r>
                  </w:p>
                  <w:p>
                    <w:pPr>
                      <w:ind w:firstLine="567"/>
                      <w:jc w:val="both"/>
                    </w:pPr>
                    <w:r>
                      <w:t>Pelno mokesčio pakeitimo įstatymo projektu yra siūloma papildyti įstatymo 58 straipsnio 16</w:t>
                    </w:r>
                    <w:r>
                      <w:rPr>
                        <w:vertAlign w:val="superscript"/>
                      </w:rPr>
                      <w:t>2</w:t>
                    </w:r>
                    <w:r>
                      <w:t xml:space="preserve"> ir 16</w:t>
                    </w:r>
                    <w:r>
                      <w:rPr>
                        <w:vertAlign w:val="superscript"/>
                      </w:rPr>
                      <w:t xml:space="preserve">3 </w:t>
                    </w:r>
                    <w:r>
                      <w:t xml:space="preserve">dalis ir numatyti, kad pelno mokesčio nemoka taip pat ir tie juridiniai asmenys, kurie sukuria Lietuvos Respublikoje nuo 20 iki 149, o kai investuojama Vilniuje – nuo 20 iki 199 naujų darbo vietų, dėl kurių įstatymų nustatyta tvarka sudarytos viso darbo laiko darbo sutartys, ir kiekvieną sukurtą darbo vietą išlaiko ne trumpiau kaip penkerius metus nuo pirmosios darbuotojo priėmimo į sukurtą darbo vietą dienos, užtikrinant, kad 20 </w:t>
                    </w:r>
                    <w:r>
                      <w:rPr>
                        <w:lang w:eastAsia="lt-LT"/>
                      </w:rPr>
                      <w:t>investicijų projektu sukurtų naujų darbo vietų įdarbintų asmenų atitinkamų metų vidutinis bruto darbo užmokestis (taikoma kiekvienam darbuotojui atskirai) yra ne mažesnis kaip 1,2</w:t>
                    </w:r>
                    <w:r>
                      <w:rPr>
                        <w:lang w:val="en-US" w:eastAsia="lt-LT"/>
                      </w:rPr>
                      <w:t>5</w:t>
                    </w:r>
                    <w:r>
                      <w:rPr>
                        <w:lang w:eastAsia="lt-LT"/>
                      </w:rPr>
                      <w:t xml:space="preserve"> </w:t>
                    </w:r>
                    <w:r>
                      <w:rPr>
                        <w:shd w:val="clear" w:color="auto" w:fill="FFFFFF"/>
                      </w:rPr>
                      <w:t>Lietuvos statistikos departamento paskutinio skelbiamo savivaldybės, kurioje investuojama, vidutinio mėnesinio bruto darbo užmokesčio, įskaitant individualias įmones, dydžio, o šį skaičių viršijančiose</w:t>
                    </w:r>
                    <w:r>
                      <w:rPr>
                        <w:lang w:eastAsia="lt-LT"/>
                      </w:rPr>
                      <w:t xml:space="preserve"> investiciniu projektu sukurtose naujose darbo vietose įdarbintų asmenų atitinkamų metų vidutinis bruto darbo užmokestis (taikoma kiekvienam darbuotojui atskirai) yra ne mažesnis kaip </w:t>
                    </w:r>
                    <w:r>
                      <w:rPr>
                        <w:shd w:val="clear" w:color="auto" w:fill="FFFFFF"/>
                      </w:rPr>
                      <w:t xml:space="preserve">Lietuvos statistikos departamento paskutinis skelbiamas savivaldybės, kurioje investuojama, vidutinis mėnesinis bruto darbo užmokestis, įskaitant individualias įmones, </w:t>
                    </w:r>
                    <w:r>
                      <w:t>ir investuoja Lietuvos Respublikoje ne mažiau kaip 20 milijonų eurų, o kai investuojama Vilniuje – ne mažiau kaip 30 milijonų eurų vertės privačių kapitalo investicijų.</w:t>
                    </w:r>
                  </w:p>
                  <w:p>
                    <w:pPr>
                      <w:ind w:firstLine="567"/>
                      <w:jc w:val="both"/>
                    </w:pPr>
                    <w:r>
                      <w:t xml:space="preserve">Nustatant minimalaus darbo užmokesčio reikalavimą visoms naujoms darbo vietoms, viršijančioms 20 (ne mažesnį kaip </w:t>
                    </w:r>
                    <w:r>
                      <w:rPr>
                        <w:color w:val="000000"/>
                        <w:shd w:val="clear" w:color="auto" w:fill="FFFFFF"/>
                      </w:rPr>
                      <w:t>skelbiamas savivaldybės, kurioje investuojama, vidutinis mėnesinis bruto darbo užmokestis, įskaitant individualias įmones)</w:t>
                    </w:r>
                    <w:r>
                      <w:t>, siekiama, kad jis būtų ne mažesnis nei nustatyta Investicijų įstatyme 13</w:t>
                    </w:r>
                    <w:r>
                      <w:rPr>
                        <w:vertAlign w:val="superscript"/>
                      </w:rPr>
                      <w:t xml:space="preserve">1 </w:t>
                    </w:r>
                    <w:r>
                      <w:t xml:space="preserve">straipsnio 1 dalies 2 punkte, t. y. ne mažesnis nei skelbiamas </w:t>
                    </w:r>
                    <w:r>
                      <w:rPr>
                        <w:color w:val="000000"/>
                        <w:shd w:val="clear" w:color="auto" w:fill="FFFFFF"/>
                      </w:rPr>
                      <w:t>vidutinis mėnesinis bruto darbo užmokestis</w:t>
                    </w:r>
                    <w:r>
                      <w:t xml:space="preserve">, nustatytas naujai steigiamoms darbo vietoms pagal investicijų sutartį Lietuvos Respublikoje. </w:t>
                    </w:r>
                  </w:p>
                  <w:p>
                    <w:pPr>
                      <w:spacing w:line="240" w:lineRule="atLeast"/>
                      <w:ind w:firstLine="567"/>
                      <w:jc w:val="both"/>
                    </w:pPr>
                    <w:r>
                      <w:rPr>
                        <w:color w:val="000000"/>
                      </w:rPr>
                      <w:t xml:space="preserve">Siekiant suderinti siūlomus pakeitimus su Europos Sąjungos valstybės pagalbos teikimo taisyklėmis, siūloma nustatyti, kad pelno mokesčio lengvata taikoma tiek, kiek ji suderinama su 2014 m. birželio 17 d. Komisijos reglamento </w:t>
                    </w:r>
                    <w:fldSimple w:instr="HYPERLINK http://eur-lex.europa.eu/legal-content/LIT/TXT/?uri=CELEX:32014R0651&amp;locale=lt \t _blank">
                      <w:r>
                        <w:rPr>
                          <w:color w:val="0000FF" w:themeColor="hyperlink"/>
                          <w:u w:val="single"/>
                        </w:rPr>
                        <w:t>(ES) Nr. 651/2014</w:t>
                      </w:r>
                    </w:fldSimple>
                    <w:r>
                      <w:rPr>
                        <w:color w:val="000000"/>
                      </w:rPr>
                      <w:t xml:space="preserve">, kuriuo tam tikrų kategorijų pagalba skelbiama suderinama su vidaus rinka taikant Sutarties 107 ir 108 straipsnius, nuostatomis (taikoma </w:t>
                    </w:r>
                    <w:r>
                      <w:t xml:space="preserve">Pelno mokesčio pakeitimo įstatymo </w:t>
                    </w:r>
                    <w:r>
                      <w:rPr>
                        <w:color w:val="000000"/>
                      </w:rPr>
                      <w:t>projekte dėstomos 58 straipsnio 16</w:t>
                    </w:r>
                    <w:r>
                      <w:rPr>
                        <w:color w:val="000000"/>
                        <w:vertAlign w:val="superscript"/>
                      </w:rPr>
                      <w:t>2</w:t>
                    </w:r>
                    <w:r>
                      <w:rPr>
                        <w:color w:val="000000"/>
                      </w:rPr>
                      <w:t xml:space="preserve"> dalies nuostatų atžvilgiu) bei valstybės pagalbos schema suderinta su Europos Komisija pagal </w:t>
                    </w:r>
                    <w:r>
                      <w:t>2013 m. liepos 23 d. Europos Komisijos komunikato Nr. 2013/C 209/01 „2014–2020 m. regioninės valstybės pagalbos gairės“ sąlygas (</w:t>
                    </w:r>
                    <w:r>
                      <w:rPr>
                        <w:color w:val="000000"/>
                      </w:rPr>
                      <w:t xml:space="preserve">taikoma </w:t>
                    </w:r>
                    <w:r>
                      <w:t xml:space="preserve">Pelno mokesčio pakeitimo įstatymo </w:t>
                    </w:r>
                    <w:r>
                      <w:rPr>
                        <w:color w:val="000000"/>
                      </w:rPr>
                      <w:t>projekte dėstomos 58 straipsnio 16</w:t>
                    </w:r>
                    <w:r>
                      <w:rPr>
                        <w:color w:val="000000"/>
                        <w:vertAlign w:val="superscript"/>
                      </w:rPr>
                      <w:t>3</w:t>
                    </w:r>
                    <w:r>
                      <w:rPr>
                        <w:color w:val="000000"/>
                      </w:rPr>
                      <w:t xml:space="preserve"> dalies atžvilgiu).</w:t>
                    </w:r>
                  </w:p>
                  <w:p>
                    <w:pPr>
                      <w:spacing w:line="240" w:lineRule="atLeast"/>
                      <w:ind w:firstLine="567"/>
                      <w:jc w:val="both"/>
                      <w:rPr>
                        <w:color w:val="000000"/>
                      </w:rPr>
                    </w:pPr>
                    <w:r>
                      <w:rPr>
                        <w:color w:val="000000"/>
                      </w:rPr>
                      <w:t>Įstatymų pakeitimų projektais siūlomi Stambaus projekto kriterijai leistų orientuotis į itin aukštos pridėtinės vertės projektus, kuriančius mažiau, bet aukštos kvalifikacijos darbo vietų nei numato iki šiol galiojanti teisinio reguliavimo taikymo aprėptis.</w:t>
                    </w: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III. Priemonių kaštai</w:t>
                    </w:r>
                  </w:p>
                </w:tc>
                <w:tc>
                  <w:tcPr>
                    <w:tcW w:w="7796" w:type="dxa"/>
                    <w:tcBorders>
                      <w:top w:val="single" w:sz="4" w:space="0" w:color="auto"/>
                      <w:left w:val="single" w:sz="4" w:space="0" w:color="auto"/>
                      <w:bottom w:val="single" w:sz="4" w:space="0" w:color="auto"/>
                      <w:right w:val="single" w:sz="4" w:space="0" w:color="auto"/>
                    </w:tcBorders>
                  </w:tcPr>
                  <w:p>
                    <w:pPr>
                      <w:ind w:firstLine="567"/>
                      <w:jc w:val="both"/>
                    </w:pPr>
                    <w:r>
                      <w:rPr>
                        <w:szCs w:val="24"/>
                        <w:lang w:eastAsia="lt-LT"/>
                      </w:rPr>
                      <w:t xml:space="preserve">Siūlomoms projekto nuostatoms įgyvendinti papildomų valstybės, savivaldybių biudžetų ir kitų valstybės įsteigtų fondų lėšų nereikės. </w:t>
                    </w:r>
                  </w:p>
                </w:tc>
              </w:tr>
              <w:tr>
                <w:trPr>
                  <w:trHeight w:val="84"/>
                </w:trP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IV. Nauda visuomenei</w:t>
                    </w:r>
                  </w:p>
                </w:tc>
                <w:tc>
                  <w:tcPr>
                    <w:tcW w:w="7796" w:type="dxa"/>
                    <w:tcBorders>
                      <w:top w:val="single" w:sz="4" w:space="0" w:color="auto"/>
                      <w:left w:val="single" w:sz="4" w:space="0" w:color="auto"/>
                      <w:bottom w:val="single" w:sz="4" w:space="0" w:color="auto"/>
                      <w:right w:val="single" w:sz="4" w:space="0" w:color="auto"/>
                    </w:tcBorders>
                  </w:tcPr>
                  <w:p>
                    <w:pPr>
                      <w:ind w:firstLine="567"/>
                      <w:jc w:val="both"/>
                      <w:rPr>
                        <w:szCs w:val="24"/>
                      </w:rPr>
                    </w:pPr>
                    <w:r>
                      <w:rPr>
                        <w:szCs w:val="24"/>
                      </w:rPr>
                      <w:t xml:space="preserve">Priimti Įstatymų projektai turės teigiamą įtaką verslo sąlygoms ir jo plėtrai. Lengvatos taikomos stambiems projektams aprėps ir itin aukštos pridėtinės vertės projektus kuriančius mažiau darbo vietų, nei numato šiuo metu galiojantis reguliavimas. Priėmus Įstatymų projektus taip pat pagerėtų Lietuvos Respublikos pozicijos konkuruojant su kitomis Europos Sąjungos valstybėmis dėl Stambių projektų. Įstatymų projektai teigiamai paveiktų tiek užsienio, tiek Lietuvos kapitalo investicijas. </w:t>
                    </w:r>
                  </w:p>
                  <w:p>
                    <w:pPr>
                      <w:ind w:firstLine="567"/>
                      <w:jc w:val="both"/>
                      <w:rPr>
                        <w:sz w:val="20"/>
                        <w:szCs w:val="24"/>
                        <w:lang w:val="en-GB" w:eastAsia="lt-LT"/>
                      </w:rPr>
                    </w:pPr>
                    <w:r>
                      <w:rPr>
                        <w:szCs w:val="24"/>
                      </w:rPr>
                      <w:t>Vertinama, kad Įstatymų pakeitimai paskatins šalyje vystyti daugiau naujų aukštos pridėtinės vertės Lietuvos ir užsienio kapitalo projektų (vidutiniškai po 2-3 naujus projektus per metus) kuriančių nuo 20 iki 149 darbo vietų (vidutiniškai po 85 darbo vietas), ypač šalies regionuose. Atsižvelgiant į Lietuvos darbo užmokesčio struktūros statistiką ir darbo užmokesčio reikalavimą tokiems projektams, vertinama, kad vidutinis darbo užmokestis šiuose projektuose bus ne mažesnis nei 1860 Eur/mėn. Pilnai įgyvendintas, vienas tokius parametrus atitinkantis projektas per metus tiesiogiai lemtų apie 400 tūkst. Eur papildomų Valstybinio socialinio draudimo fondo biudžeto pajamų ir 340 tūkst. Eur gyventojų pajamų mokesčio. Verta atkreipti dėmesį, kad be šių tiesioginių pajamų, valdžios sektorius gaus papildomas netiesiogines pajamas per projektų tarpinį vartojimą. Laukiama, kad Įstatymų projektais siūlomus Stambaus projekto kriterijus atitinkantys projektai pasižymės itin aukštu tarpiniu vartojimu. Vartodamas tarpines prekes ir paslaugas verslas bent dalį jų perka iš vietinių tiekėjų, taip dar labiau paskatindamas šalies ūkį bei kartu didindamas ir mokestinę bazę.</w:t>
                    </w:r>
                  </w:p>
                </w:tc>
              </w:tr>
            </w:tbl>
            <w:p>
              <w:pPr>
                <w:ind w:firstLine="567"/>
                <w:jc w:val="both"/>
                <w:rPr>
                  <w:color w:val="000000"/>
                  <w:szCs w:val="24"/>
                </w:rPr>
              </w:pPr>
            </w:p>
            <w:p>
              <w:pPr>
                <w:ind w:firstLine="720"/>
                <w:jc w:val="both"/>
                <w:rPr>
                  <w:color w:val="000000"/>
                  <w:szCs w:val="24"/>
                </w:rPr>
              </w:pPr>
              <w:r>
                <w:rPr>
                  <w:color w:val="000000"/>
                  <w:szCs w:val="24"/>
                </w:rPr>
                <w:t>Įstatymų projektai buvo patikslinti pagal Lietuvos Respublikos Vyriausybės kanceliarijos Teisės grupės pastabas, pateiktas 2023 m. rugsėjo 18 d. išvadoje Nr. NV-</w:t>
              </w:r>
              <w:r>
                <w:t xml:space="preserve"> </w:t>
              </w:r>
              <w:r>
                <w:rPr>
                  <w:color w:val="000000"/>
                  <w:szCs w:val="24"/>
                </w:rPr>
                <w:t xml:space="preserve">2304, pastabos suderintos darbo tvarka. </w:t>
              </w:r>
            </w:p>
            <w:p>
              <w:pPr>
                <w:ind w:firstLine="720"/>
                <w:jc w:val="both"/>
              </w:pPr>
              <w:r>
                <w:t xml:space="preserve">Nutarimo projektą parengė Ekonomikos ir inovacijų ministerijos Ekonominės plėtros grupės (grupės vadovė – Gina Jaugielavičienė, tel. 8 698 02 867, el. p. Gina.Jaugielaviciene@eimin.lt) patarėjas Žygimantas Račkys, tel. 8 636 75 197, el. p. zygimantas.rackys@eimin.lt. </w:t>
              </w:r>
            </w:p>
            <w:p>
              <w:pPr>
                <w:ind w:firstLine="720"/>
                <w:jc w:val="both"/>
              </w:pPr>
            </w:p>
            <w:p>
              <w:pPr>
                <w:ind w:firstLine="720"/>
                <w:jc w:val="both"/>
              </w:pPr>
              <w:r>
                <w:t>PRIDEDAMA:</w:t>
              </w:r>
            </w:p>
            <w:sdt>
              <w:sdtPr>
                <w:alias w:val="1 p."/>
                <w:tag w:val="part_b08570e8c3524195a0181b5c6a442fbd"/>
                <w:lock w:val="sdtLocked"/>
                <w:richText/>
              </w:sdtPr>
              <w:sdtContent>
                <w:p>
                  <w:pPr>
                    <w:ind w:left="1080" w:hanging="360"/>
                    <w:jc w:val="both"/>
                  </w:pPr>
                  <w:sdt>
                    <w:sdtPr>
                      <w:alias w:val="Numeris"/>
                      <w:tag w:val="nr_b08570e8c3524195a0181b5c6a442fbd"/>
                      <w:lock w:val="sdtLocked"/>
                      <w:richText/>
                    </w:sdtPr>
                    <w:sdtContent>
                      <w:r>
                        <w:t>1</w:t>
                      </w:r>
                    </w:sdtContent>
                  </w:sdt>
                  <w:r>
                    <w:t>.</w:t>
                    <w:tab/>
                    <w:t>Investicijų įstatymo pakeitimo įstatymo projektas ir lyginamasis variantas, 4 lapai;</w:t>
                  </w:r>
                </w:p>
              </w:sdtContent>
            </w:sdt>
            <w:sdt>
              <w:sdtPr>
                <w:alias w:val="2 p."/>
                <w:tag w:val="part_8bb9d63ae6304483acadf222ea101db4"/>
                <w:lock w:val="sdtLocked"/>
                <w:richText/>
              </w:sdtPr>
              <w:sdtContent>
                <w:p>
                  <w:pPr>
                    <w:ind w:left="1080" w:hanging="360"/>
                    <w:jc w:val="both"/>
                  </w:pPr>
                  <w:sdt>
                    <w:sdtPr>
                      <w:alias w:val="Numeris"/>
                      <w:tag w:val="nr_8bb9d63ae6304483acadf222ea101db4"/>
                      <w:lock w:val="sdtLocked"/>
                      <w:richText/>
                    </w:sdtPr>
                    <w:sdtContent>
                      <w:r>
                        <w:t>2</w:t>
                      </w:r>
                    </w:sdtContent>
                  </w:sdt>
                  <w:r>
                    <w:t>.</w:t>
                    <w:tab/>
                    <w:t>Pelno mokesčio įstatymo pakeitimo įstatymo projektas ir lyginamasis variantas, 6 lapai;</w:t>
                  </w:r>
                </w:p>
              </w:sdtContent>
            </w:sdt>
            <w:sdt>
              <w:sdtPr>
                <w:alias w:val="3 p."/>
                <w:tag w:val="part_07bf43537ff34958beaa2dc86143c23b"/>
                <w:lock w:val="sdtLocked"/>
                <w:richText/>
              </w:sdtPr>
              <w:sdtContent>
                <w:p>
                  <w:pPr>
                    <w:ind w:left="1080" w:hanging="360"/>
                    <w:jc w:val="both"/>
                  </w:pPr>
                  <w:sdt>
                    <w:sdtPr>
                      <w:alias w:val="Numeris"/>
                      <w:tag w:val="nr_07bf43537ff34958beaa2dc86143c23b"/>
                      <w:lock w:val="sdtLocked"/>
                      <w:richText/>
                    </w:sdtPr>
                    <w:sdtContent>
                      <w:r>
                        <w:t>3</w:t>
                      </w:r>
                    </w:sdtContent>
                  </w:sdt>
                  <w:r>
                    <w:t>.</w:t>
                    <w:tab/>
                    <w:t>Lietuvos Respublikos Vyriausybės nutarimo projektas, 1 lapas.</w:t>
                  </w:r>
                </w:p>
              </w:sdtContent>
            </w:sdt>
            <w:sdt>
              <w:sdtPr>
                <w:alias w:val="4 p."/>
                <w:tag w:val="part_92a81cf9b1ec4f43ae491c2277ef8e81"/>
                <w:lock w:val="sdtLocked"/>
                <w:richText/>
              </w:sdtPr>
              <w:sdtContent>
                <w:p>
                  <w:pPr>
                    <w:ind w:left="1080" w:hanging="360"/>
                    <w:jc w:val="both"/>
                  </w:pPr>
                  <w:sdt>
                    <w:sdtPr>
                      <w:alias w:val="Numeris"/>
                      <w:tag w:val="nr_92a81cf9b1ec4f43ae491c2277ef8e81"/>
                      <w:lock w:val="sdtLocked"/>
                      <w:richText/>
                    </w:sdtPr>
                    <w:sdtContent>
                      <w:r>
                        <w:t>4</w:t>
                      </w:r>
                    </w:sdtContent>
                  </w:sdt>
                  <w:r>
                    <w:t>.</w:t>
                    <w:tab/>
                    <w:t>Įstatymų projektų aiškinamasis raštas, 8 lapai;</w:t>
                  </w:r>
                </w:p>
              </w:sdtContent>
            </w:sdt>
            <w:sdt>
              <w:sdtPr>
                <w:alias w:val="5 p."/>
                <w:tag w:val="part_b3488a4152634378be950ed2de5ef69a"/>
                <w:lock w:val="sdtLocked"/>
                <w:richText/>
              </w:sdtPr>
              <w:sdtContent>
                <w:p>
                  <w:pPr>
                    <w:ind w:left="1080" w:hanging="360"/>
                    <w:jc w:val="both"/>
                  </w:pPr>
                  <w:sdt>
                    <w:sdtPr>
                      <w:alias w:val="Numeris"/>
                      <w:tag w:val="nr_b3488a4152634378be950ed2de5ef69a"/>
                      <w:lock w:val="sdtLocked"/>
                      <w:richText/>
                    </w:sdtPr>
                    <w:sdtContent>
                      <w:r>
                        <w:t>5</w:t>
                      </w:r>
                    </w:sdtContent>
                  </w:sdt>
                  <w:r>
                    <w:t>.</w:t>
                    <w:tab/>
                    <w:t xml:space="preserve">Numatomo teisinio reguliavimo poveikio vertinimo pažyma, </w:t>
                  </w:r>
                  <w:r>
                    <w:rPr>
                      <w:lang w:val="en-US"/>
                    </w:rPr>
                    <w:t>2</w:t>
                  </w:r>
                  <w:r>
                    <w:t xml:space="preserve"> lapai.</w:t>
                  </w:r>
                </w:p>
                <w:p>
                  <w:pPr>
                    <w:ind w:left="1080"/>
                    <w:jc w:val="both"/>
                  </w:pPr>
                </w:p>
                <w:p>
                  <w:pPr>
                    <w:ind w:firstLine="567"/>
                    <w:jc w:val="both"/>
                    <w:rPr>
                      <w:szCs w:val="24"/>
                    </w:rPr>
                  </w:pPr>
                </w:p>
                <w:p>
                  <w:pPr>
                    <w:ind w:firstLine="567"/>
                    <w:jc w:val="both"/>
                    <w:rPr>
                      <w:szCs w:val="24"/>
                    </w:rPr>
                  </w:pPr>
                </w:p>
              </w:sdtContent>
            </w:sdt>
          </w:sdtContent>
        </w:sdt>
        <w:sdt>
          <w:sdtPr>
            <w:alias w:val="signatura"/>
            <w:tag w:val="part_e1d3b0be0f97493a86b856aa1a766b38"/>
            <w:lock w:val="sdtLocked"/>
            <w:richText/>
          </w:sdtPr>
          <w:sdtContent>
            <w:p>
              <w:pPr>
                <w:rPr>
                  <w:szCs w:val="24"/>
                </w:rPr>
              </w:pPr>
              <w:r>
                <w:rPr>
                  <w:szCs w:val="24"/>
                </w:rPr>
                <w:t xml:space="preserve">Ekonomikos ir inovacijų ministrė                                                                           Aušrinė Armonaitė</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jc w:val="both"/>
                <w:rPr>
                  <w:sz w:val="20"/>
                </w:rPr>
              </w:pPr>
              <w:r>
                <w:rPr>
                  <w:sz w:val="20"/>
                </w:rPr>
                <w:t>Ž. Račkys, tel. 8 636 75 197, el. p. zygimantas.rackys@eimin.lt.</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276" w:right="566" w:bottom="1134" w:left="1701" w:header="709"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pPr>
      <w:r>
        <w:separator/>
      </w:r>
    </w:p>
  </w:endnote>
  <w:endnote w:type="continuationSeparator" w:id="0">
    <w:p>
      <w:pPr>
        <w:jc w:val="both"/>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7088"/>
        <w:tab w:val="left" w:pos="9072"/>
      </w:tabs>
      <w:jc w:val="both"/>
    </w:pPr>
    <w:r>
      <w:rPr>
        <w:lang w:val="en-US"/>
      </w:rPr>
      <mc:AlternateContent>
        <mc:Choice Requires="wps">
          <w:drawing>
            <wp:anchor distT="0" distB="0" distL="114300" distR="114300" simplePos="0" relativeHeight="251658240" behindDoc="0" locked="0" layoutInCell="1" allowOverlap="1" wp14:anchorId="3476E6F2" wp14:editId="5086A9CE">
              <wp:simplePos x="0" y="0"/>
              <wp:positionH relativeFrom="column">
                <wp:posOffset>4234816</wp:posOffset>
              </wp:positionH>
              <wp:positionV relativeFrom="paragraph">
                <wp:posOffset>-241300</wp:posOffset>
              </wp:positionV>
              <wp:extent cx="1562100" cy="523875"/>
              <wp:effectExtent l="0" t="0" r="0" b="9525"/>
              <wp:wrapNone/>
              <wp:docPr id="20" name="Teksto laukas 20"/>
              <wp:cNvGraphicFramePr/>
              <a:graphic xmlns:a="http://schemas.openxmlformats.org/drawingml/2006/main">
                <a:graphicData uri="http://schemas.microsoft.com/office/word/2010/wordprocessingShape">
                  <wps:wsp>
                    <wps:cNvSpPr txBox="1"/>
                    <wps:spPr>
                      <a:xfrm>
                        <a:off x="0" y="0"/>
                        <a:ext cx="1562100" cy="523875"/>
                      </a:xfrm>
                      <a:prstGeom prst="rect">
                        <a:avLst/>
                      </a:prstGeom>
                      <a:solidFill>
                        <a:schemeClr val="lt1"/>
                      </a:solidFill>
                      <a:ln w="6350">
                        <a:noFill/>
                      </a:ln>
                    </wps:spPr>
                    <wps:txbx>
                      <w:txbxConten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76E6F2" id="_x0000_t202" coordsize="21600,21600" o:spt="202" path="m,l,21600r21600,l21600,xe">
              <v:stroke joinstyle="miter"/>
              <v:path gradientshapeok="t" o:connecttype="rect"/>
            </v:shapetype>
            <v:shape id="Teksto laukas 20" o:spid="_x0000_s1026" type="#_x0000_t202" style="position:absolute;left:0;text-align:left;margin-left:333.45pt;margin-top:-19pt;width:123pt;height:4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5v6MRwIAAIAEAAAOAAAAZHJzL2Uyb0RvYy54bWysVFFv2jAQfp+0/2D5fQQo0C4iVIyKaRJq K8HUZ+M4JKrj8+yDhP36nR2grNvTtBfn7Dt/vvu+u0zv21qzg3K+ApPxQa/PmTIS8srsMv59s/x0 x5lHYXKhwaiMH5Xn97OPH6aNTdUQStC5coxAjE8bm/ES0aZJ4mWpauF7YJUhZwGuFkhbt0tyJxpC r3Uy7PcnSQMutw6k8p5OHzonn0X8olASn4rCK2Q645QbxtXFdRvWZDYV6c4JW1bylIb4hyxqURl6 9AL1IFCwvav+gKor6cBDgT0JdQJFUUkVa6BqBv131axLYVWshcjx9kKT/3+w8vHw7FiVZ3xI9BhR k0Yb9eoRmBb7V+EZnRNJjfUpxa4tRWP7BVoS+3zu6TDU3hauDl+qipGf8I4XilWLTIZL48lw0CeX JN94eHN3Ow4wydtt6zx+VVCzYGTckYSRWXFYeexCzyHhMQ+6ypeV1nET2kYttGMHQYJrjDkS+G9R 2rAm45ObcT8CGwjXO2RtKJdQa1dTsLDdticCtpAfqX4HXRt5K5cVJbkSHp+Fo76humgW8ImWQgM9 AieLsxLcz7+dh3iSk7ycNdSHGfc/9sIpzvQ3Q0J/HoxGBItxMxrfBpnctWd77TH7egFU+YCmzspo hnjUZ7NwUL/QyMzDq+QSRtLbGcezucBuOmjkpJrPYxC1qhW4MmsrA3RgOkiwaV+EsyedkBR+hHPH ivSdXF1suGlgvkcoqqhlILhj9cQ7tXnshtNIhjm63seotx/H7BcAAAD//wMAUEsDBBQABgAIAAAA IQBs5DKP4gAAAAoBAAAPAAAAZHJzL2Rvd25yZXYueG1sTI9NT8MwDIbvSPyHyEhc0JZu3cpWmk4I AZO4sfIhbllj2orGqZqsLf8ec4Kj7UevnzfbTbYVA/a+caRgMY9AIJXONFQpeCkeZhsQPmgyunWE Cr7Rwy4/P8t0atxIzzgcQiU4hHyqFdQhdKmUvqzRaj93HRLfPl1vdeCxr6Tp9cjhtpXLKEqk1Q3x h1p3eFdj+XU4WQUfV9X7k58eX8d4HXf3+6G4fjOFUpcX0+0NiIBT+IPhV5/VIWenozuR8aJVkCTJ llEFs3jDpZjYLpa8OSpYrdYg80z+r5D/AAAA//8DAFBLAQItABQABgAIAAAAIQC2gziS/gAAAOEB AAATAAAAAAAAAAAAAAAAAAAAAABbQ29udGVudF9UeXBlc10ueG1sUEsBAi0AFAAGAAgAAAAhADj9 If/WAAAAlAEAAAsAAAAAAAAAAAAAAAAALwEAAF9yZWxzLy5yZWxzUEsBAi0AFAAGAAgAAAAhAMTm /oxHAgAAgAQAAA4AAAAAAAAAAAAAAAAALgIAAGRycy9lMm9Eb2MueG1sUEsBAi0AFAAGAAgAAAAh AGzkMo/iAAAACgEAAA8AAAAAAAAAAAAAAAAAoQQAAGRycy9kb3ducmV2LnhtbFBLBQYAAAAABAAE APMAAACwBQAAAAA= " fillcolor="white [3201]" stroked="f" strokeweight=".5pt">
              <v:textbox>
                <w:txbxContent>
                  <w:p w14:paraId="24160374" w14:textId="77777777"/>
                  <w:pPr>
                    <w:jc w:val="both"/>
                    <w:rPr>
                      <w:rFonts w:ascii="Times New Roman" w:hAnsi="Times New Roman" w:eastAsia="Times New Roman" w:cs="Times New Roman"/>
                    </w:rPr>
                  </w:pPr>
                </w:txbxContent>
              </v:textbox>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pPr>
      <w:r>
        <w:separator/>
      </w:r>
    </w:p>
  </w:footnote>
  <w:footnote w:type="continuationSeparator" w:id="0">
    <w:p>
      <w:pPr>
        <w:jc w:val="both"/>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 w:val="23"/>
        <w:szCs w:val="23"/>
      </w:rPr>
    </w:pPr>
    <w:r>
      <w:rPr>
        <w:sz w:val="23"/>
        <w:szCs w:val="23"/>
      </w:rPr>
      <w:fldChar w:fldCharType="begin"/>
    </w:r>
    <w:r>
      <w:rPr>
        <w:sz w:val="23"/>
        <w:szCs w:val="23"/>
      </w:rPr>
      <w:instrText xml:space="preserve"> PAGE </w:instrText>
    </w:r>
    <w:r>
      <w:rPr>
        <w:sz w:val="23"/>
        <w:szCs w:val="23"/>
      </w:rPr>
      <w:fldChar w:fldCharType="separate"/>
    </w:r>
    <w:r>
      <w:rPr>
        <w:sz w:val="23"/>
        <w:szCs w:val="23"/>
      </w:rPr>
      <w:t>5</w:t>
    </w:r>
    <w:r>
      <w:rPr>
        <w:sz w:val="23"/>
        <w:szCs w:val="23"/>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29A"/>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E45EAD54-6EE0-41A3-9D90-613C1FBB25D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959282">
      <w:bodyDiv w:val="1"/>
      <w:marLeft w:val="0"/>
      <w:marRight w:val="0"/>
      <w:marTop w:val="0"/>
      <w:marBottom w:val="0"/>
      <w:divBdr>
        <w:top w:val="none" w:sz="0" w:space="0" w:color="auto"/>
        <w:left w:val="none" w:sz="0" w:space="0" w:color="auto"/>
        <w:bottom w:val="none" w:sz="0" w:space="0" w:color="auto"/>
        <w:right w:val="none" w:sz="0" w:space="0" w:color="auto"/>
      </w:divBdr>
    </w:div>
    <w:div w:id="143818507">
      <w:bodyDiv w:val="1"/>
      <w:marLeft w:val="0"/>
      <w:marRight w:val="0"/>
      <w:marTop w:val="0"/>
      <w:marBottom w:val="0"/>
      <w:divBdr>
        <w:top w:val="none" w:sz="0" w:space="0" w:color="auto"/>
        <w:left w:val="none" w:sz="0" w:space="0" w:color="auto"/>
        <w:bottom w:val="none" w:sz="0" w:space="0" w:color="auto"/>
        <w:right w:val="none" w:sz="0" w:space="0" w:color="auto"/>
      </w:divBdr>
    </w:div>
    <w:div w:id="174853393">
      <w:bodyDiv w:val="1"/>
      <w:marLeft w:val="0"/>
      <w:marRight w:val="0"/>
      <w:marTop w:val="0"/>
      <w:marBottom w:val="0"/>
      <w:divBdr>
        <w:top w:val="none" w:sz="0" w:space="0" w:color="auto"/>
        <w:left w:val="none" w:sz="0" w:space="0" w:color="auto"/>
        <w:bottom w:val="none" w:sz="0" w:space="0" w:color="auto"/>
        <w:right w:val="none" w:sz="0" w:space="0" w:color="auto"/>
      </w:divBdr>
    </w:div>
    <w:div w:id="218974970">
      <w:bodyDiv w:val="1"/>
      <w:marLeft w:val="0"/>
      <w:marRight w:val="0"/>
      <w:marTop w:val="0"/>
      <w:marBottom w:val="0"/>
      <w:divBdr>
        <w:top w:val="none" w:sz="0" w:space="0" w:color="auto"/>
        <w:left w:val="none" w:sz="0" w:space="0" w:color="auto"/>
        <w:bottom w:val="none" w:sz="0" w:space="0" w:color="auto"/>
        <w:right w:val="none" w:sz="0" w:space="0" w:color="auto"/>
      </w:divBdr>
      <w:divsChild>
        <w:div w:id="1100179836">
          <w:marLeft w:val="0"/>
          <w:marRight w:val="0"/>
          <w:marTop w:val="0"/>
          <w:marBottom w:val="0"/>
          <w:divBdr>
            <w:top w:val="none" w:sz="0" w:space="0" w:color="auto"/>
            <w:left w:val="none" w:sz="0" w:space="0" w:color="auto"/>
            <w:bottom w:val="none" w:sz="0" w:space="0" w:color="auto"/>
            <w:right w:val="none" w:sz="0" w:space="0" w:color="auto"/>
          </w:divBdr>
          <w:divsChild>
            <w:div w:id="2108383801">
              <w:marLeft w:val="0"/>
              <w:marRight w:val="0"/>
              <w:marTop w:val="0"/>
              <w:marBottom w:val="0"/>
              <w:divBdr>
                <w:top w:val="none" w:sz="0" w:space="0" w:color="auto"/>
                <w:left w:val="none" w:sz="0" w:space="0" w:color="auto"/>
                <w:bottom w:val="none" w:sz="0" w:space="0" w:color="auto"/>
                <w:right w:val="none" w:sz="0" w:space="0" w:color="auto"/>
              </w:divBdr>
              <w:divsChild>
                <w:div w:id="1888255542">
                  <w:marLeft w:val="0"/>
                  <w:marRight w:val="0"/>
                  <w:marTop w:val="0"/>
                  <w:marBottom w:val="0"/>
                  <w:divBdr>
                    <w:top w:val="none" w:sz="0" w:space="0" w:color="auto"/>
                    <w:left w:val="none" w:sz="0" w:space="0" w:color="auto"/>
                    <w:bottom w:val="none" w:sz="0" w:space="0" w:color="auto"/>
                    <w:right w:val="none" w:sz="0" w:space="0" w:color="auto"/>
                  </w:divBdr>
                  <w:divsChild>
                    <w:div w:id="173207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7058711">
      <w:bodyDiv w:val="1"/>
      <w:marLeft w:val="0"/>
      <w:marRight w:val="0"/>
      <w:marTop w:val="0"/>
      <w:marBottom w:val="0"/>
      <w:divBdr>
        <w:top w:val="none" w:sz="0" w:space="0" w:color="auto"/>
        <w:left w:val="none" w:sz="0" w:space="0" w:color="auto"/>
        <w:bottom w:val="none" w:sz="0" w:space="0" w:color="auto"/>
        <w:right w:val="none" w:sz="0" w:space="0" w:color="auto"/>
      </w:divBdr>
    </w:div>
    <w:div w:id="276177512">
      <w:bodyDiv w:val="1"/>
      <w:marLeft w:val="0"/>
      <w:marRight w:val="0"/>
      <w:marTop w:val="0"/>
      <w:marBottom w:val="0"/>
      <w:divBdr>
        <w:top w:val="none" w:sz="0" w:space="0" w:color="auto"/>
        <w:left w:val="none" w:sz="0" w:space="0" w:color="auto"/>
        <w:bottom w:val="none" w:sz="0" w:space="0" w:color="auto"/>
        <w:right w:val="none" w:sz="0" w:space="0" w:color="auto"/>
      </w:divBdr>
    </w:div>
    <w:div w:id="276832968">
      <w:bodyDiv w:val="1"/>
      <w:marLeft w:val="0"/>
      <w:marRight w:val="0"/>
      <w:marTop w:val="0"/>
      <w:marBottom w:val="0"/>
      <w:divBdr>
        <w:top w:val="none" w:sz="0" w:space="0" w:color="auto"/>
        <w:left w:val="none" w:sz="0" w:space="0" w:color="auto"/>
        <w:bottom w:val="none" w:sz="0" w:space="0" w:color="auto"/>
        <w:right w:val="none" w:sz="0" w:space="0" w:color="auto"/>
      </w:divBdr>
    </w:div>
    <w:div w:id="576137264">
      <w:bodyDiv w:val="1"/>
      <w:marLeft w:val="0"/>
      <w:marRight w:val="0"/>
      <w:marTop w:val="0"/>
      <w:marBottom w:val="0"/>
      <w:divBdr>
        <w:top w:val="none" w:sz="0" w:space="0" w:color="auto"/>
        <w:left w:val="none" w:sz="0" w:space="0" w:color="auto"/>
        <w:bottom w:val="none" w:sz="0" w:space="0" w:color="auto"/>
        <w:right w:val="none" w:sz="0" w:space="0" w:color="auto"/>
      </w:divBdr>
    </w:div>
    <w:div w:id="1077096225">
      <w:bodyDiv w:val="1"/>
      <w:marLeft w:val="0"/>
      <w:marRight w:val="0"/>
      <w:marTop w:val="0"/>
      <w:marBottom w:val="0"/>
      <w:divBdr>
        <w:top w:val="none" w:sz="0" w:space="0" w:color="auto"/>
        <w:left w:val="none" w:sz="0" w:space="0" w:color="auto"/>
        <w:bottom w:val="none" w:sz="0" w:space="0" w:color="auto"/>
        <w:right w:val="none" w:sz="0" w:space="0" w:color="auto"/>
      </w:divBdr>
    </w:div>
    <w:div w:id="1143155987">
      <w:bodyDiv w:val="1"/>
      <w:marLeft w:val="0"/>
      <w:marRight w:val="0"/>
      <w:marTop w:val="0"/>
      <w:marBottom w:val="0"/>
      <w:divBdr>
        <w:top w:val="none" w:sz="0" w:space="0" w:color="auto"/>
        <w:left w:val="none" w:sz="0" w:space="0" w:color="auto"/>
        <w:bottom w:val="none" w:sz="0" w:space="0" w:color="auto"/>
        <w:right w:val="none" w:sz="0" w:space="0" w:color="auto"/>
      </w:divBdr>
    </w:div>
    <w:div w:id="1524319199">
      <w:bodyDiv w:val="1"/>
      <w:marLeft w:val="0"/>
      <w:marRight w:val="0"/>
      <w:marTop w:val="0"/>
      <w:marBottom w:val="0"/>
      <w:divBdr>
        <w:top w:val="none" w:sz="0" w:space="0" w:color="auto"/>
        <w:left w:val="none" w:sz="0" w:space="0" w:color="auto"/>
        <w:bottom w:val="none" w:sz="0" w:space="0" w:color="auto"/>
        <w:right w:val="none" w:sz="0" w:space="0" w:color="auto"/>
      </w:divBdr>
    </w:div>
    <w:div w:id="1890146873">
      <w:bodyDiv w:val="1"/>
      <w:marLeft w:val="0"/>
      <w:marRight w:val="0"/>
      <w:marTop w:val="0"/>
      <w:marBottom w:val="0"/>
      <w:divBdr>
        <w:top w:val="none" w:sz="0" w:space="0" w:color="auto"/>
        <w:left w:val="none" w:sz="0" w:space="0" w:color="auto"/>
        <w:bottom w:val="none" w:sz="0" w:space="0" w:color="auto"/>
        <w:right w:val="none" w:sz="0" w:space="0" w:color="auto"/>
      </w:divBdr>
    </w:div>
    <w:div w:id="2043287396">
      <w:bodyDiv w:val="1"/>
      <w:marLeft w:val="0"/>
      <w:marRight w:val="0"/>
      <w:marTop w:val="0"/>
      <w:marBottom w:val="0"/>
      <w:divBdr>
        <w:top w:val="none" w:sz="0" w:space="0" w:color="auto"/>
        <w:left w:val="none" w:sz="0" w:space="0" w:color="auto"/>
        <w:bottom w:val="none" w:sz="0" w:space="0" w:color="auto"/>
        <w:right w:val="none" w:sz="0" w:space="0" w:color="auto"/>
      </w:divBdr>
    </w:div>
    <w:div w:id="2058386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BD2F29E5B5F542949C1C4026C45AF4" ma:contentTypeVersion="15" ma:contentTypeDescription="Create a new document." ma:contentTypeScope="" ma:versionID="0be46fb6899aee8de7252eab90945ebf">
  <xsd:schema xmlns:xsd="http://www.w3.org/2001/XMLSchema" xmlns:xs="http://www.w3.org/2001/XMLSchema" xmlns:p="http://schemas.microsoft.com/office/2006/metadata/properties" xmlns:ns1="http://schemas.microsoft.com/sharepoint/v3" xmlns:ns2="752a3dfa-8898-408b-92ab-8ef9575acc10" xmlns:ns3="8afa0e58-a02a-4d05-8508-1c92ad068056" targetNamespace="http://schemas.microsoft.com/office/2006/metadata/properties" ma:root="true" ma:fieldsID="b33e37d24b1009ed4786771c4d356162" ns1:_="" ns2:_="" ns3:_="">
    <xsd:import namespace="http://schemas.microsoft.com/sharepoint/v3"/>
    <xsd:import namespace="752a3dfa-8898-408b-92ab-8ef9575acc10"/>
    <xsd:import namespace="8afa0e58-a02a-4d05-8508-1c92ad06805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2a3dfa-8898-408b-92ab-8ef9575acc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afa0e58-a02a-4d05-8508-1c92ad06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8afa0e58-a02a-4d05-8508-1c92ad068056">
      <UserInfo>
        <DisplayName/>
        <AccountId xsi:nil="true"/>
        <AccountType/>
      </UserInfo>
    </SharedWithUsers>
    <MediaLengthInSeconds xmlns="752a3dfa-8898-408b-92ab-8ef9575acc1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732cdabccdca4c818abf8decf71b4c28" PartId="b0d413766c0c45279bfdbac2a2e7379f">
    <Part Type="skirsnis" Title="DĖL LIETUVOS RESPUBLIKOS INVESTICIJŲ ĮSTATYMO NR. VIII-1312 2, 12, 13¹ IR 15⁴ STRAIPSNIŲ PAKEITIMO ĮSTATYMO IR LIETUVOS RESPUBLIKOS PELNO MOKESČIO ĮSTATYMO NR. IX-675 58 STRAIPSNIO PAKEITIMO ĮSTATYMO PROJEKTŲ TEIKIMO" DocPartId="060ee0c008f0452abf3ebc6e2b798007" PartId="e0cbf170849a40279f71e3be838784ad">
      <Part Type="punktas" Nr="1" Abbr="1 p." DocPartId="b3a4c48ec50548aab9938346ed9c91dc" PartId="b08570e8c3524195a0181b5c6a442fbd"/>
      <Part Type="punktas" Nr="2" Abbr="2 p." DocPartId="ecfa0258c0a7451ba03a437ce30bea1d" PartId="8bb9d63ae6304483acadf222ea101db4"/>
      <Part Type="punktas" Nr="3" Abbr="3 p." DocPartId="d6c1d2812e1847e8af4822c4a2483965" PartId="07bf43537ff34958beaa2dc86143c23b"/>
      <Part Type="punktas" Nr="4" Abbr="4 p." DocPartId="c93aad9aa50848f6902cff7a1f927465" PartId="92a81cf9b1ec4f43ae491c2277ef8e81"/>
      <Part Type="punktas" Nr="5" Abbr="5 p." DocPartId="0286cf098e3b4c4388790545bcd42a48" PartId="b3488a4152634378be950ed2de5ef69a"/>
    </Part>
    <Part Type="signatura" DocPartId="f889a7b65bca4b84be3157549a342f44" PartId="e1d3b0be0f97493a86b856aa1a766b38"/>
  </Part>
</Parts>
</file>

<file path=customXml/itemProps1.xml><?xml version="1.0" encoding="utf-8"?>
<ds:datastoreItem xmlns:ds="http://schemas.openxmlformats.org/officeDocument/2006/customXml" ds:itemID="{8C80A88D-A286-4575-BF99-FC08D7246C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2a3dfa-8898-408b-92ab-8ef9575acc10"/>
    <ds:schemaRef ds:uri="8afa0e58-a02a-4d05-8508-1c92ad0680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519F2-F9DB-42E2-85E1-7FE4BA838D2F}">
  <ds:schemaRefs>
    <ds:schemaRef ds:uri="http://schemas.microsoft.com/sharepoint/v3/contenttype/forms"/>
  </ds:schemaRefs>
</ds:datastoreItem>
</file>

<file path=customXml/itemProps3.xml><?xml version="1.0" encoding="utf-8"?>
<ds:datastoreItem xmlns:ds="http://schemas.openxmlformats.org/officeDocument/2006/customXml" ds:itemID="{0BC0BA87-092B-412E-B2C6-E20FFFC625F2}">
  <ds:schemaRefs>
    <ds:schemaRef ds:uri="http://schemas.microsoft.com/office/2006/metadata/properties"/>
    <ds:schemaRef ds:uri="http://schemas.microsoft.com/office/infopath/2007/PartnerControls"/>
    <ds:schemaRef ds:uri="http://schemas.microsoft.com/sharepoint/v3"/>
    <ds:schemaRef ds:uri="8afa0e58-a02a-4d05-8508-1c92ad068056"/>
    <ds:schemaRef ds:uri="752a3dfa-8898-408b-92ab-8ef9575acc10"/>
  </ds:schemaRefs>
</ds:datastoreItem>
</file>

<file path=customXml/itemProps4.xml><?xml version="1.0" encoding="utf-8"?>
<ds:datastoreItem xmlns:ds="http://schemas.openxmlformats.org/officeDocument/2006/customXml" ds:itemID="{F45FCD86-7BDC-430A-A655-138DA10869D9}">
  <ds:schemaRefs>
    <ds:schemaRef ds:uri="http://schemas.openxmlformats.org/officeDocument/2006/bibliography"/>
  </ds:schemaRefs>
</ds:datastoreItem>
</file>

<file path=customXml/itemProps5.xml><?xml version="1.0" encoding="utf-8"?>
<ds:datastoreItem xmlns:ds="http://schemas.openxmlformats.org/officeDocument/2006/customXml" ds:itemID="{6A0A690D-C31A-4D71-AF8B-D7679AF6DB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1676</Words>
  <Characters>11736</Characters>
  <Application>Microsoft Office Word</Application>
  <DocSecurity>4</DocSecurity>
  <Lines>221</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KPC</Company>
  <LinksUpToDate>false</LinksUpToDate>
  <CharactersWithSpaces>13367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2023-09-29T11:04:00Z</dcterms:created>
  <dc:creator>Brazeviciute Justina</dc:creator>
  <lastModifiedBy>adlibuser</lastModifiedBy>
  <lastPrinted>2020-07-27T11:25:00Z</lastPrinted>
  <dcterms:modified xsi:type="dcterms:W3CDTF">2023-09-29T11:04:00Z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0x01010042BD2F29E5B5F542949C1C4026C45AF4</vt:lpwstr>
  </property>
  <property fmtid="{D5CDD505-2E9C-101B-9397-08002B2CF9AE}" pid="3" name="Order">
    <vt:r8>1225000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