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extensions/taskpanes.xml" ContentType="application/vnd.ms-office.webextensiontaskpanes+xml"/>
  <Override PartName="/word/webextensions/webextension1.xml" ContentType="application/vnd.ms-office.webextension+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2" Type="http://schemas.microsoft.com/office/2011/relationships/webextensiontaskpanes" Target="word/webextensions/taskpanes.xml"/>
  <Relationship Id="rId4" Type="http://schemas.openxmlformats.org/officeDocument/2006/relationships/extended-properties" Target="docProps/app.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ba6aaa4f29f4466bb33b1d7e230c625"/>
        <w:lock w:val="sdtLocked"/>
        <w:richText/>
      </w:sdtPr>
      <w:sdtContent>
        <w:p>
          <w:pPr>
            <w:keepNext/>
            <w:ind w:left="6480" w:firstLine="1296"/>
            <w:outlineLvl w:val="2"/>
            <w:rPr>
              <w:b/>
              <w:bCs/>
              <w:szCs w:val="24"/>
            </w:rPr>
          </w:pPr>
          <w:r>
            <w:rPr>
              <w:b/>
              <w:bCs/>
              <w:szCs w:val="24"/>
            </w:rPr>
            <w:t xml:space="preserve">Projektas </w:t>
          </w:r>
        </w:p>
        <w:p>
          <w:pPr>
            <w:ind w:left="6480" w:firstLine="1296"/>
            <w:jc w:val="both"/>
            <w:rPr>
              <w:szCs w:val="24"/>
            </w:rPr>
          </w:pPr>
          <w:r>
            <w:rPr>
              <w:szCs w:val="24"/>
            </w:rPr>
            <w:t xml:space="preserve">Nr. TSP-       </w:t>
          </w:r>
        </w:p>
        <w:p>
          <w:pPr>
            <w:rPr>
              <w:sz w:val="20"/>
            </w:rPr>
          </w:pPr>
        </w:p>
        <w:p>
          <w:pPr>
            <w:keepNext/>
            <w:jc w:val="center"/>
            <w:outlineLvl w:val="2"/>
            <w:rPr>
              <w:b/>
              <w:bCs/>
              <w:szCs w:val="24"/>
            </w:rPr>
          </w:pPr>
          <w:r>
            <w:rPr>
              <w:b/>
              <w:bCs/>
              <w:szCs w:val="24"/>
            </w:rPr>
            <w:t>RADVILIŠKIO RAJONO SAVIVALDYBĖS TARYBA</w:t>
          </w:r>
        </w:p>
        <w:p>
          <w:pPr>
            <w:rPr>
              <w:sz w:val="6"/>
              <w:szCs w:val="6"/>
            </w:rPr>
          </w:pPr>
        </w:p>
        <w:p>
          <w:pPr>
            <w:ind w:firstLine="851"/>
            <w:jc w:val="both"/>
            <w:rPr>
              <w:szCs w:val="24"/>
            </w:rPr>
          </w:pPr>
        </w:p>
        <w:p>
          <w:pPr>
            <w:keepNext/>
            <w:jc w:val="center"/>
            <w:rPr>
              <w:b/>
              <w:szCs w:val="24"/>
            </w:rPr>
          </w:pPr>
          <w:r>
            <w:rPr>
              <w:b/>
              <w:szCs w:val="24"/>
            </w:rPr>
            <w:t>SPRENDIMAS</w:t>
          </w:r>
        </w:p>
        <w:p>
          <w:pPr>
            <w:keepNext/>
            <w:jc w:val="center"/>
          </w:pPr>
          <w:r>
            <w:rPr>
              <w:b/>
              <w:szCs w:val="24"/>
            </w:rPr>
            <w:t>DĖL</w:t>
          </w:r>
          <w:r>
            <w:rPr>
              <w:b/>
              <w:szCs w:val="24"/>
              <w:lang w:eastAsia="lt-LT"/>
            </w:rPr>
            <w:t xml:space="preserve"> RADVILIŠKIO RAJONO SAVIVALYBĖS TARYBOS 2014 M. GRUODŽIO 18 D. SPRENDIMO NR. T-932 „DĖL VIETINĖS RINKLIAVOS UŽ LEIDIMO ĮRENGTI IŠORINĘ REKLAMĄ RADVILIŠKIO RAJONO SAVIVALYBĖS TERITORIJOJE IŠDAVIMĄ NUOSTATŲ PATVIRTINIMO“ PAKEITIMO</w:t>
          </w:r>
        </w:p>
        <w:p>
          <w:pPr>
            <w:rPr>
              <w:sz w:val="20"/>
            </w:rPr>
          </w:pPr>
        </w:p>
        <w:p>
          <w:pPr>
            <w:jc w:val="center"/>
            <w:outlineLvl w:val="4"/>
            <w:rPr>
              <w:bCs/>
              <w:iCs/>
              <w:szCs w:val="24"/>
              <w:lang w:eastAsia="lt-LT"/>
            </w:rPr>
          </w:pPr>
          <w:r>
            <w:rPr>
              <w:bCs/>
              <w:iCs/>
              <w:szCs w:val="24"/>
              <w:lang w:eastAsia="lt-LT"/>
            </w:rPr>
            <w:t xml:space="preserve">2025 m.                        d. Nr. T-</w:t>
          </w:r>
        </w:p>
        <w:p>
          <w:pPr>
            <w:rPr>
              <w:sz w:val="6"/>
              <w:szCs w:val="6"/>
            </w:rPr>
          </w:pPr>
        </w:p>
        <w:p>
          <w:pPr>
            <w:jc w:val="center"/>
            <w:rPr>
              <w:szCs w:val="24"/>
            </w:rPr>
          </w:pPr>
          <w:r>
            <w:rPr>
              <w:szCs w:val="24"/>
            </w:rPr>
            <w:t>Radviliškis</w:t>
          </w:r>
        </w:p>
        <w:p>
          <w:pPr>
            <w:jc w:val="both"/>
            <w:rPr>
              <w:szCs w:val="24"/>
            </w:rPr>
          </w:pPr>
        </w:p>
        <w:sdt>
          <w:sdtPr>
            <w:alias w:val="preambule"/>
            <w:tag w:val="part_7606feb5115444f48c53012977618a22"/>
            <w:lock w:val="sdtLocked"/>
            <w:richText/>
          </w:sdtPr>
          <w:sdtContent>
            <w:p>
              <w:pPr>
                <w:ind w:firstLine="851"/>
                <w:jc w:val="both"/>
                <w:rPr>
                  <w:spacing w:val="40"/>
                  <w:szCs w:val="24"/>
                  <w:lang w:eastAsia="lt-LT"/>
                </w:rPr>
              </w:pPr>
              <w:r>
                <w:rPr>
                  <w:szCs w:val="24"/>
                </w:rPr>
                <w:t xml:space="preserve">Vadovaudamasi Lietuvos Respublikos vietos savivaldos įstatymo 15 straipsnio 4 dalimi, Lietuvos Respublikos rinkliavų įstatymo 11 straipsnio 1 dalies 3 punktu, Išorinės reklamos įrengimo taisyklių, patvirtintų Lietuvos Respublikos ūkio ministro 2013 m. liepos 30 d. įsakymu Nr. 4-670 „Dėl išorinės reklamos įrengimo taisyklių patvirtinimo“ 34 punktu ir atsižvelgdama į </w:t>
              </w:r>
              <w:r>
                <w:rPr>
                  <w:bCs/>
                  <w:szCs w:val="24"/>
                </w:rPr>
                <w:t>Radviliškio rajono savivaldybės Kontrolės ir audito tarnybos 2025 m. sausio 21 d. atitikties audito ataskaitos Nr. VA-1-(5.2 E) „Radviliškio rajono savivaldybės vietinė rinkliava (išskyrus rinkliavą už komunalinių atliekų surinkimą)</w:t>
              </w:r>
              <w:r>
                <w:rPr>
                  <w:szCs w:val="24"/>
                </w:rPr>
                <w:t xml:space="preserve">“, rekomendacijas, Radviliškio rajono savivaldybės taryba </w:t>
              </w:r>
              <w:r>
                <w:rPr>
                  <w:spacing w:val="50"/>
                  <w:szCs w:val="24"/>
                  <w:lang w:eastAsia="lt-LT"/>
                </w:rPr>
                <w:t>nusprendži</w:t>
              </w:r>
              <w:r>
                <w:rPr>
                  <w:szCs w:val="24"/>
                  <w:lang w:eastAsia="lt-LT"/>
                </w:rPr>
                <w:t>a</w:t>
              </w:r>
              <w:r>
                <w:rPr>
                  <w:spacing w:val="40"/>
                  <w:szCs w:val="24"/>
                  <w:lang w:eastAsia="lt-LT"/>
                </w:rPr>
                <w:t>:</w:t>
              </w:r>
            </w:p>
          </w:sdtContent>
        </w:sdt>
        <w:sdt>
          <w:sdtPr>
            <w:alias w:val="1 p."/>
            <w:tag w:val="part_c2b3619e4fad424289bb6d770381421e"/>
            <w:lock w:val="sdtLocked"/>
            <w:richText/>
          </w:sdtPr>
          <w:sdtContent>
            <w:p>
              <w:pPr>
                <w:tabs>
                  <w:tab w:val="left" w:pos="993"/>
                </w:tabs>
                <w:ind w:firstLine="567"/>
                <w:jc w:val="both"/>
                <w:rPr>
                  <w:szCs w:val="24"/>
                </w:rPr>
              </w:pPr>
              <w:sdt>
                <w:sdtPr>
                  <w:alias w:val="Numeris"/>
                  <w:tag w:val="nr_c2b3619e4fad424289bb6d770381421e"/>
                  <w:lock w:val="sdtLocked"/>
                  <w:richText/>
                </w:sdtPr>
                <w:sdtContent>
                  <w:r>
                    <w:rPr>
                      <w:szCs w:val="24"/>
                    </w:rPr>
                    <w:t>1</w:t>
                  </w:r>
                </w:sdtContent>
              </w:sdt>
              <w:r>
                <w:rPr>
                  <w:szCs w:val="24"/>
                </w:rPr>
                <w:t>.</w:t>
                <w:tab/>
                <w:t>Pakeisti</w:t>
              </w:r>
              <w:r>
                <w:rPr>
                  <w:spacing w:val="50"/>
                  <w:szCs w:val="24"/>
                </w:rPr>
                <w:t xml:space="preserve"> </w:t>
              </w:r>
              <w:r>
                <w:rPr>
                  <w:szCs w:val="24"/>
                </w:rPr>
                <w:t>Vietinės rinkliavos už leidimo įrengti išorinę reklamą Radviliškio rajono savivaldybės teritorijoje išdavimą nuostatų (toliau – Nuostatai), patvirtintų Radviliškio rajono savivaldybės tarybos 2014 m. gruodžio 18 d. sprendimu Nr. T-932 „Dėl vietinės rinkliavos už leidimo įrengti išorinę reklamą Radviliškio rajono savivaldybės teritorijoje išdavimą nuostatų patvirtinimo“:</w:t>
              </w:r>
            </w:p>
            <w:sdt>
              <w:sdtPr>
                <w:alias w:val="1.1 pp."/>
                <w:tag w:val="part_23d0a31aab6b4e0faebf2c76d25f5391"/>
                <w:lock w:val="sdtLocked"/>
                <w:richText/>
              </w:sdtPr>
              <w:sdtContent>
                <w:p>
                  <w:pPr>
                    <w:tabs>
                      <w:tab w:val="left" w:pos="993"/>
                    </w:tabs>
                    <w:ind w:firstLine="567"/>
                    <w:jc w:val="both"/>
                    <w:rPr>
                      <w:szCs w:val="24"/>
                    </w:rPr>
                  </w:pPr>
                  <w:sdt>
                    <w:sdtPr>
                      <w:alias w:val="Numeris"/>
                      <w:tag w:val="nr_23d0a31aab6b4e0faebf2c76d25f5391"/>
                      <w:lock w:val="sdtLocked"/>
                      <w:richText/>
                    </w:sdtPr>
                    <w:sdtContent>
                      <w:r>
                        <w:rPr>
                          <w:szCs w:val="24"/>
                        </w:rPr>
                        <w:t>1.1</w:t>
                      </w:r>
                    </w:sdtContent>
                  </w:sdt>
                  <w:r>
                    <w:rPr>
                      <w:szCs w:val="24"/>
                    </w:rPr>
                    <w:t>. Pakeisti Nuostatų 11 punktą ir jį išdėstyti taip:</w:t>
                  </w:r>
                </w:p>
                <w:sdt>
                  <w:sdtPr>
                    <w:alias w:val="citata"/>
                    <w:tag w:val="part_1b2ec235bba54329bcc4bb0bb515640c"/>
                    <w:lock w:val="sdtLocked"/>
                    <w:richText/>
                  </w:sdtPr>
                  <w:sdtContent>
                    <w:sdt>
                      <w:sdtPr>
                        <w:alias w:val="11 p."/>
                        <w:tag w:val="part_dc195562a8034db9b2ed6dee46407c6c"/>
                        <w:lock w:val="sdtLocked"/>
                        <w:richText/>
                      </w:sdtPr>
                      <w:sdtContent>
                        <w:p>
                          <w:pPr>
                            <w:tabs>
                              <w:tab w:val="left" w:pos="993"/>
                            </w:tabs>
                            <w:ind w:firstLine="567"/>
                            <w:jc w:val="both"/>
                            <w:rPr>
                              <w:szCs w:val="24"/>
                            </w:rPr>
                          </w:pPr>
                          <w:r>
                            <w:rPr>
                              <w:szCs w:val="24"/>
                            </w:rPr>
                            <w:t>„</w:t>
                          </w:r>
                          <w:sdt>
                            <w:sdtPr>
                              <w:alias w:val="Numeris"/>
                              <w:tag w:val="nr_dc195562a8034db9b2ed6dee46407c6c"/>
                              <w:lock w:val="sdtLocked"/>
                              <w:richText/>
                            </w:sdtPr>
                            <w:sdtContent>
                              <w:r>
                                <w:rPr>
                                  <w:szCs w:val="24"/>
                                </w:rPr>
                                <w:t>11</w:t>
                              </w:r>
                            </w:sdtContent>
                          </w:sdt>
                          <w:r>
                            <w:rPr>
                              <w:szCs w:val="24"/>
                            </w:rPr>
                            <w:t>. Rinkliava už leidimo išdavimą turi būti sumokėta iki leidimo išdavimo. Rinkliavos sumokėjimą patvirtina reklaminės veiklos subjektų pateikti mokamieji pavedimai su bankų žymomis, kvitai arba Rinkliavos užskaitymas savivaldybės administracijos iždo sąskaitoje.“</w:t>
                          </w:r>
                        </w:p>
                      </w:sdtContent>
                    </w:sdt>
                  </w:sdtContent>
                </w:sdt>
              </w:sdtContent>
            </w:sdt>
            <w:sdt>
              <w:sdtPr>
                <w:alias w:val="1.2 pp."/>
                <w:tag w:val="part_bdee3985a2284e05a09176a8bafc948f"/>
                <w:lock w:val="sdtLocked"/>
                <w:richText/>
              </w:sdtPr>
              <w:sdtContent>
                <w:p>
                  <w:pPr>
                    <w:tabs>
                      <w:tab w:val="left" w:pos="993"/>
                    </w:tabs>
                    <w:ind w:firstLine="567"/>
                    <w:jc w:val="both"/>
                    <w:rPr>
                      <w:szCs w:val="24"/>
                    </w:rPr>
                  </w:pPr>
                  <w:sdt>
                    <w:sdtPr>
                      <w:alias w:val="Numeris"/>
                      <w:tag w:val="nr_bdee3985a2284e05a09176a8bafc948f"/>
                      <w:lock w:val="sdtLocked"/>
                      <w:richText/>
                    </w:sdtPr>
                    <w:sdtContent>
                      <w:r>
                        <w:rPr>
                          <w:szCs w:val="24"/>
                        </w:rPr>
                        <w:t>1.2</w:t>
                      </w:r>
                    </w:sdtContent>
                  </w:sdt>
                  <w:r>
                    <w:rPr>
                      <w:szCs w:val="24"/>
                    </w:rPr>
                    <w:t>. Pakeisti Nuostatų16 punktą ir jį išdėstyti taip:</w:t>
                  </w:r>
                </w:p>
                <w:sdt>
                  <w:sdtPr>
                    <w:alias w:val="citata"/>
                    <w:tag w:val="part_ec773f76518f417088d5cce209ec8409"/>
                    <w:lock w:val="sdtLocked"/>
                    <w:richText/>
                  </w:sdtPr>
                  <w:sdtContent>
                    <w:sdt>
                      <w:sdtPr>
                        <w:alias w:val="16 p."/>
                        <w:tag w:val="part_4e1495522f8d47789fd31926df9368d7"/>
                        <w:lock w:val="sdtLocked"/>
                        <w:richText/>
                      </w:sdtPr>
                      <w:sdtContent>
                        <w:p>
                          <w:pPr>
                            <w:tabs>
                              <w:tab w:val="left" w:pos="993"/>
                            </w:tabs>
                            <w:ind w:firstLine="567"/>
                            <w:jc w:val="both"/>
                            <w:rPr>
                              <w:szCs w:val="24"/>
                            </w:rPr>
                          </w:pPr>
                          <w:r>
                            <w:rPr>
                              <w:szCs w:val="24"/>
                            </w:rPr>
                            <w:t>„</w:t>
                          </w:r>
                          <w:sdt>
                            <w:sdtPr>
                              <w:alias w:val="Numeris"/>
                              <w:tag w:val="nr_4e1495522f8d47789fd31926df9368d7"/>
                              <w:lock w:val="sdtLocked"/>
                              <w:richText/>
                            </w:sdtPr>
                            <w:sdtContent>
                              <w:r>
                                <w:rPr>
                                  <w:szCs w:val="24"/>
                                </w:rPr>
                                <w:t>16</w:t>
                              </w:r>
                            </w:sdtContent>
                          </w:sdt>
                          <w:r>
                            <w:rPr>
                              <w:szCs w:val="24"/>
                            </w:rPr>
                            <w:t>. Išorinės reklamos įrengimo stebėseną ir kontrolę vykdo Radviliškio rajono savivaldybės administracijos seniūnijos, kurių teritorijoje ji įrengiama ir Statybos ir viešosios tvarkos skyrius.“</w:t>
                          </w:r>
                        </w:p>
                        <w:p>
                          <w:pPr>
                            <w:tabs>
                              <w:tab w:val="left" w:pos="993"/>
                            </w:tabs>
                            <w:ind w:firstLine="567"/>
                            <w:jc w:val="both"/>
                            <w:rPr>
                              <w:szCs w:val="24"/>
                            </w:rPr>
                          </w:pPr>
                        </w:p>
                        <w:p>
                          <w:pPr>
                            <w:ind w:firstLine="851"/>
                            <w:jc w:val="both"/>
                            <w:rPr>
                              <w:szCs w:val="24"/>
                            </w:rPr>
                          </w:pPr>
                        </w:p>
                        <w:p>
                          <w:pPr>
                            <w:ind w:firstLine="851"/>
                            <w:jc w:val="both"/>
                            <w:rPr>
                              <w:szCs w:val="24"/>
                            </w:rPr>
                          </w:pPr>
                        </w:p>
                      </w:sdtContent>
                    </w:sdt>
                  </w:sdtContent>
                </w:sdt>
                <w:sdt>
                  <w:sdtPr>
                    <w:alias w:val="pastraipa"/>
                    <w:tag w:val="part_48bb1ba51a9043ba8f0cb6c6a0ac08c5"/>
                    <w:lock w:val="sdtLocked"/>
                    <w:richText/>
                  </w:sdtPr>
                  <w:sdtContent>
                    <w:p>
                      <w:pPr>
                        <w:jc w:val="both"/>
                        <w:rPr>
                          <w:szCs w:val="24"/>
                        </w:rPr>
                      </w:pPr>
                      <w:r>
                        <w:rPr>
                          <w:szCs w:val="24"/>
                        </w:rPr>
                        <w:t xml:space="preserve">Savivaldybės meras                                                                                                                    </w:t>
                      </w:r>
                    </w:p>
                    <w:p>
                      <w:pPr>
                        <w:ind w:firstLine="851"/>
                        <w:jc w:val="both"/>
                        <w:rPr>
                          <w:szCs w:val="24"/>
                        </w:rPr>
                      </w:pPr>
                    </w:p>
                    <w:p>
                      <w:pPr>
                        <w:ind w:firstLine="851"/>
                        <w:jc w:val="both"/>
                        <w:rPr>
                          <w:szCs w:val="24"/>
                        </w:rPr>
                      </w:pPr>
                    </w:p>
                    <w:p>
                      <w:pPr>
                        <w:ind w:firstLine="851"/>
                        <w:jc w:val="both"/>
                        <w:rPr>
                          <w:szCs w:val="24"/>
                        </w:rPr>
                      </w:pPr>
                    </w:p>
                    <w:p>
                      <w:pPr>
                        <w:ind w:firstLine="851"/>
                        <w:jc w:val="both"/>
                        <w:rPr>
                          <w:szCs w:val="24"/>
                        </w:rPr>
                      </w:pPr>
                    </w:p>
                    <w:p>
                      <w:pPr>
                        <w:ind w:firstLine="851"/>
                        <w:jc w:val="both"/>
                        <w:rPr>
                          <w:szCs w:val="24"/>
                        </w:rPr>
                      </w:pPr>
                    </w:p>
                    <w:p>
                      <w:pPr>
                        <w:ind w:firstLine="851"/>
                        <w:jc w:val="both"/>
                        <w:rPr>
                          <w:szCs w:val="24"/>
                        </w:rPr>
                      </w:pPr>
                    </w:p>
                    <w:p>
                      <w:pPr>
                        <w:ind w:firstLine="851"/>
                        <w:jc w:val="both"/>
                        <w:rPr>
                          <w:szCs w:val="24"/>
                        </w:rPr>
                      </w:pPr>
                    </w:p>
                    <w:p>
                      <w:pPr>
                        <w:ind w:firstLine="851"/>
                        <w:jc w:val="both"/>
                        <w:rPr>
                          <w:szCs w:val="24"/>
                        </w:rPr>
                      </w:pPr>
                    </w:p>
                    <w:p>
                      <w:pPr>
                        <w:ind w:firstLine="851"/>
                        <w:jc w:val="both"/>
                        <w:rPr>
                          <w:szCs w:val="24"/>
                        </w:rPr>
                      </w:pPr>
                    </w:p>
                    <w:p>
                      <w:pPr>
                        <w:ind w:firstLine="851"/>
                        <w:jc w:val="both"/>
                        <w:rPr>
                          <w:szCs w:val="24"/>
                        </w:rPr>
                      </w:pPr>
                    </w:p>
                    <w:p>
                      <w:pPr>
                        <w:ind w:firstLine="851"/>
                        <w:jc w:val="both"/>
                        <w:rPr>
                          <w:szCs w:val="24"/>
                        </w:rPr>
                      </w:pPr>
                    </w:p>
                    <w:p>
                      <w:pPr>
                        <w:ind w:firstLine="851"/>
                        <w:jc w:val="both"/>
                        <w:rPr>
                          <w:szCs w:val="24"/>
                        </w:rPr>
                      </w:pPr>
                    </w:p>
                    <w:p>
                      <w:pPr>
                        <w:ind w:firstLine="851"/>
                        <w:jc w:val="both"/>
                        <w:rPr>
                          <w:szCs w:val="24"/>
                        </w:rPr>
                      </w:pPr>
                    </w:p>
                    <w:p>
                      <w:pPr>
                        <w:ind w:firstLine="851"/>
                        <w:jc w:val="both"/>
                        <w:rPr>
                          <w:szCs w:val="24"/>
                        </w:rPr>
                      </w:pPr>
                    </w:p>
                    <w:p>
                      <w:pPr>
                        <w:ind w:firstLine="851"/>
                        <w:jc w:val="both"/>
                        <w:rPr>
                          <w:szCs w:val="24"/>
                        </w:rPr>
                      </w:pPr>
                    </w:p>
                    <w:p>
                      <w:pPr>
                        <w:jc w:val="both"/>
                        <w:rPr>
                          <w:szCs w:val="24"/>
                        </w:rPr>
                      </w:pPr>
                    </w:p>
                  </w:sdtContent>
                </w:sdt>
              </w:sdtContent>
            </w:sdt>
          </w:sdtContent>
        </w:sdt>
        <w:sdt>
          <w:sdtPr>
            <w:alias w:val="skirsnis"/>
            <w:tag w:val="part_dedc678fd2e846a18f31fb47296d1f1c"/>
            <w:lock w:val="sdtLocked"/>
            <w:richText/>
          </w:sdtPr>
          <w:sdtContent>
            <w:sdt>
              <w:sdtPr>
                <w:alias w:val="Pavadinimas"/>
                <w:tag w:val="title_dedc678fd2e846a18f31fb47296d1f1c"/>
                <w:lock w:val="sdtLocked"/>
                <w:richText/>
              </w:sdtPr>
              <w:sdtContent>
                <w:p>
                  <w:pPr>
                    <w:jc w:val="center"/>
                    <w:rPr>
                      <w:b/>
                      <w:szCs w:val="24"/>
                      <w:lang w:eastAsia="lt-LT"/>
                    </w:rPr>
                  </w:pPr>
                  <w:r>
                    <w:rPr>
                      <w:b/>
                      <w:szCs w:val="24"/>
                      <w:lang w:eastAsia="lt-LT"/>
                    </w:rPr>
                    <w:t>RADVILIŠKIO RAJONO SAVIVALDYBĖS TARYBOS SPRENDIMO PROJEKTO</w:t>
                  </w:r>
                </w:p>
                <w:p>
                  <w:pPr>
                    <w:jc w:val="center"/>
                    <w:rPr>
                      <w:b/>
                      <w:szCs w:val="24"/>
                      <w:lang w:eastAsia="lt-LT"/>
                    </w:rPr>
                  </w:pPr>
                  <w:r>
                    <w:rPr>
                      <w:b/>
                      <w:szCs w:val="24"/>
                      <w:lang w:eastAsia="lt-LT"/>
                    </w:rPr>
                    <w:t xml:space="preserve">VIETINĖS RINKLIAVOS UŽ LEIDIMO ĮRENGTI IŠORINĘ REKLAMĄ RADVILIŠKIO RAJONO SAVIVALYBĖS TERITORIJOJE IŠDAVIMĄ NUOSTATŲ, PATVIRTINTŲ RADVILIŠKIO RAJONO SAVIVALYBĖS TARYBOS 2014 M. GRUODŽIO 18 D. SPRENDIMŲ NR. T-932 „DĖL VIETINĖS RINKLIAVOS UŽ LEIDIMO ĮRENGTI IŠORINĘ REKLAMĄ RADVILIŠKIO RAJONO SAVIVALYBĖS TERITORIJOJE IŠDAVIMĄ NUOSTATŲ PATVIRTINIMO“ PAKEITIMO </w:t>
                  </w:r>
                </w:p>
                <w:p>
                  <w:pPr>
                    <w:jc w:val="center"/>
                    <w:rPr>
                      <w:b/>
                      <w:bCs/>
                      <w:szCs w:val="24"/>
                    </w:rPr>
                  </w:pPr>
                  <w:r>
                    <w:rPr>
                      <w:b/>
                      <w:bCs/>
                      <w:szCs w:val="24"/>
                    </w:rPr>
                    <w:t>AIŠKINAMASIS RAŠTAS</w:t>
                  </w:r>
                </w:p>
              </w:sdtContent>
            </w:sdt>
            <w:p>
              <w:pPr>
                <w:ind w:firstLine="851"/>
                <w:jc w:val="center"/>
                <w:rPr>
                  <w:szCs w:val="24"/>
                </w:rPr>
              </w:pPr>
            </w:p>
            <w:p>
              <w:pPr>
                <w:jc w:val="center"/>
                <w:rPr>
                  <w:szCs w:val="24"/>
                </w:rPr>
              </w:pPr>
              <w:r>
                <w:rPr>
                  <w:szCs w:val="24"/>
                </w:rPr>
                <w:t>2025 m. spalio 10 d.</w:t>
              </w:r>
            </w:p>
            <w:p>
              <w:pPr>
                <w:jc w:val="center"/>
                <w:rPr>
                  <w:szCs w:val="24"/>
                </w:rPr>
              </w:pPr>
              <w:r>
                <w:rPr>
                  <w:szCs w:val="24"/>
                </w:rPr>
                <w:t>Radviliškis</w:t>
              </w:r>
            </w:p>
            <w:p>
              <w:pPr>
                <w:jc w:val="both"/>
                <w:rPr>
                  <w:b/>
                  <w:szCs w:val="24"/>
                </w:rPr>
              </w:pPr>
            </w:p>
            <w:sdt>
              <w:sdtPr>
                <w:alias w:val="1 p."/>
                <w:tag w:val="part_a94bca083b114d56b1b748078dd1a7fc"/>
                <w:lock w:val="sdtLocked"/>
                <w:richText/>
              </w:sdtPr>
              <w:sdtContent>
                <w:p>
                  <w:pPr>
                    <w:ind w:firstLine="851"/>
                    <w:jc w:val="both"/>
                    <w:rPr>
                      <w:b/>
                      <w:szCs w:val="24"/>
                    </w:rPr>
                  </w:pPr>
                  <w:sdt>
                    <w:sdtPr>
                      <w:alias w:val="Numeris"/>
                      <w:tag w:val="nr_a94bca083b114d56b1b748078dd1a7fc"/>
                      <w:lock w:val="sdtLocked"/>
                      <w:richText/>
                    </w:sdtPr>
                    <w:sdtContent>
                      <w:r>
                        <w:rPr>
                          <w:b/>
                          <w:szCs w:val="24"/>
                        </w:rPr>
                        <w:t>1</w:t>
                      </w:r>
                    </w:sdtContent>
                  </w:sdt>
                  <w:r>
                    <w:rPr>
                      <w:b/>
                      <w:szCs w:val="24"/>
                    </w:rPr>
                    <w:t>.</w:t>
                    <w:tab/>
                  </w:r>
                  <w:r>
                    <w:rPr>
                      <w:b/>
                      <w:szCs w:val="24"/>
                      <w:lang w:bidi="he-IL"/>
                    </w:rPr>
                    <w:t>Projekto rengimą paskatinusios priežastys, parengto projekto tikslai, sprendimo projekto tikslai ir uždaviniai</w:t>
                  </w:r>
                  <w:r>
                    <w:rPr>
                      <w:b/>
                      <w:szCs w:val="24"/>
                    </w:rPr>
                    <w:t>.</w:t>
                  </w:r>
                </w:p>
                <w:p>
                  <w:pPr>
                    <w:ind w:firstLine="851"/>
                    <w:jc w:val="both"/>
                    <w:rPr>
                      <w:bCs/>
                      <w:szCs w:val="24"/>
                    </w:rPr>
                  </w:pPr>
                  <w:r>
                    <w:rPr>
                      <w:bCs/>
                      <w:szCs w:val="24"/>
                    </w:rPr>
                    <w:t>Atsižvelgiant į Radviliškio rajono savivaldybės Kontrolės ir audito tarnybos 2025 m. sausio 21 d. atitikties audito ataskaitos Nr. VA-1-(5.2 E) „Radviliškio rajono savivaldybės vietinė rinkliava (išskyrus rinkliavą už komunalinių atliekų surinkimą)</w:t>
                  </w:r>
                  <w:r>
                    <w:rPr>
                      <w:szCs w:val="24"/>
                    </w:rPr>
                    <w:t>“, rekomendacijas</w:t>
                  </w:r>
                  <w:r>
                    <w:rPr>
                      <w:bCs/>
                      <w:szCs w:val="24"/>
                    </w:rPr>
                    <w:t xml:space="preserve"> papildome </w:t>
                  </w:r>
                  <w:r>
                    <w:rPr>
                      <w:szCs w:val="24"/>
                    </w:rPr>
                    <w:t>Vietinės rinkliavos už leidimo įrengti išorinę reklamą Radviliškio rajono savivaldybės teritorijoje išdavimą nuostatų, patvirtintų Radviliškio rajono savivaldybės tarybos 2014 m. gruodžio 18 d. sprendimu Nr. T-932 „Dėl vietinės rinkliavos už leidimo įrengti išorinę reklamą Radviliškio rajono savivaldybės teritorijoje išdavimą nuostatų patvirtinimo“, 11 ir 16 punktus.</w:t>
                  </w:r>
                  <w:r>
                    <w:rPr>
                      <w:bCs/>
                      <w:szCs w:val="24"/>
                    </w:rPr>
                    <w:t xml:space="preserve"> </w:t>
                  </w:r>
                </w:p>
              </w:sdtContent>
            </w:sdt>
            <w:sdt>
              <w:sdtPr>
                <w:alias w:val="2 p."/>
                <w:tag w:val="part_e13fe843ac274946a013282fbca46598"/>
                <w:lock w:val="sdtLocked"/>
                <w:richText/>
              </w:sdtPr>
              <w:sdtContent>
                <w:p>
                  <w:pPr>
                    <w:ind w:left="1211" w:hanging="360"/>
                    <w:jc w:val="both"/>
                    <w:rPr>
                      <w:b/>
                      <w:szCs w:val="24"/>
                    </w:rPr>
                  </w:pPr>
                  <w:sdt>
                    <w:sdtPr>
                      <w:alias w:val="Numeris"/>
                      <w:tag w:val="nr_e13fe843ac274946a013282fbca46598"/>
                      <w:lock w:val="sdtLocked"/>
                      <w:richText/>
                    </w:sdtPr>
                    <w:sdtContent>
                      <w:r>
                        <w:rPr>
                          <w:b/>
                          <w:szCs w:val="24"/>
                        </w:rPr>
                        <w:t>2</w:t>
                      </w:r>
                    </w:sdtContent>
                  </w:sdt>
                  <w:r>
                    <w:rPr>
                      <w:b/>
                      <w:szCs w:val="24"/>
                    </w:rPr>
                    <w:t>.</w:t>
                    <w:tab/>
                    <w:t>Projekto iniciatoriai (institucija, asmenys ar piliečių atstovai) ir rengėjai.</w:t>
                  </w:r>
                </w:p>
                <w:p>
                  <w:pPr>
                    <w:ind w:firstLine="851"/>
                    <w:jc w:val="both"/>
                    <w:rPr>
                      <w:b/>
                      <w:szCs w:val="24"/>
                    </w:rPr>
                  </w:pPr>
                  <w:r>
                    <w:rPr>
                      <w:bCs/>
                      <w:szCs w:val="24"/>
                    </w:rPr>
                    <w:t>Radviliškio rajono savivaldybės administracija</w:t>
                  </w:r>
                  <w:r>
                    <w:rPr>
                      <w:szCs w:val="24"/>
                    </w:rPr>
                    <w:t>.</w:t>
                  </w:r>
                </w:p>
              </w:sdtContent>
            </w:sdt>
            <w:sdt>
              <w:sdtPr>
                <w:alias w:val="3 p."/>
                <w:tag w:val="part_328bbf6f2afc49c68cf3aa366ac50481"/>
                <w:lock w:val="sdtLocked"/>
                <w:richText/>
              </w:sdtPr>
              <w:sdtContent>
                <w:p>
                  <w:pPr>
                    <w:ind w:left="1211" w:hanging="360"/>
                    <w:jc w:val="both"/>
                    <w:rPr>
                      <w:b/>
                      <w:szCs w:val="24"/>
                    </w:rPr>
                  </w:pPr>
                  <w:sdt>
                    <w:sdtPr>
                      <w:alias w:val="Numeris"/>
                      <w:tag w:val="nr_328bbf6f2afc49c68cf3aa366ac50481"/>
                      <w:lock w:val="sdtLocked"/>
                      <w:richText/>
                    </w:sdtPr>
                    <w:sdtContent>
                      <w:r>
                        <w:rPr>
                          <w:b/>
                          <w:szCs w:val="24"/>
                        </w:rPr>
                        <w:t>3</w:t>
                      </w:r>
                    </w:sdtContent>
                  </w:sdt>
                  <w:r>
                    <w:rPr>
                      <w:b/>
                      <w:szCs w:val="24"/>
                    </w:rPr>
                    <w:t>.</w:t>
                    <w:tab/>
                    <w:t>Kaip šiuo metu yra reguliuojami sprendimo projekte aptarti teisiniai santykiai.</w:t>
                  </w:r>
                </w:p>
                <w:p>
                  <w:pPr>
                    <w:ind w:firstLine="851"/>
                    <w:jc w:val="both"/>
                    <w:rPr>
                      <w:szCs w:val="24"/>
                    </w:rPr>
                  </w:pPr>
                  <w:r>
                    <w:rPr>
                      <w:szCs w:val="24"/>
                    </w:rPr>
                    <w:t>Rinkliavų įstatymas. Reklamos įstatymas.</w:t>
                  </w:r>
                </w:p>
              </w:sdtContent>
            </w:sdt>
            <w:sdt>
              <w:sdtPr>
                <w:alias w:val="4 p."/>
                <w:tag w:val="part_761c80a690234dc98ee14a5fa47d116a"/>
                <w:lock w:val="sdtLocked"/>
                <w:richText/>
              </w:sdtPr>
              <w:sdtContent>
                <w:p>
                  <w:pPr>
                    <w:ind w:firstLine="851"/>
                    <w:jc w:val="both"/>
                    <w:rPr>
                      <w:b/>
                      <w:szCs w:val="24"/>
                    </w:rPr>
                  </w:pPr>
                  <w:sdt>
                    <w:sdtPr>
                      <w:alias w:val="Numeris"/>
                      <w:tag w:val="nr_761c80a690234dc98ee14a5fa47d116a"/>
                      <w:lock w:val="sdtLocked"/>
                      <w:richText/>
                    </w:sdtPr>
                    <w:sdtContent>
                      <w:r>
                        <w:rPr>
                          <w:b/>
                          <w:szCs w:val="24"/>
                        </w:rPr>
                        <w:t>4</w:t>
                      </w:r>
                    </w:sdtContent>
                  </w:sdt>
                  <w:r>
                    <w:rPr>
                      <w:b/>
                      <w:szCs w:val="24"/>
                    </w:rPr>
                    <w:t xml:space="preserve">. </w:t>
                  </w:r>
                  <w:r>
                    <w:rPr>
                      <w:b/>
                      <w:bCs/>
                      <w:szCs w:val="24"/>
                    </w:rPr>
                    <w:t>Kokios siūlomos naujos teisinio reguliavimo nuostatos, kokių teigiamų rezultatų laukiama</w:t>
                  </w:r>
                  <w:r>
                    <w:rPr>
                      <w:b/>
                      <w:szCs w:val="24"/>
                    </w:rPr>
                    <w:t>).</w:t>
                  </w:r>
                </w:p>
                <w:p>
                  <w:pPr>
                    <w:ind w:firstLine="851"/>
                    <w:jc w:val="both"/>
                    <w:rPr>
                      <w:szCs w:val="24"/>
                    </w:rPr>
                  </w:pPr>
                  <w:r>
                    <w:rPr>
                      <w:szCs w:val="24"/>
                    </w:rPr>
                    <w:t>Rezultatai nenumatomi.</w:t>
                  </w:r>
                </w:p>
              </w:sdtContent>
            </w:sdt>
            <w:sdt>
              <w:sdtPr>
                <w:alias w:val="5 p."/>
                <w:tag w:val="part_14b2e7f6918d485780e4e285d4b8be1a"/>
                <w:lock w:val="sdtLocked"/>
                <w:richText/>
              </w:sdtPr>
              <w:sdtContent>
                <w:p>
                  <w:pPr>
                    <w:ind w:firstLine="851"/>
                    <w:jc w:val="both"/>
                    <w:rPr>
                      <w:b/>
                      <w:bCs/>
                      <w:szCs w:val="24"/>
                    </w:rPr>
                  </w:pPr>
                  <w:sdt>
                    <w:sdtPr>
                      <w:alias w:val="Numeris"/>
                      <w:tag w:val="nr_14b2e7f6918d485780e4e285d4b8be1a"/>
                      <w:lock w:val="sdtLocked"/>
                      <w:richText/>
                    </w:sdtPr>
                    <w:sdtContent>
                      <w:r>
                        <w:rPr>
                          <w:b/>
                          <w:bCs/>
                          <w:szCs w:val="24"/>
                        </w:rPr>
                        <w:t>5</w:t>
                      </w:r>
                    </w:sdtContent>
                  </w:sdt>
                  <w:r>
                    <w:rPr>
                      <w:b/>
                      <w:bCs/>
                      <w:szCs w:val="24"/>
                    </w:rPr>
                    <w:t>.</w:t>
                    <w:tab/>
                    <w:t>Galimos neigiamos priimto sprendimo projekto pasekmės ir kokių priemonių reikėtų imtis, kad tokių pasekmių būtų išvengta.</w:t>
                  </w:r>
                </w:p>
                <w:p>
                  <w:pPr>
                    <w:ind w:left="851"/>
                    <w:jc w:val="both"/>
                    <w:rPr>
                      <w:szCs w:val="24"/>
                    </w:rPr>
                  </w:pPr>
                  <w:r>
                    <w:rPr>
                      <w:szCs w:val="24"/>
                    </w:rPr>
                    <w:t>Neigiamų pasekmių nenumatoma.</w:t>
                  </w:r>
                </w:p>
              </w:sdtContent>
            </w:sdt>
            <w:sdt>
              <w:sdtPr>
                <w:alias w:val="6 p."/>
                <w:tag w:val="part_bf35edb56692430b880d0d7d7f6bc090"/>
                <w:lock w:val="sdtLocked"/>
                <w:richText/>
              </w:sdtPr>
              <w:sdtContent>
                <w:p>
                  <w:pPr>
                    <w:ind w:firstLine="851"/>
                    <w:jc w:val="both"/>
                    <w:rPr>
                      <w:b/>
                      <w:szCs w:val="24"/>
                    </w:rPr>
                  </w:pPr>
                  <w:sdt>
                    <w:sdtPr>
                      <w:alias w:val="Numeris"/>
                      <w:tag w:val="nr_bf35edb56692430b880d0d7d7f6bc090"/>
                      <w:lock w:val="sdtLocked"/>
                      <w:richText/>
                    </w:sdtPr>
                    <w:sdtContent>
                      <w:r>
                        <w:rPr>
                          <w:b/>
                          <w:szCs w:val="24"/>
                        </w:rPr>
                        <w:t>6</w:t>
                      </w:r>
                    </w:sdtContent>
                  </w:sdt>
                  <w:r>
                    <w:rPr>
                      <w:b/>
                      <w:szCs w:val="24"/>
                    </w:rPr>
                    <w:t xml:space="preserve">. </w:t>
                  </w:r>
                  <w:r>
                    <w:rPr>
                      <w:b/>
                      <w:bCs/>
                      <w:szCs w:val="24"/>
                    </w:rPr>
                    <w:t>Kokius teisės aktus būtina priimti, kokius galiojančius teisės aktus būtina pakeisti ar pripažinti netekusiais galios priėmus sprendimo projektą</w:t>
                  </w:r>
                  <w:r>
                    <w:rPr>
                      <w:b/>
                      <w:szCs w:val="24"/>
                    </w:rPr>
                    <w:t>.</w:t>
                  </w:r>
                </w:p>
                <w:p>
                  <w:pPr>
                    <w:ind w:firstLine="851"/>
                    <w:jc w:val="both"/>
                    <w:rPr>
                      <w:szCs w:val="24"/>
                    </w:rPr>
                  </w:pPr>
                  <w:r>
                    <w:rPr>
                      <w:szCs w:val="24"/>
                    </w:rPr>
                    <w:t>Teisės aktų keisti nereikia.</w:t>
                  </w:r>
                </w:p>
              </w:sdtContent>
            </w:sdt>
            <w:sdt>
              <w:sdtPr>
                <w:alias w:val="7 p."/>
                <w:tag w:val="part_672a04f363fa4bce92c4e4f260ecb6ee"/>
                <w:lock w:val="sdtLocked"/>
                <w:richText/>
              </w:sdtPr>
              <w:sdtContent>
                <w:p>
                  <w:pPr>
                    <w:ind w:firstLine="851"/>
                    <w:jc w:val="both"/>
                    <w:rPr>
                      <w:b/>
                      <w:szCs w:val="24"/>
                    </w:rPr>
                  </w:pPr>
                  <w:sdt>
                    <w:sdtPr>
                      <w:alias w:val="Numeris"/>
                      <w:tag w:val="nr_672a04f363fa4bce92c4e4f260ecb6ee"/>
                      <w:lock w:val="sdtLocked"/>
                      <w:richText/>
                    </w:sdtPr>
                    <w:sdtContent>
                      <w:r>
                        <w:rPr>
                          <w:b/>
                          <w:szCs w:val="24"/>
                        </w:rPr>
                        <w:t>7</w:t>
                      </w:r>
                    </w:sdtContent>
                  </w:sdt>
                  <w:r>
                    <w:rPr>
                      <w:b/>
                      <w:szCs w:val="24"/>
                    </w:rPr>
                    <w:t>. Sprendimo projektui įgyvendinti reikalingos lėšos, finansavimo šaltiniai.</w:t>
                  </w:r>
                </w:p>
                <w:p>
                  <w:pPr>
                    <w:ind w:firstLine="851"/>
                    <w:jc w:val="both"/>
                    <w:rPr>
                      <w:szCs w:val="24"/>
                    </w:rPr>
                  </w:pPr>
                  <w:r>
                    <w:rPr>
                      <w:szCs w:val="24"/>
                    </w:rPr>
                    <w:t xml:space="preserve">Sprendimui įgyvendinti papildomų  savivaldybės biudžeto lėšų nereikės.</w:t>
                  </w:r>
                </w:p>
              </w:sdtContent>
            </w:sdt>
            <w:sdt>
              <w:sdtPr>
                <w:alias w:val="8 p."/>
                <w:tag w:val="part_7d5b6329a2d74973b429bf024a2d7122"/>
                <w:lock w:val="sdtLocked"/>
                <w:richText/>
              </w:sdtPr>
              <w:sdtContent>
                <w:p>
                  <w:pPr>
                    <w:ind w:firstLine="851"/>
                    <w:jc w:val="both"/>
                    <w:rPr>
                      <w:b/>
                      <w:szCs w:val="24"/>
                    </w:rPr>
                  </w:pPr>
                  <w:sdt>
                    <w:sdtPr>
                      <w:alias w:val="Numeris"/>
                      <w:tag w:val="nr_7d5b6329a2d74973b429bf024a2d7122"/>
                      <w:lock w:val="sdtLocked"/>
                      <w:richText/>
                    </w:sdtPr>
                    <w:sdtContent>
                      <w:r>
                        <w:rPr>
                          <w:b/>
                          <w:szCs w:val="24"/>
                        </w:rPr>
                        <w:t>8</w:t>
                      </w:r>
                    </w:sdtContent>
                  </w:sdt>
                  <w:r>
                    <w:rPr>
                      <w:b/>
                      <w:szCs w:val="24"/>
                    </w:rPr>
                    <w:t xml:space="preserve">. Sprendimo projekto rengimo metu gauti specialistų vertinimai ir išvados. </w:t>
                  </w:r>
                </w:p>
                <w:p>
                  <w:pPr>
                    <w:ind w:firstLine="851"/>
                    <w:jc w:val="both"/>
                    <w:rPr>
                      <w:b/>
                      <w:szCs w:val="24"/>
                    </w:rPr>
                  </w:pPr>
                  <w:r>
                    <w:rPr>
                      <w:bCs/>
                      <w:szCs w:val="24"/>
                    </w:rPr>
                    <w:t>Sprendimo projektas</w:t>
                  </w:r>
                  <w:r>
                    <w:rPr>
                      <w:b/>
                      <w:szCs w:val="24"/>
                    </w:rPr>
                    <w:t xml:space="preserve"> </w:t>
                  </w:r>
                  <w:r>
                    <w:rPr>
                      <w:bCs/>
                      <w:szCs w:val="24"/>
                    </w:rPr>
                    <w:t>suderintas su savivaldybės juristu, kalbininku, administracijos direktore, vicemerais ir meru</w:t>
                  </w:r>
                  <w:r>
                    <w:rPr>
                      <w:b/>
                      <w:szCs w:val="24"/>
                    </w:rPr>
                    <w:t>.</w:t>
                  </w:r>
                </w:p>
              </w:sdtContent>
            </w:sdt>
            <w:sdt>
              <w:sdtPr>
                <w:alias w:val="9 p."/>
                <w:tag w:val="part_cda5d8af2fa04ed58b59840b0187655b"/>
                <w:lock w:val="sdtLocked"/>
                <w:richText/>
              </w:sdtPr>
              <w:sdtContent>
                <w:p>
                  <w:pPr>
                    <w:ind w:firstLine="851"/>
                    <w:jc w:val="both"/>
                    <w:rPr>
                      <w:b/>
                      <w:szCs w:val="24"/>
                    </w:rPr>
                  </w:pPr>
                  <w:sdt>
                    <w:sdtPr>
                      <w:alias w:val="Numeris"/>
                      <w:tag w:val="nr_cda5d8af2fa04ed58b59840b0187655b"/>
                      <w:lock w:val="sdtLocked"/>
                      <w:richText/>
                    </w:sdtPr>
                    <w:sdtContent>
                      <w:r>
                        <w:rPr>
                          <w:b/>
                          <w:szCs w:val="24"/>
                        </w:rPr>
                        <w:t>9</w:t>
                      </w:r>
                    </w:sdtContent>
                  </w:sdt>
                  <w:r>
                    <w:rPr>
                      <w:b/>
                      <w:szCs w:val="24"/>
                    </w:rPr>
                    <w:t>. Numatomo teisinio reguliavimo poveikio vertinimo rezultatai.</w:t>
                  </w:r>
                </w:p>
                <w:p>
                  <w:pPr>
                    <w:ind w:firstLine="851"/>
                    <w:jc w:val="both"/>
                    <w:rPr>
                      <w:bCs/>
                      <w:szCs w:val="24"/>
                    </w:rPr>
                  </w:pPr>
                  <w:r>
                    <w:rPr>
                      <w:bCs/>
                      <w:szCs w:val="24"/>
                    </w:rPr>
                    <w:t>Rezultatai nenumatomi.</w:t>
                  </w:r>
                </w:p>
              </w:sdtContent>
            </w:sdt>
            <w:sdt>
              <w:sdtPr>
                <w:alias w:val="10 p."/>
                <w:tag w:val="part_c7533e05c62b4dce9393c437dbb4e429"/>
                <w:lock w:val="sdtLocked"/>
                <w:richText/>
              </w:sdtPr>
              <w:sdtContent>
                <w:p>
                  <w:pPr>
                    <w:ind w:firstLine="851"/>
                    <w:jc w:val="both"/>
                    <w:rPr>
                      <w:b/>
                      <w:szCs w:val="24"/>
                    </w:rPr>
                  </w:pPr>
                  <w:sdt>
                    <w:sdtPr>
                      <w:alias w:val="Numeris"/>
                      <w:tag w:val="nr_c7533e05c62b4dce9393c437dbb4e429"/>
                      <w:lock w:val="sdtLocked"/>
                      <w:richText/>
                    </w:sdtPr>
                    <w:sdtContent>
                      <w:r>
                        <w:rPr>
                          <w:b/>
                          <w:szCs w:val="24"/>
                        </w:rPr>
                        <w:t>10</w:t>
                      </w:r>
                    </w:sdtContent>
                  </w:sdt>
                  <w:r>
                    <w:rPr>
                      <w:b/>
                      <w:szCs w:val="24"/>
                    </w:rPr>
                    <w:t xml:space="preserve">. </w:t>
                  </w:r>
                  <w:r>
                    <w:rPr>
                      <w:rFonts w:eastAsia="Calibri"/>
                      <w:b/>
                      <w:szCs w:val="24"/>
                      <w:lang w:eastAsia="ar-SA"/>
                    </w:rPr>
                    <w:t>Sprendimo projekto antikorupcinis vertinimas</w:t>
                  </w:r>
                  <w:r>
                    <w:rPr>
                      <w:b/>
                      <w:szCs w:val="24"/>
                    </w:rPr>
                    <w:t>.</w:t>
                  </w:r>
                </w:p>
                <w:p>
                  <w:pPr>
                    <w:ind w:firstLine="851"/>
                    <w:jc w:val="both"/>
                    <w:rPr>
                      <w:szCs w:val="24"/>
                    </w:rPr>
                  </w:pPr>
                  <w:r>
                    <w:rPr>
                      <w:rFonts w:eastAsia="Calibri"/>
                      <w:szCs w:val="24"/>
                    </w:rPr>
                    <w:t>Teisės akto projektas antikorupciniam vertinimui neteikiamas</w:t>
                  </w:r>
                  <w:r>
                    <w:rPr>
                      <w:szCs w:val="24"/>
                    </w:rPr>
                    <w:t>.</w:t>
                  </w:r>
                </w:p>
              </w:sdtContent>
            </w:sdt>
            <w:sdt>
              <w:sdtPr>
                <w:alias w:val="11 p."/>
                <w:tag w:val="part_86f3779a0bdf4093a0d7639ebaed6f7c"/>
                <w:lock w:val="sdtLocked"/>
                <w:richText/>
              </w:sdtPr>
              <w:sdtContent>
                <w:p>
                  <w:pPr>
                    <w:ind w:firstLine="851"/>
                    <w:jc w:val="both"/>
                    <w:rPr>
                      <w:b/>
                      <w:szCs w:val="24"/>
                    </w:rPr>
                  </w:pPr>
                  <w:sdt>
                    <w:sdtPr>
                      <w:alias w:val="Numeris"/>
                      <w:tag w:val="nr_86f3779a0bdf4093a0d7639ebaed6f7c"/>
                      <w:lock w:val="sdtLocked"/>
                      <w:richText/>
                    </w:sdtPr>
                    <w:sdtContent>
                      <w:r>
                        <w:rPr>
                          <w:b/>
                          <w:szCs w:val="24"/>
                        </w:rPr>
                        <w:t>11</w:t>
                      </w:r>
                    </w:sdtContent>
                  </w:sdt>
                  <w:r>
                    <w:rPr>
                      <w:b/>
                      <w:szCs w:val="24"/>
                    </w:rPr>
                    <w:t xml:space="preserve">. </w:t>
                  </w:r>
                  <w:r>
                    <w:rPr>
                      <w:rFonts w:eastAsia="Calibri"/>
                      <w:b/>
                      <w:bCs/>
                      <w:szCs w:val="24"/>
                    </w:rPr>
                    <w:t>Kiti, iniciatoriaus nuomone, reikalingi pagrindimai ir paaiškinimai</w:t>
                  </w:r>
                  <w:r>
                    <w:rPr>
                      <w:b/>
                      <w:szCs w:val="24"/>
                    </w:rPr>
                    <w:t xml:space="preserve">. </w:t>
                  </w:r>
                </w:p>
                <w:p>
                  <w:pPr>
                    <w:ind w:firstLine="851"/>
                    <w:jc w:val="both"/>
                    <w:rPr>
                      <w:szCs w:val="24"/>
                    </w:rPr>
                  </w:pPr>
                  <w:r>
                    <w:rPr>
                      <w:rFonts w:eastAsia="Calibri"/>
                      <w:szCs w:val="24"/>
                    </w:rPr>
                    <w:t>Papildomų paaiškinimų nėra</w:t>
                  </w:r>
                  <w:r>
                    <w:rPr>
                      <w:szCs w:val="24"/>
                    </w:rPr>
                    <w:t>.</w:t>
                  </w:r>
                </w:p>
              </w:sdtContent>
            </w:sdt>
            <w:sdt>
              <w:sdtPr>
                <w:alias w:val="12 p."/>
                <w:tag w:val="part_f8f9b57a77ca4edc83bade085f922154"/>
                <w:lock w:val="sdtLocked"/>
                <w:richText/>
              </w:sdtPr>
              <w:sdtContent>
                <w:p>
                  <w:pPr>
                    <w:ind w:firstLine="851"/>
                    <w:jc w:val="both"/>
                    <w:rPr>
                      <w:szCs w:val="24"/>
                    </w:rPr>
                  </w:pPr>
                  <w:sdt>
                    <w:sdtPr>
                      <w:alias w:val="Numeris"/>
                      <w:tag w:val="nr_f8f9b57a77ca4edc83bade085f922154"/>
                      <w:lock w:val="sdtLocked"/>
                      <w:richText/>
                    </w:sdtPr>
                    <w:sdtContent>
                      <w:r>
                        <w:rPr>
                          <w:b/>
                          <w:szCs w:val="24"/>
                        </w:rPr>
                        <w:t>12</w:t>
                      </w:r>
                    </w:sdtContent>
                  </w:sdt>
                  <w:r>
                    <w:rPr>
                      <w:b/>
                      <w:szCs w:val="24"/>
                    </w:rPr>
                    <w:t xml:space="preserve">. </w:t>
                  </w:r>
                  <w:r>
                    <w:rPr>
                      <w:rFonts w:eastAsia="Calibri"/>
                      <w:b/>
                      <w:bCs/>
                      <w:szCs w:val="24"/>
                    </w:rPr>
                    <w:t>Pridedami dokumentai</w:t>
                  </w:r>
                  <w:r>
                    <w:rPr>
                      <w:szCs w:val="24"/>
                    </w:rPr>
                    <w:t>.</w:t>
                  </w:r>
                </w:p>
                <w:p>
                  <w:pPr>
                    <w:ind w:firstLine="851"/>
                    <w:jc w:val="both"/>
                    <w:rPr>
                      <w:szCs w:val="22"/>
                    </w:rPr>
                  </w:pPr>
                  <w:r>
                    <w:rPr>
                      <w:szCs w:val="22"/>
                    </w:rPr>
                    <w:t>Lyginamasis variantas.</w:t>
                  </w:r>
                </w:p>
                <w:p>
                  <w:pPr>
                    <w:ind w:firstLine="851"/>
                    <w:jc w:val="both"/>
                    <w:rPr>
                      <w:szCs w:val="22"/>
                    </w:rPr>
                  </w:pPr>
                </w:p>
                <w:p>
                  <w:pPr>
                    <w:ind w:firstLine="851"/>
                    <w:jc w:val="both"/>
                    <w:rPr>
                      <w:szCs w:val="22"/>
                    </w:rPr>
                  </w:pPr>
                </w:p>
                <w:p>
                  <w:pPr>
                    <w:ind w:firstLine="851"/>
                    <w:jc w:val="both"/>
                    <w:rPr>
                      <w:szCs w:val="22"/>
                    </w:rPr>
                  </w:pPr>
                </w:p>
              </w:sdtContent>
            </w:sdt>
          </w:sdtContent>
        </w:sdt>
        <w:sdt>
          <w:sdtPr>
            <w:alias w:val="signatura"/>
            <w:tag w:val="part_12b04e8467df4ac19a8740cda566bef3"/>
            <w:lock w:val="sdtLocked"/>
            <w:richText/>
          </w:sdtPr>
          <w:sdtContent>
            <w:p>
              <w:pPr>
                <w:tabs>
                  <w:tab w:val="left" w:pos="0"/>
                </w:tabs>
                <w:jc w:val="both"/>
                <w:rPr>
                  <w:szCs w:val="22"/>
                </w:rPr>
              </w:pPr>
              <w:r>
                <w:rPr>
                  <w:szCs w:val="22"/>
                </w:rPr>
                <w:t xml:space="preserve">Architektūros ir urbanistikos skyriaus vyr. specialistas                                                 Rolandas Plukas</w:t>
              </w:r>
            </w:p>
            <w:p>
              <w:pPr>
                <w:tabs>
                  <w:tab w:val="left" w:pos="0"/>
                </w:tabs>
                <w:ind w:firstLine="720"/>
                <w:jc w:val="both"/>
                <w:rPr>
                  <w:szCs w:val="24"/>
                </w:rPr>
              </w:pPr>
            </w:p>
          </w:sdtContent>
        </w:sdt>
      </w:sdtContent>
    </w:sdt>
    <w:sectPr>
      <w:pgSz w:w="11907" w:h="16840" w:code="9"/>
      <w:pgMar w:top="1134" w:right="567" w:bottom="1134" w:left="1701" w:header="567" w:footer="567" w:gutter="0"/>
      <w:cols w:space="129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ind w:firstLine="851"/>
        <w:jc w:val="both"/>
        <w:rPr>
          <w:sz w:val="20"/>
        </w:rPr>
      </w:pPr>
      <w:r>
        <w:rPr>
          <w:sz w:val="20"/>
        </w:rPr>
        <w:separator/>
      </w:r>
    </w:p>
  </w:endnote>
  <w:endnote w:type="continuationSeparator" w:id="0">
    <w:p>
      <w:pPr>
        <w:ind w:firstLine="851"/>
        <w:jc w:val="both"/>
        <w:rPr>
          <w:sz w:val="20"/>
        </w:rPr>
      </w:pPr>
      <w:r>
        <w:rPr>
          <w:sz w:val="20"/>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ind w:firstLine="851"/>
        <w:jc w:val="both"/>
        <w:rPr>
          <w:sz w:val="20"/>
        </w:rPr>
      </w:pPr>
      <w:r>
        <w:rPr>
          <w:sz w:val="20"/>
        </w:rPr>
        <w:separator/>
      </w:r>
    </w:p>
  </w:footnote>
  <w:footnote w:type="continuationSeparator" w:id="0">
    <w:p>
      <w:pPr>
        <w:ind w:firstLine="851"/>
        <w:jc w:val="both"/>
        <w:rPr>
          <w:sz w:val="20"/>
        </w:rPr>
      </w:pPr>
      <w:r>
        <w:rPr>
          <w:sz w:val="20"/>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drawingGridHorizontalSpacing w:val="57"/>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519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59E83482-3DCA-4594-A106-8823A46CC51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20223225">
      <w:bodyDiv w:val="1"/>
      <w:marLeft w:val="0"/>
      <w:marRight w:val="0"/>
      <w:marTop w:val="0"/>
      <w:marBottom w:val="0"/>
      <w:divBdr>
        <w:top w:val="none" w:sz="0" w:space="0" w:color="auto"/>
        <w:left w:val="none" w:sz="0" w:space="0" w:color="auto"/>
        <w:bottom w:val="none" w:sz="0" w:space="0" w:color="auto"/>
        <w:right w:val="none" w:sz="0" w:space="0" w:color="auto"/>
      </w:divBdr>
    </w:div>
    <w:div w:id="606618295">
      <w:bodyDiv w:val="1"/>
      <w:marLeft w:val="0"/>
      <w:marRight w:val="0"/>
      <w:marTop w:val="0"/>
      <w:marBottom w:val="0"/>
      <w:divBdr>
        <w:top w:val="none" w:sz="0" w:space="0" w:color="auto"/>
        <w:left w:val="none" w:sz="0" w:space="0" w:color="auto"/>
        <w:bottom w:val="none" w:sz="0" w:space="0" w:color="auto"/>
        <w:right w:val="none" w:sz="0" w:space="0" w:color="auto"/>
      </w:divBdr>
      <w:divsChild>
        <w:div w:id="41565846">
          <w:marLeft w:val="0"/>
          <w:marRight w:val="0"/>
          <w:marTop w:val="0"/>
          <w:marBottom w:val="150"/>
          <w:divBdr>
            <w:top w:val="none" w:sz="0" w:space="0" w:color="auto"/>
            <w:left w:val="none" w:sz="0" w:space="0" w:color="auto"/>
            <w:bottom w:val="none" w:sz="0" w:space="0" w:color="auto"/>
            <w:right w:val="none" w:sz="0" w:space="0" w:color="auto"/>
          </w:divBdr>
        </w:div>
        <w:div w:id="774132893">
          <w:marLeft w:val="0"/>
          <w:marRight w:val="0"/>
          <w:marTop w:val="30"/>
          <w:marBottom w:val="0"/>
          <w:divBdr>
            <w:top w:val="none" w:sz="0" w:space="0" w:color="auto"/>
            <w:left w:val="none" w:sz="0" w:space="0" w:color="auto"/>
            <w:bottom w:val="none" w:sz="0" w:space="0" w:color="auto"/>
            <w:right w:val="none" w:sz="0" w:space="0" w:color="auto"/>
          </w:divBdr>
        </w:div>
        <w:div w:id="786897419">
          <w:marLeft w:val="0"/>
          <w:marRight w:val="0"/>
          <w:marTop w:val="30"/>
          <w:marBottom w:val="0"/>
          <w:divBdr>
            <w:top w:val="none" w:sz="0" w:space="0" w:color="auto"/>
            <w:left w:val="none" w:sz="0" w:space="0" w:color="auto"/>
            <w:bottom w:val="none" w:sz="0" w:space="0" w:color="auto"/>
            <w:right w:val="none" w:sz="0" w:space="0" w:color="auto"/>
          </w:divBdr>
        </w:div>
        <w:div w:id="629047123">
          <w:marLeft w:val="0"/>
          <w:marRight w:val="0"/>
          <w:marTop w:val="30"/>
          <w:marBottom w:val="0"/>
          <w:divBdr>
            <w:top w:val="none" w:sz="0" w:space="0" w:color="auto"/>
            <w:left w:val="none" w:sz="0" w:space="0" w:color="auto"/>
            <w:bottom w:val="none" w:sz="0" w:space="0" w:color="auto"/>
            <w:right w:val="none" w:sz="0" w:space="0" w:color="auto"/>
          </w:divBdr>
        </w:div>
        <w:div w:id="1371151653">
          <w:marLeft w:val="0"/>
          <w:marRight w:val="0"/>
          <w:marTop w:val="0"/>
          <w:marBottom w:val="0"/>
          <w:divBdr>
            <w:top w:val="none" w:sz="0" w:space="0" w:color="auto"/>
            <w:left w:val="none" w:sz="0" w:space="0" w:color="auto"/>
            <w:bottom w:val="none" w:sz="0" w:space="0" w:color="auto"/>
            <w:right w:val="none" w:sz="0" w:space="0" w:color="auto"/>
          </w:divBdr>
          <w:divsChild>
            <w:div w:id="312374295">
              <w:marLeft w:val="0"/>
              <w:marRight w:val="0"/>
              <w:marTop w:val="0"/>
              <w:marBottom w:val="0"/>
              <w:divBdr>
                <w:top w:val="none" w:sz="0" w:space="0" w:color="auto"/>
                <w:left w:val="none" w:sz="0" w:space="0" w:color="auto"/>
                <w:bottom w:val="none" w:sz="0" w:space="0" w:color="auto"/>
                <w:right w:val="none" w:sz="0" w:space="0" w:color="auto"/>
              </w:divBdr>
            </w:div>
          </w:divsChild>
        </w:div>
        <w:div w:id="681510409">
          <w:marLeft w:val="0"/>
          <w:marRight w:val="0"/>
          <w:marTop w:val="30"/>
          <w:marBottom w:val="0"/>
          <w:divBdr>
            <w:top w:val="none" w:sz="0" w:space="0" w:color="auto"/>
            <w:left w:val="none" w:sz="0" w:space="0" w:color="auto"/>
            <w:bottom w:val="none" w:sz="0" w:space="0" w:color="auto"/>
            <w:right w:val="none" w:sz="0" w:space="0" w:color="auto"/>
          </w:divBdr>
        </w:div>
        <w:div w:id="307637959">
          <w:marLeft w:val="0"/>
          <w:marRight w:val="0"/>
          <w:marTop w:val="0"/>
          <w:marBottom w:val="0"/>
          <w:divBdr>
            <w:top w:val="none" w:sz="0" w:space="0" w:color="auto"/>
            <w:left w:val="none" w:sz="0" w:space="0" w:color="auto"/>
            <w:bottom w:val="none" w:sz="0" w:space="0" w:color="auto"/>
            <w:right w:val="none" w:sz="0" w:space="0" w:color="auto"/>
          </w:divBdr>
          <w:divsChild>
            <w:div w:id="54280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5427422">
      <w:bodyDiv w:val="1"/>
      <w:marLeft w:val="0"/>
      <w:marRight w:val="0"/>
      <w:marTop w:val="0"/>
      <w:marBottom w:val="0"/>
      <w:divBdr>
        <w:top w:val="none" w:sz="0" w:space="0" w:color="auto"/>
        <w:left w:val="none" w:sz="0" w:space="0" w:color="auto"/>
        <w:bottom w:val="none" w:sz="0" w:space="0" w:color="auto"/>
        <w:right w:val="none" w:sz="0" w:space="0" w:color="auto"/>
      </w:divBdr>
    </w:div>
    <w:div w:id="985283614">
      <w:bodyDiv w:val="1"/>
      <w:marLeft w:val="0"/>
      <w:marRight w:val="0"/>
      <w:marTop w:val="0"/>
      <w:marBottom w:val="0"/>
      <w:divBdr>
        <w:top w:val="none" w:sz="0" w:space="0" w:color="auto"/>
        <w:left w:val="none" w:sz="0" w:space="0" w:color="auto"/>
        <w:bottom w:val="none" w:sz="0" w:space="0" w:color="auto"/>
        <w:right w:val="none" w:sz="0" w:space="0" w:color="auto"/>
      </w:divBdr>
    </w:div>
    <w:div w:id="1042241880">
      <w:bodyDiv w:val="1"/>
      <w:marLeft w:val="0"/>
      <w:marRight w:val="0"/>
      <w:marTop w:val="0"/>
      <w:marBottom w:val="0"/>
      <w:divBdr>
        <w:top w:val="none" w:sz="0" w:space="0" w:color="auto"/>
        <w:left w:val="none" w:sz="0" w:space="0" w:color="auto"/>
        <w:bottom w:val="none" w:sz="0" w:space="0" w:color="auto"/>
        <w:right w:val="none" w:sz="0" w:space="0" w:color="auto"/>
      </w:divBdr>
    </w:div>
    <w:div w:id="1053312203">
      <w:bodyDiv w:val="1"/>
      <w:marLeft w:val="0"/>
      <w:marRight w:val="0"/>
      <w:marTop w:val="0"/>
      <w:marBottom w:val="0"/>
      <w:divBdr>
        <w:top w:val="none" w:sz="0" w:space="0" w:color="auto"/>
        <w:left w:val="none" w:sz="0" w:space="0" w:color="auto"/>
        <w:bottom w:val="none" w:sz="0" w:space="0" w:color="auto"/>
        <w:right w:val="none" w:sz="0" w:space="0" w:color="auto"/>
      </w:divBdr>
    </w:div>
    <w:div w:id="13225849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Relationships xmlns="http://schemas.openxmlformats.org/package/2006/relationships">
  <Relationship Id="rId1" Type="http://schemas.microsoft.com/office/2011/relationships/webextension" Target="webextension1.xml"/>
</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0CDB8805-B858-4200-8A12-6B2277143950}">
  <we:reference id="fdf991e6-9106-41cd-a3e3-a99d86201b80" version="1.0.0.0" store="\\localhost\DekaOfficeAddins" storeType="Filesystem"/>
  <we:alternateReferences/>
  <we:properties/>
  <we:bindings/>
  <we:snapshot xmlns:r="http://schemas.openxmlformats.org/officeDocument/2006/relationships"/>
</we:webextension>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9982824c0caf4bd8b3a2293b26dd3fdf" PartId="9ba6aaa4f29f4466bb33b1d7e230c625">
    <Part Type="preambule" DocPartId="7bb612d21542472ab9d691e6ec7b90bd" PartId="7606feb5115444f48c53012977618a22"/>
    <Part Type="punktas" Nr="1" Abbr="1 p." DocPartId="51d9286293a148d897f073c8ee246143" PartId="c2b3619e4fad424289bb6d770381421e">
      <Part Type="papunktis" Nr="1.1" Abbr="1.1 pp." DocPartId="d64108a422c34e6fb8ef81ed0ddfa5a9" PartId="23d0a31aab6b4e0faebf2c76d25f5391">
        <Part Type="citata" DocPartId="8cbd01a1d3814ff09b811bc838db9f47" PartId="1b2ec235bba54329bcc4bb0bb515640c">
          <Part Type="punktas" Nr="11" Abbr="11 p." DocPartId="3b07cbd48bfd440a9166f9914c6c3f9e" PartId="dc195562a8034db9b2ed6dee46407c6c"/>
        </Part>
      </Part>
      <Part Type="papunktis" Nr="1.2" Abbr="1.2 pp." DocPartId="2dadbe61c5384fff8249c1fa5e211c69" PartId="bdee3985a2284e05a09176a8bafc948f">
        <Part Type="citata" DocPartId="60bf7a5d6bf240ffac1f5b45e53eef38" PartId="ec773f76518f417088d5cce209ec8409">
          <Part Type="punktas" Nr="16" Abbr="16 p." DocPartId="4961eb7d83c8406a8e23ee28b6049363" PartId="4e1495522f8d47789fd31926df9368d7"/>
        </Part>
        <Part Type="pastraipa" DocPartId="f2d67c62294d4cd88bba8af527c8b698" PartId="48bb1ba51a9043ba8f0cb6c6a0ac08c5"/>
      </Part>
    </Part>
    <Part Type="skirsnis" Title="RADVILIŠKIO RAJONO SAVIVALDYBĖS TARYBOS SPRENDIMO PROJEKTO VIETINĖS RINKLIAVOS UŽ LEIDIMO ĮRENGTI IŠORINĘ REKLAMĄ RADVILIŠKIO RAJONO SAVIVALYBĖS TERITORIJOJE IŠDAVIMĄ NUOSTATŲ, PATVIRTINTŲ RADVILIŠKIO RAJONO SAVIVALYBĖS TARYBOS 2014 M. GRUODŽIO 18 D. SPRENDIMŲ NR. T-932 „DĖL VIETINĖS RINKLIAVOS UŽ LEIDIMO ĮRENGTI IŠORINĘ REKLAMĄ RADVILIŠKIO RAJONO SAVIVALYBĖS TERITORIJOJE IŠDAVIMĄ NUOSTATŲ PATVIRTINIMO“ PAKEITIMO AIŠKINAMASIS RAŠTAS" DocPartId="4f7134c34f9d48108b189b1b0fda3f27" PartId="dedc678fd2e846a18f31fb47296d1f1c">
      <Part Type="punktas" Nr="1" Abbr="1 p." DocPartId="4509612aeffc45e3842cac3beffcbf41" PartId="a94bca083b114d56b1b748078dd1a7fc"/>
      <Part Type="punktas" Nr="2" Abbr="2 p." DocPartId="fa2a7477584642aba54e0a7187276b1f" PartId="e13fe843ac274946a013282fbca46598"/>
      <Part Type="punktas" Nr="3" Abbr="3 p." DocPartId="03b9afdc20314be499083dcd9f1476dc" PartId="328bbf6f2afc49c68cf3aa366ac50481"/>
      <Part Type="punktas" Nr="4" Abbr="4 p." DocPartId="dbafd96ab1b145c598498c4ceb070b28" PartId="761c80a690234dc98ee14a5fa47d116a"/>
      <Part Type="punktas" Nr="5" Abbr="5 p." DocPartId="822eef77fcd14e7ea6cef77d035b87b5" PartId="14b2e7f6918d485780e4e285d4b8be1a"/>
      <Part Type="punktas" Nr="6" Abbr="6 p." DocPartId="475af66580b24c19aa219fd9ccbfc912" PartId="bf35edb56692430b880d0d7d7f6bc090"/>
      <Part Type="punktas" Nr="7" Abbr="7 p." DocPartId="be73ac159f1544fd908518ecfe3598bb" PartId="672a04f363fa4bce92c4e4f260ecb6ee"/>
      <Part Type="punktas" Nr="8" Abbr="8 p." DocPartId="4f2e612431d14b88802f9c97c5ad4288" PartId="7d5b6329a2d74973b429bf024a2d7122"/>
      <Part Type="punktas" Nr="9" Abbr="9 p." DocPartId="f7a6d670a175488e8e130ae999f445d6" PartId="cda5d8af2fa04ed58b59840b0187655b"/>
      <Part Type="punktas" Nr="10" Abbr="10 p." DocPartId="18d2cb07d4744ca2b86235629ed223ae" PartId="c7533e05c62b4dce9393c437dbb4e429"/>
      <Part Type="punktas" Nr="11" Abbr="11 p." DocPartId="631dfd8844a743a9ae036b1a9d3635f4" PartId="86f3779a0bdf4093a0d7639ebaed6f7c"/>
      <Part Type="punktas" Nr="12" Abbr="12 p." DocPartId="5ea1cbd0cb5e448b8b13103c1717fc85" PartId="f8f9b57a77ca4edc83bade085f922154"/>
    </Part>
    <Part Type="signatura" DocPartId="dbc5f34756e5414f810d5084411528ab" PartId="12b04e8467df4ac19a8740cda566bef3"/>
  </Part>
</Parts>
</file>

<file path=customXml/itemProps1.xml><?xml version="1.0" encoding="utf-8"?>
<ds:datastoreItem xmlns:ds="http://schemas.openxmlformats.org/officeDocument/2006/customXml" ds:itemID="{7292A766-1AE7-4873-ABFA-487344840A10}">
  <ds:schemaRefs>
    <ds:schemaRef ds:uri="http://schemas.openxmlformats.org/officeDocument/2006/bibliography"/>
  </ds:schemaRefs>
</ds:datastoreItem>
</file>

<file path=customXml/itemProps2.xml><?xml version="1.0" encoding="utf-8"?>
<ds:datastoreItem xmlns:ds="http://schemas.openxmlformats.org/officeDocument/2006/customXml" ds:itemID="{39D5A826-A33C-4DF5-8165-9C556816EF0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584</Words>
  <Characters>4318</Characters>
  <Application>Microsoft Office Word</Application>
  <DocSecurity>4</DocSecurity>
  <Lines>107</Lines>
  <Paragraphs>52</Paragraphs>
  <ScaleCrop>false</ScaleCrop>
  <HeadingPairs>
    <vt:vector size="6" baseType="variant">
      <vt:variant>
        <vt:lpstr>Pavadinimas</vt:lpstr>
      </vt:variant>
      <vt:variant>
        <vt:i4>1</vt:i4>
      </vt:variant>
      <vt:variant>
        <vt:lpstr>Title</vt:lpstr>
      </vt:variant>
      <vt:variant>
        <vt:i4>1</vt:i4>
      </vt:variant>
      <vt:variant>
        <vt:lpstr>Headings</vt:lpstr>
      </vt:variant>
      <vt:variant>
        <vt:i4>3</vt:i4>
      </vt:variant>
    </vt:vector>
  </HeadingPairs>
  <TitlesOfParts>
    <vt:vector size="5" baseType="lpstr">
      <vt:lpstr>Projektas</vt:lpstr>
      <vt:lpstr>Projektas</vt:lpstr>
      <vt:lpstr>        RADVILIŠKIO RAJONO SAVIVALDYBĖS TARYBA</vt:lpstr>
      <vt:lpstr>SPRENDIMAS</vt:lpstr>
      <vt:lpstr>DĖL BENDRADARBIAVIMO SUTARTIES NUTRAUKIMO</vt:lpstr>
    </vt:vector>
  </TitlesOfParts>
  <Company/>
  <LinksUpToDate>false</LinksUpToDate>
  <CharactersWithSpaces>4850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2025-10-30T13:02:00Z</dcterms:created>
  <dc:creator>1</dc:creator>
  <lastModifiedBy>adlibuser</lastModifiedBy>
  <lastPrinted>2025-10-28T10:38:00Z</lastPrinted>
  <dcterms:modified xsi:type="dcterms:W3CDTF">2025-10-30T13:02:00Z</dcterms:modified>
  <revision>2</revision>
  <dc:title>Projektas</dc:title>
</coreProperties>
</file>