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af8ca59e79046ada0553e1aa9e4ac6a"/>
        <w:lock w:val="sdtLocked"/>
        <w:richText/>
      </w:sdtPr>
      <w:sdtContent>
        <w:p>
          <w:pPr>
            <w:tabs>
              <w:tab w:val="center" w:pos="4819"/>
              <w:tab w:val="right" w:pos="9638"/>
            </w:tabs>
            <w:rPr>
              <w:szCs w:val="24"/>
              <w:lang w:val="en-GB"/>
            </w:rPr>
          </w:pPr>
        </w:p>
        <w:p>
          <w:pPr>
            <w:jc w:val="right"/>
            <w:rPr>
              <w:b/>
              <w:szCs w:val="24"/>
            </w:rPr>
          </w:pPr>
          <w:r>
            <w:rPr>
              <w:b/>
              <w:szCs w:val="24"/>
            </w:rPr>
            <w:t>Projektas</w:t>
          </w:r>
        </w:p>
        <w:p>
          <w:pPr>
            <w:jc w:val="center"/>
            <w:rPr>
              <w:b/>
              <w:szCs w:val="24"/>
            </w:rPr>
          </w:pPr>
        </w:p>
        <w:p>
          <w:pPr>
            <w:jc w:val="center"/>
            <w:rPr>
              <w:b/>
              <w:szCs w:val="24"/>
            </w:rPr>
          </w:pPr>
        </w:p>
        <w:p>
          <w:pPr>
            <w:jc w:val="center"/>
            <w:rPr>
              <w:b/>
              <w:szCs w:val="24"/>
            </w:rPr>
          </w:pPr>
          <w:r>
            <w:rPr>
              <w:b/>
              <w:szCs w:val="24"/>
            </w:rPr>
            <w:t>LIETUVOS RESPUBLIKOS SVEIKATOS APSAUGOS MINISTRAS</w:t>
          </w:r>
        </w:p>
        <w:p>
          <w:pPr>
            <w:jc w:val="center"/>
            <w:rPr>
              <w:b/>
              <w:szCs w:val="24"/>
            </w:rPr>
          </w:pPr>
        </w:p>
        <w:p>
          <w:pPr>
            <w:jc w:val="center"/>
            <w:rPr>
              <w:b/>
              <w:szCs w:val="24"/>
            </w:rPr>
          </w:pPr>
          <w:r>
            <w:rPr>
              <w:b/>
              <w:szCs w:val="24"/>
            </w:rPr>
            <w:t>ĮSAKYMAS</w:t>
          </w:r>
        </w:p>
        <w:p>
          <w:pPr>
            <w:jc w:val="center"/>
            <w:rPr>
              <w:b/>
              <w:bCs/>
              <w:szCs w:val="24"/>
            </w:rPr>
          </w:pPr>
          <w:r>
            <w:rPr>
              <w:b/>
              <w:bCs/>
              <w:szCs w:val="24"/>
            </w:rPr>
            <w:t>DĖL LIETUVOS RESPUBLIKOS SVEIKATOS APSAUGOS MINISTRO 2011 M. VASARIO 10 D. ĮSAKYMO NR. V-133 „DĖL LIETUVOS HIGIENOS NORMOS HN 125:2011 „SUAUGUSIŲ ASMENŲ STACIONARIOS SOCIALINĖS GLOBOS ĮSTAIGOS: BENDRIEJI SVEIKATOS SAUGOS REIKALAVIMAI“ PATVIRTINIMO“ PAKEITIMO</w:t>
          </w:r>
        </w:p>
        <w:p>
          <w:pPr>
            <w:jc w:val="center"/>
            <w:rPr>
              <w:szCs w:val="24"/>
            </w:rPr>
          </w:pPr>
        </w:p>
        <w:p>
          <w:pPr>
            <w:jc w:val="center"/>
            <w:rPr>
              <w:szCs w:val="24"/>
            </w:rPr>
          </w:pPr>
          <w:r>
            <w:rPr>
              <w:szCs w:val="24"/>
            </w:rPr>
            <w:t xml:space="preserve">2019 m.                         d. Nr.               </w:t>
          </w:r>
        </w:p>
        <w:p>
          <w:pPr>
            <w:jc w:val="center"/>
            <w:rPr>
              <w:szCs w:val="24"/>
            </w:rPr>
          </w:pPr>
          <w:r>
            <w:rPr>
              <w:szCs w:val="24"/>
            </w:rPr>
            <w:t>Vilnius</w:t>
          </w:r>
        </w:p>
        <w:p>
          <w:pPr>
            <w:jc w:val="center"/>
            <w:rPr>
              <w:szCs w:val="24"/>
            </w:rPr>
          </w:pPr>
        </w:p>
        <w:p>
          <w:pPr>
            <w:jc w:val="center"/>
            <w:rPr>
              <w:szCs w:val="24"/>
            </w:rPr>
          </w:pPr>
        </w:p>
        <w:sdt>
          <w:sdtPr>
            <w:alias w:val="pastraipa"/>
            <w:tag w:val="part_774cd0ed4acc4e929975fa60b3a81dd4"/>
            <w:lock w:val="sdtLocked"/>
            <w:richText/>
          </w:sdtPr>
          <w:sdtContent>
            <w:p>
              <w:pPr>
                <w:ind w:firstLine="720"/>
                <w:jc w:val="both"/>
                <w:rPr>
                  <w:szCs w:val="24"/>
                  <w:lang w:eastAsia="lt-LT"/>
                </w:rPr>
              </w:pPr>
              <w:r>
                <w:rPr>
                  <w:szCs w:val="24"/>
                  <w:lang w:eastAsia="lt-LT"/>
                </w:rPr>
                <w:t>P a k e i č i u Lietuvos Respublikos sveikatos apsaugos ministro 2011 m. vasario 10 d. įsakymą Nr. V-133 „Dėl Lietuvos higienos normos HN 125:2011 „Suaugusių asmenų stacionarios socialinės globos įstaigos: bendrieji sveikatos saugos reikalavimai“ patvirtinimo“ ir jį išdėstau nauja redakcija:</w:t>
              </w:r>
            </w:p>
            <w:p>
              <w:pPr>
                <w:jc w:val="center"/>
                <w:rPr>
                  <w:szCs w:val="24"/>
                  <w:lang w:eastAsia="lt-LT"/>
                </w:rPr>
              </w:pPr>
            </w:p>
            <w:sdt>
              <w:sdtPr>
                <w:alias w:val="citata"/>
                <w:tag w:val="part_66694bc3804b4d76950dd911213de249"/>
                <w:lock w:val="sdtLocked"/>
                <w:richText/>
              </w:sdtPr>
              <w:sdtContent>
                <w:sdt>
                  <w:sdtPr>
                    <w:alias w:val="pagrindine"/>
                    <w:tag w:val="part_c704c3974abf414a927ef1046ec1a13f"/>
                    <w:lock w:val="sdtLocked"/>
                    <w:richText/>
                  </w:sdtPr>
                  <w:sdtContent>
                    <w:p>
                      <w:pPr>
                        <w:jc w:val="center"/>
                        <w:rPr>
                          <w:b/>
                          <w:lang w:eastAsia="lt-LT"/>
                        </w:rPr>
                      </w:pPr>
                      <w:r>
                        <w:rPr>
                          <w:szCs w:val="24"/>
                          <w:lang w:eastAsia="lt-LT"/>
                        </w:rPr>
                        <w:t>„</w:t>
                      </w:r>
                      <w:r>
                        <w:rPr>
                          <w:b/>
                          <w:lang w:eastAsia="lt-LT"/>
                        </w:rPr>
                        <w:t>LIETUVOS RESPUBLIKOS SVEIKATOS APSAUGOS MINISTRAS</w:t>
                      </w:r>
                    </w:p>
                    <w:p>
                      <w:pPr>
                        <w:jc w:val="center"/>
                        <w:rPr>
                          <w:lang w:eastAsia="lt-LT"/>
                        </w:rPr>
                      </w:pPr>
                    </w:p>
                    <w:p>
                      <w:pPr>
                        <w:jc w:val="center"/>
                        <w:rPr>
                          <w:b/>
                          <w:lang w:eastAsia="lt-LT"/>
                        </w:rPr>
                      </w:pPr>
                      <w:r>
                        <w:rPr>
                          <w:b/>
                          <w:lang w:eastAsia="lt-LT"/>
                        </w:rPr>
                        <w:t>ĮSAKYMAS</w:t>
                      </w:r>
                    </w:p>
                    <w:p>
                      <w:pPr>
                        <w:jc w:val="center"/>
                        <w:rPr>
                          <w:b/>
                          <w:lang w:eastAsia="lt-LT"/>
                        </w:rPr>
                      </w:pPr>
                      <w:r>
                        <w:rPr>
                          <w:b/>
                          <w:lang w:eastAsia="lt-LT"/>
                        </w:rPr>
                        <w:t>DĖL LIETUVOS HIGIENOS NORMOS HN 125:2019 „</w:t>
                      </w:r>
                      <w:r>
                        <w:rPr>
                          <w:b/>
                          <w:szCs w:val="24"/>
                          <w:lang w:eastAsia="lt-LT"/>
                        </w:rPr>
                        <w:t>SUAUGUSIŲ ASMENŲ SOCIALINĖS GLOBOS ĮSTAIGOS: BENDRIEJI SVEIKATOS SAUGOS REIKALAVIMAI</w:t>
                      </w:r>
                      <w:r>
                        <w:rPr>
                          <w:b/>
                          <w:lang w:eastAsia="lt-LT"/>
                        </w:rPr>
                        <w:t>“ PATVIRTINIMO</w:t>
                      </w:r>
                    </w:p>
                    <w:p>
                      <w:pPr>
                        <w:jc w:val="center"/>
                        <w:rPr>
                          <w:lang w:eastAsia="lt-LT"/>
                        </w:rPr>
                      </w:pPr>
                    </w:p>
                    <w:sdt>
                      <w:sdtPr>
                        <w:alias w:val="preambule"/>
                        <w:tag w:val="part_0b66b011770044ad91137914b6471372"/>
                        <w:lock w:val="sdtLocked"/>
                        <w:richText/>
                      </w:sdtPr>
                      <w:sdtContent>
                        <w:p>
                          <w:pPr>
                            <w:widowControl w:val="0"/>
                            <w:suppressAutoHyphens/>
                            <w:ind w:firstLine="720"/>
                            <w:jc w:val="both"/>
                            <w:rPr>
                              <w:szCs w:val="24"/>
                            </w:rPr>
                          </w:pPr>
                          <w:r>
                            <w:rPr>
                              <w:szCs w:val="24"/>
                            </w:rPr>
                            <w:t>Vadovaudamasis Lietuvos Respublikos visuomenės sveikatos priežiūros įstatymo 2 straipsnio 12 dalimi ir 16 straipsnio 1 dalimi:</w:t>
                          </w:r>
                        </w:p>
                      </w:sdtContent>
                    </w:sdt>
                    <w:sdt>
                      <w:sdtPr>
                        <w:alias w:val="1 p."/>
                        <w:tag w:val="part_5c4cc2d46bb64887ad0c9a6a155f34d0"/>
                        <w:lock w:val="sdtLocked"/>
                        <w:richText/>
                      </w:sdtPr>
                      <w:sdtContent>
                        <w:p>
                          <w:pPr>
                            <w:widowControl w:val="0"/>
                            <w:suppressAutoHyphens/>
                            <w:ind w:firstLine="720"/>
                            <w:jc w:val="both"/>
                            <w:rPr>
                              <w:szCs w:val="24"/>
                            </w:rPr>
                          </w:pPr>
                          <w:sdt>
                            <w:sdtPr>
                              <w:alias w:val="Numeris"/>
                              <w:tag w:val="nr_5c4cc2d46bb64887ad0c9a6a155f34d0"/>
                              <w:lock w:val="sdtLocked"/>
                              <w:richText/>
                            </w:sdtPr>
                            <w:sdtContent>
                              <w:r>
                                <w:rPr>
                                  <w:szCs w:val="24"/>
                                </w:rPr>
                                <w:t>1</w:t>
                              </w:r>
                            </w:sdtContent>
                          </w:sdt>
                          <w:r>
                            <w:rPr>
                              <w:szCs w:val="24"/>
                            </w:rPr>
                            <w:t>. T v i r t i n u Lietuvos higienos normą HN 125:2019 „Suaugusių asmenų socialinės globos įstaigos: bendrieji sveikatos saugos reikalavimai“ (pridedama).</w:t>
                          </w:r>
                        </w:p>
                      </w:sdtContent>
                    </w:sdt>
                    <w:sdt>
                      <w:sdtPr>
                        <w:alias w:val="2 p."/>
                        <w:tag w:val="part_2c9a7a637f664f07b0e29348b1e927c9"/>
                        <w:lock w:val="sdtLocked"/>
                        <w:richText/>
                      </w:sdtPr>
                      <w:sdtContent>
                        <w:p>
                          <w:pPr>
                            <w:widowControl w:val="0"/>
                            <w:suppressAutoHyphens/>
                            <w:ind w:firstLine="720"/>
                            <w:jc w:val="both"/>
                            <w:rPr>
                              <w:szCs w:val="24"/>
                            </w:rPr>
                          </w:pPr>
                          <w:sdt>
                            <w:sdtPr>
                              <w:alias w:val="Numeris"/>
                              <w:tag w:val="nr_2c9a7a637f664f07b0e29348b1e927c9"/>
                              <w:lock w:val="sdtLocked"/>
                              <w:richText/>
                            </w:sdtPr>
                            <w:sdtContent>
                              <w:r>
                                <w:rPr>
                                  <w:szCs w:val="24"/>
                                </w:rPr>
                                <w:t>2</w:t>
                              </w:r>
                            </w:sdtContent>
                          </w:sdt>
                          <w:r>
                            <w:rPr>
                              <w:szCs w:val="24"/>
                            </w:rPr>
                            <w:t>. P a v e d u įsakymo vykdymo kontrolę viceministrui pagal veiklos sritį.“</w:t>
                          </w:r>
                        </w:p>
                      </w:sdtContent>
                    </w:sdt>
                    <w:sdt>
                      <w:sdtPr>
                        <w:alias w:val="3 p."/>
                        <w:tag w:val="part_92047d202bcb4990a6ff9d073e69139d"/>
                        <w:lock w:val="sdtLocked"/>
                        <w:richText/>
                      </w:sdtPr>
                      <w:sdtContent>
                        <w:p>
                          <w:pPr>
                            <w:widowControl w:val="0"/>
                            <w:suppressAutoHyphens/>
                            <w:ind w:firstLine="720"/>
                            <w:jc w:val="both"/>
                            <w:rPr>
                              <w:szCs w:val="24"/>
                            </w:rPr>
                          </w:pPr>
                          <w:sdt>
                            <w:sdtPr>
                              <w:alias w:val="Numeris"/>
                              <w:tag w:val="nr_92047d202bcb4990a6ff9d073e69139d"/>
                              <w:lock w:val="sdtLocked"/>
                              <w:richText/>
                            </w:sdtPr>
                            <w:sdtContent>
                              <w:r>
                                <w:rPr>
                                  <w:szCs w:val="24"/>
                                </w:rPr>
                                <w:t>3</w:t>
                              </w:r>
                            </w:sdtContent>
                          </w:sdt>
                          <w:r>
                            <w:rPr>
                              <w:szCs w:val="24"/>
                            </w:rPr>
                            <w:t>. N u s t a t a u, kad šis įsakymas įsigalioja 2019 m. lapkričio 1 d.</w:t>
                          </w:r>
                        </w:p>
                        <w:p>
                          <w:pPr>
                            <w:jc w:val="both"/>
                            <w:rPr>
                              <w:szCs w:val="24"/>
                            </w:rPr>
                          </w:pPr>
                        </w:p>
                        <w:p>
                          <w:pPr>
                            <w:jc w:val="both"/>
                            <w:rPr>
                              <w:szCs w:val="24"/>
                            </w:rPr>
                          </w:pPr>
                        </w:p>
                        <w:p>
                          <w:pPr>
                            <w:jc w:val="both"/>
                            <w:rPr>
                              <w:szCs w:val="24"/>
                            </w:rPr>
                          </w:pPr>
                        </w:p>
                      </w:sdtContent>
                    </w:sdt>
                  </w:sdtContent>
                </w:sdt>
              </w:sdtContent>
            </w:sdt>
          </w:sdtContent>
        </w:sdt>
        <w:sdt>
          <w:sdtPr>
            <w:alias w:val="signatura"/>
            <w:tag w:val="part_723d05f55af343ea90cadb23899b2ef0"/>
            <w:lock w:val="sdtLocked"/>
            <w:richText/>
          </w:sdtPr>
          <w:sdtContent>
            <w:p>
              <w:pPr>
                <w:jc w:val="both"/>
                <w:rPr>
                  <w:szCs w:val="24"/>
                </w:rPr>
              </w:pPr>
              <w:r>
                <w:rPr>
                  <w:szCs w:val="24"/>
                </w:rPr>
                <w:t>Sveikatos apsaugos ministras</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r>
                <w:rPr>
                  <w:szCs w:val="24"/>
                </w:rPr>
                <w:t>Teisės aktas</w:t>
              </w:r>
            </w:p>
            <w:p>
              <w:pPr>
                <w:jc w:val="both"/>
                <w:rPr>
                  <w:szCs w:val="24"/>
                </w:rPr>
              </w:pPr>
            </w:p>
            <w:p>
              <w:pPr>
                <w:jc w:val="both"/>
                <w:rPr>
                  <w:szCs w:val="24"/>
                </w:rPr>
              </w:pPr>
            </w:p>
            <w:p>
              <w:pPr>
                <w:jc w:val="both"/>
                <w:rPr>
                  <w:szCs w:val="24"/>
                </w:rPr>
              </w:pPr>
              <w:r>
                <w:rPr>
                  <w:szCs w:val="24"/>
                </w:rPr>
                <w:t>Parengė</w:t>
              </w:r>
            </w:p>
            <w:p>
              <w:pPr>
                <w:jc w:val="both"/>
                <w:rPr>
                  <w:szCs w:val="24"/>
                </w:rPr>
              </w:pPr>
            </w:p>
            <w:p>
              <w:pPr>
                <w:jc w:val="both"/>
                <w:rPr>
                  <w:szCs w:val="24"/>
                  <w:lang w:val="en-US"/>
                </w:rPr>
              </w:pPr>
              <w:r>
                <w:rPr>
                  <w:szCs w:val="24"/>
                </w:rPr>
                <w:t xml:space="preserve">G. Namajūnaitė, </w:t>
              </w:r>
              <w:r>
                <w:rPr>
                  <w:szCs w:val="24"/>
                  <w:lang w:val="en-US"/>
                </w:rPr>
                <w:t>tel. (8 5) 205 5294</w:t>
              </w:r>
            </w:p>
            <w:p>
              <w:pPr>
                <w:jc w:val="both"/>
                <w:rPr>
                  <w:szCs w:val="24"/>
                  <w:lang w:val="en-US"/>
                </w:rPr>
              </w:pPr>
            </w:p>
            <w:p>
              <w:pPr>
                <w:jc w:val="both"/>
                <w:rPr>
                  <w:szCs w:val="24"/>
                </w:rPr>
              </w:pPr>
            </w:p>
            <w:p>
              <w:pPr>
                <w:jc w:val="both"/>
                <w:rPr>
                  <w:szCs w:val="24"/>
                </w:rPr>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709" w:footer="709" w:gutter="0"/>
                  <w:pgNumType w:start="1"/>
                  <w:cols w:space="708"/>
                  <w:titlePg/>
                  <w:docGrid w:linePitch="360"/>
                </w:sectPr>
              </w:pPr>
            </w:p>
            <w:p>
              <w:pPr>
                <w:tabs>
                  <w:tab w:val="center" w:pos="4819"/>
                  <w:tab w:val="right" w:pos="9638"/>
                </w:tabs>
                <w:rPr>
                  <w:szCs w:val="24"/>
                  <w:lang w:val="en-GB"/>
                </w:rPr>
              </w:pPr>
            </w:p>
          </w:sdtContent>
        </w:sdt>
      </w:sdtContent>
    </w:sdt>
    <w:sdt>
      <w:sdtPr>
        <w:alias w:val="patvirtinta"/>
        <w:tag w:val="part_82afdab7430540598425821d095ad89f"/>
        <w:lock w:val="sdtLocked"/>
        <w:richText/>
      </w:sdtPr>
      <w:sdtContent>
        <w:p>
          <w:pPr>
            <w:tabs>
              <w:tab w:val="left" w:pos="1304"/>
              <w:tab w:val="left" w:pos="1457"/>
              <w:tab w:val="left" w:pos="1604"/>
              <w:tab w:val="left" w:pos="1757"/>
              <w:tab w:val="left" w:pos="6660"/>
              <w:tab w:val="left" w:pos="9180"/>
              <w:tab w:val="left" w:pos="9360"/>
            </w:tabs>
            <w:ind w:left="5529"/>
            <w:rPr>
              <w:szCs w:val="24"/>
            </w:rPr>
          </w:pPr>
          <w:r>
            <w:rPr>
              <w:szCs w:val="24"/>
            </w:rPr>
            <w:t>PATVIRTINTA</w:t>
          </w:r>
        </w:p>
        <w:p>
          <w:pPr>
            <w:tabs>
              <w:tab w:val="left" w:pos="1304"/>
              <w:tab w:val="left" w:pos="1457"/>
              <w:tab w:val="left" w:pos="1604"/>
              <w:tab w:val="left" w:pos="1757"/>
              <w:tab w:val="left" w:pos="6660"/>
              <w:tab w:val="left" w:pos="9180"/>
              <w:tab w:val="left" w:pos="9360"/>
            </w:tabs>
            <w:ind w:left="5529"/>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5529"/>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5529"/>
            <w:rPr>
              <w:szCs w:val="24"/>
            </w:rPr>
          </w:pPr>
          <w:r>
            <w:rPr>
              <w:szCs w:val="24"/>
            </w:rPr>
            <w:t>2011 m. vasario 10 d. įsakymu Nr. V-133</w:t>
          </w:r>
        </w:p>
        <w:p>
          <w:pPr>
            <w:tabs>
              <w:tab w:val="left" w:pos="1304"/>
              <w:tab w:val="left" w:pos="1457"/>
              <w:tab w:val="left" w:pos="1604"/>
              <w:tab w:val="left" w:pos="1757"/>
              <w:tab w:val="left" w:pos="6660"/>
              <w:tab w:val="left" w:pos="9180"/>
              <w:tab w:val="left" w:pos="9360"/>
            </w:tabs>
            <w:ind w:left="5529"/>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5529"/>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5529"/>
            <w:rPr>
              <w:szCs w:val="24"/>
            </w:rPr>
          </w:pPr>
          <w:r>
            <w:rPr>
              <w:szCs w:val="24"/>
            </w:rPr>
            <w:t xml:space="preserve">2019 m.                       d. įsakymo Nr. </w:t>
          </w:r>
        </w:p>
        <w:p>
          <w:pPr>
            <w:tabs>
              <w:tab w:val="left" w:pos="1304"/>
              <w:tab w:val="left" w:pos="1457"/>
              <w:tab w:val="left" w:pos="1604"/>
              <w:tab w:val="left" w:pos="1757"/>
              <w:tab w:val="left" w:pos="6660"/>
              <w:tab w:val="left" w:pos="9180"/>
              <w:tab w:val="left" w:pos="9360"/>
            </w:tabs>
            <w:ind w:left="5529"/>
            <w:rPr>
              <w:szCs w:val="24"/>
            </w:rPr>
          </w:pPr>
          <w:r>
            <w:rPr>
              <w:szCs w:val="24"/>
            </w:rPr>
            <w:t>redakcija)</w:t>
          </w:r>
        </w:p>
        <w:p>
          <w:pPr>
            <w:jc w:val="center"/>
            <w:rPr>
              <w:szCs w:val="24"/>
            </w:rPr>
          </w:pPr>
        </w:p>
        <w:p>
          <w:pPr>
            <w:jc w:val="center"/>
            <w:rPr>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82afdab7430540598425821d095ad89f"/>
              <w:lock w:val="sdtLocked"/>
              <w:richText/>
            </w:sdtPr>
            <w:sdtContent>
              <w:r>
                <w:rPr>
                  <w:b/>
                  <w:szCs w:val="24"/>
                </w:rPr>
                <w:t>LIETUVOS HIGIENOS NORMA HN 125:2019 „ SUAUGUSIŲ ASMENŲ SOCIALINĖS GLOBOS ĮSTAIGOS: BENDRIEJI SVEIKATOS SAUGOS REIKALAVIMAI“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sdt>
          <w:sdtPr>
            <w:alias w:val="skyrius"/>
            <w:tag w:val="part_cfe240ec15e24674beac65705beedea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cfe240ec15e24674beac65705beedeab"/>
                  <w:lock w:val="sdtLocked"/>
                  <w:richText/>
                </w:sdtPr>
                <w:sdtContent>
                  <w:r>
                    <w:rPr>
                      <w:b/>
                      <w:szCs w:val="24"/>
                    </w:rPr>
                    <w:t>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cfe240ec15e24674beac65705beedeab"/>
                  <w:lock w:val="sdtLocked"/>
                  <w:richText/>
                </w:sdtPr>
                <w:sdtContent>
                  <w:r>
                    <w:rPr>
                      <w:b/>
                      <w:szCs w:val="24"/>
                    </w:rPr>
                    <w:t>BENDROSIOS NUOSTATOS</w:t>
                  </w:r>
                </w:sdtContent>
              </w:sdt>
            </w:p>
            <w:p>
              <w:pPr>
                <w:widowControl w:val="0"/>
                <w:suppressAutoHyphens/>
                <w:jc w:val="center"/>
                <w:rPr>
                  <w:color w:val="000000"/>
                  <w:szCs w:val="24"/>
                </w:rPr>
              </w:pPr>
            </w:p>
            <w:sdt>
              <w:sdtPr>
                <w:alias w:val="1 p."/>
                <w:tag w:val="part_88757c9396c14f77b05ecb223d0f2161"/>
                <w:lock w:val="sdtLocked"/>
                <w:richText/>
              </w:sdtPr>
              <w:sdtContent>
                <w:p>
                  <w:pPr>
                    <w:widowControl w:val="0"/>
                    <w:suppressAutoHyphens/>
                    <w:ind w:firstLine="720"/>
                    <w:jc w:val="both"/>
                    <w:rPr>
                      <w:szCs w:val="24"/>
                    </w:rPr>
                  </w:pPr>
                  <w:sdt>
                    <w:sdtPr>
                      <w:alias w:val="Numeris"/>
                      <w:tag w:val="nr_88757c9396c14f77b05ecb223d0f2161"/>
                      <w:lock w:val="sdtLocked"/>
                      <w:richText/>
                    </w:sdtPr>
                    <w:sdtContent>
                      <w:r>
                        <w:rPr>
                          <w:color w:val="000000"/>
                          <w:szCs w:val="24"/>
                        </w:rPr>
                        <w:t>1</w:t>
                      </w:r>
                    </w:sdtContent>
                  </w:sdt>
                  <w:r>
                    <w:rPr>
                      <w:color w:val="000000"/>
                      <w:szCs w:val="24"/>
                    </w:rPr>
                    <w:t xml:space="preserve">. </w:t>
                  </w:r>
                  <w:r>
                    <w:rPr>
                      <w:color w:val="000000"/>
                      <w:spacing w:val="-4"/>
                      <w:szCs w:val="24"/>
                    </w:rPr>
                    <w:t xml:space="preserve">Lietuvos higienos norma HN 125:2018 „Suaugusių asmenų socialinės globos įstaigos: bendrieji sveikatos saugos reikalavimai“ (toliau – ši higienos norma) nustato pagrindinius </w:t>
                  </w:r>
                  <w:r>
                    <w:rPr>
                      <w:szCs w:val="24"/>
                    </w:rPr>
                    <w:t>suaugusių asmenų socialinės globos įstaigų – senų žmonių socialinės globos namų, specializuotų socialinės globos namų, specialiųjų socialinės globos namų, socialinės globos namų suaugusiems asmenims su negalia (toliau kartu vadinami stacionarios globos įstaigos), grupinio gyvenimo namų senyvo amžiaus žmonėms, grupinio gyvenimo namų suaugusiems asmenims su negalia visuomenės sveikatos saugos reikalavimus.</w:t>
                  </w:r>
                </w:p>
              </w:sdtContent>
            </w:sdt>
            <w:sdt>
              <w:sdtPr>
                <w:alias w:val="2 p."/>
                <w:tag w:val="part_0257daecaa5840aeb92ccbb5479f9fd2"/>
                <w:lock w:val="sdtLocked"/>
                <w:richText/>
              </w:sdtPr>
              <w:sdtContent>
                <w:p>
                  <w:pPr>
                    <w:widowControl w:val="0"/>
                    <w:suppressAutoHyphens/>
                    <w:ind w:firstLine="720"/>
                    <w:jc w:val="both"/>
                    <w:rPr>
                      <w:szCs w:val="24"/>
                    </w:rPr>
                  </w:pPr>
                  <w:sdt>
                    <w:sdtPr>
                      <w:alias w:val="Numeris"/>
                      <w:tag w:val="nr_0257daecaa5840aeb92ccbb5479f9fd2"/>
                      <w:lock w:val="sdtLocked"/>
                      <w:richText/>
                    </w:sdtPr>
                    <w:sdtContent>
                      <w:r>
                        <w:rPr>
                          <w:szCs w:val="24"/>
                        </w:rPr>
                        <w:t>2</w:t>
                      </w:r>
                    </w:sdtContent>
                  </w:sdt>
                  <w:r>
                    <w:rPr>
                      <w:szCs w:val="24"/>
                    </w:rPr>
                    <w:t>. Šios higienos normos reikalavimai privalomi asmenims, projektuojantiems, statantiems, rekonstruojantiems, remontuojantiems, naudojantiems suaugusių asmenų socialinės globos įstaigų statinius ir (ar) patalpas, suaugusių asmenų socialinės globos įstaigų steigėjams ir vadovams, pagal kompetenciją kontrolę vykdančioms institucijoms.</w:t>
                  </w:r>
                </w:p>
              </w:sdtContent>
            </w:sdt>
            <w:sdt>
              <w:sdtPr>
                <w:alias w:val="3 p."/>
                <w:tag w:val="part_6425ea791a1b4beeaaefdb31477e941f"/>
                <w:lock w:val="sdtLocked"/>
                <w:richText/>
              </w:sdtPr>
              <w:sdtContent>
                <w:p>
                  <w:pPr>
                    <w:widowControl w:val="0"/>
                    <w:suppressAutoHyphens/>
                    <w:ind w:firstLine="720"/>
                    <w:jc w:val="both"/>
                    <w:rPr>
                      <w:spacing w:val="-3"/>
                      <w:szCs w:val="24"/>
                    </w:rPr>
                  </w:pPr>
                  <w:sdt>
                    <w:sdtPr>
                      <w:alias w:val="Numeris"/>
                      <w:tag w:val="nr_6425ea791a1b4beeaaefdb31477e941f"/>
                      <w:lock w:val="sdtLocked"/>
                      <w:richText/>
                    </w:sdtPr>
                    <w:sdtContent>
                      <w:r>
                        <w:rPr>
                          <w:spacing w:val="-3"/>
                          <w:szCs w:val="24"/>
                        </w:rPr>
                        <w:t>3</w:t>
                      </w:r>
                    </w:sdtContent>
                  </w:sdt>
                  <w:r>
                    <w:rPr>
                      <w:spacing w:val="-3"/>
                      <w:szCs w:val="24"/>
                    </w:rPr>
                    <w:t xml:space="preserve">. Stacionarios globos įstaigos gali vykdyti veiklą tik Leidimų-higienos pasų išdavimo taisyklių, patvirtintų </w:t>
                  </w:r>
                  <w:r>
                    <w:rPr>
                      <w:szCs w:val="24"/>
                    </w:rPr>
                    <w:t>Lietuvos Respublikos sveikatos apsaugos ministro 2010 m. liepos 13 d. įsakymu Nr. V-632 „</w:t>
                  </w:r>
                  <w:r>
                    <w:rPr>
                      <w:szCs w:val="24"/>
                      <w:u w:color="0000FF"/>
                    </w:rPr>
                    <w:t>Dėl Leidimų-higienos pasų išdavimo taisyklių patvirtinimo</w:t>
                  </w:r>
                  <w:r>
                    <w:rPr>
                      <w:szCs w:val="24"/>
                    </w:rPr>
                    <w:t xml:space="preserve">“ (toliau – </w:t>
                  </w:r>
                  <w:r>
                    <w:rPr>
                      <w:spacing w:val="-3"/>
                      <w:szCs w:val="24"/>
                    </w:rPr>
                    <w:t>Leidimų-higienos pasų išdavimo taisyklės)</w:t>
                  </w:r>
                  <w:r>
                    <w:rPr>
                      <w:szCs w:val="24"/>
                    </w:rPr>
                    <w:t xml:space="preserve">, </w:t>
                  </w:r>
                  <w:r>
                    <w:rPr>
                      <w:spacing w:val="-3"/>
                      <w:szCs w:val="24"/>
                    </w:rPr>
                    <w:t>nustatyta tvarka gavusios leidimą-higienos pasą.</w:t>
                  </w:r>
                </w:p>
              </w:sdtContent>
            </w:sdt>
            <w:sdt>
              <w:sdtPr>
                <w:alias w:val="4 p."/>
                <w:tag w:val="part_bde843f382b343c386d4a0447cc71c59"/>
                <w:lock w:val="sdtLocked"/>
                <w:richText/>
              </w:sdtPr>
              <w:sdtContent>
                <w:p>
                  <w:pPr>
                    <w:ind w:firstLine="720"/>
                    <w:jc w:val="both"/>
                    <w:rPr>
                      <w:szCs w:val="24"/>
                      <w:lang w:eastAsia="lt-LT"/>
                    </w:rPr>
                  </w:pPr>
                  <w:sdt>
                    <w:sdtPr>
                      <w:alias w:val="Numeris"/>
                      <w:tag w:val="nr_bde843f382b343c386d4a0447cc71c59"/>
                      <w:lock w:val="sdtLocked"/>
                      <w:richText/>
                    </w:sdtPr>
                    <w:sdtContent>
                      <w:r>
                        <w:rPr>
                          <w:color w:val="000000"/>
                          <w:szCs w:val="24"/>
                        </w:rPr>
                        <w:t>4</w:t>
                      </w:r>
                    </w:sdtContent>
                  </w:sdt>
                  <w:r>
                    <w:rPr>
                      <w:color w:val="000000"/>
                      <w:szCs w:val="24"/>
                    </w:rPr>
                    <w:t>. S</w:t>
                  </w:r>
                  <w:r>
                    <w:rPr>
                      <w:szCs w:val="24"/>
                    </w:rPr>
                    <w:t>uaugusių asmenų socialinės globos įstaigų</w:t>
                  </w:r>
                  <w:r>
                    <w:rPr>
                      <w:color w:val="000000"/>
                      <w:szCs w:val="24"/>
                    </w:rPr>
                    <w:t xml:space="preserve"> darbuotojai gali dirbti tik pasitikrinę sveikatą pagal </w:t>
                  </w:r>
                  <w:r>
                    <w:rPr>
                      <w:szCs w:val="24"/>
                    </w:rPr>
                    <w:t xml:space="preserve">Darbuotojų, kuriems leidžiama dirbti tik iš anksto pasitikrinusiems ir vėliau periodiškai besitikrinantiems, ar neserga užkrečiamosiomis ligomis, sveikatos tikrinimosi tvarką, patvirtintą Lietuvos Respublikos Vyriausybės 1999 m. gegužės 7 d. nutarimu Nr. 544 „Dėl Darbų </w:t>
                  </w:r>
                  <w:r>
                    <w:rPr>
                      <w:color w:val="000000"/>
                      <w:szCs w:val="24"/>
                    </w:rPr>
                    <w:t>ir veiklos sričių, kuriose leidžiama dirbti darbuotojams, tik iš anksto pasitikrinusiems ir vėliau periodiškai besitikrinantiems, ar neserga užkrečiamosiomis ligomis, sąrašo ir šių darbuotojų sveikatos tikrinimosi tvarkos patvirtinimo“. Asmens medicininės knygelės (sveikatos pasas) (forma Nr. F048/a, patvirtinta Lietuvos Respublikos sveikatos apsaugos ministro 1999 m. lapkričio 29 d. įsakymu Nr. 515 „Dėl sveikatos priežiūros įstaigų veiklos apskaitos ir atskaitomybės tvarkos“) ar jų kopijos turi būti laikomos s</w:t>
                  </w:r>
                  <w:r>
                    <w:rPr>
                      <w:szCs w:val="24"/>
                    </w:rPr>
                    <w:t>uaugusių asmenų socialinės globos įstaigoje</w:t>
                  </w:r>
                  <w:r>
                    <w:rPr>
                      <w:color w:val="000000"/>
                      <w:szCs w:val="24"/>
                    </w:rPr>
                    <w:t>.</w:t>
                  </w:r>
                </w:p>
              </w:sdtContent>
            </w:sdt>
            <w:sdt>
              <w:sdtPr>
                <w:alias w:val="5 p."/>
                <w:tag w:val="part_88da362546554ae0a432db8646ee0b74"/>
                <w:lock w:val="sdtLocked"/>
                <w:richText/>
              </w:sdtPr>
              <w:sdtContent>
                <w:p>
                  <w:pPr>
                    <w:ind w:firstLine="720"/>
                    <w:jc w:val="both"/>
                    <w:rPr>
                      <w:szCs w:val="24"/>
                    </w:rPr>
                  </w:pPr>
                  <w:sdt>
                    <w:sdtPr>
                      <w:alias w:val="Numeris"/>
                      <w:tag w:val="nr_88da362546554ae0a432db8646ee0b74"/>
                      <w:lock w:val="sdtLocked"/>
                      <w:richText/>
                    </w:sdtPr>
                    <w:sdtContent>
                      <w:r>
                        <w:rPr>
                          <w:szCs w:val="24"/>
                        </w:rPr>
                        <w:t>5</w:t>
                      </w:r>
                    </w:sdtContent>
                  </w:sdt>
                  <w:r>
                    <w:rPr>
                      <w:szCs w:val="24"/>
                    </w:rPr>
                    <w:t xml:space="preserve">. </w:t>
                  </w:r>
                  <w:r>
                    <w:rPr>
                      <w:color w:val="000000"/>
                      <w:szCs w:val="24"/>
                    </w:rPr>
                    <w:t xml:space="preserve">Lietuvos Respublikos sveikatos apsaugos ministro 2008 m. sausio 28 d. įsakyme Nr. V-69 „Dėl </w:t>
                  </w:r>
                  <w:r>
                    <w:rPr>
                      <w:szCs w:val="24"/>
                    </w:rPr>
                    <w:t>Privalomųjų pirmosios pagalbos, higienos įgūdžių, alkoholio, narkotinių ir psichotropinių ar kitų psichiką veikiančių medžiagų vartojimo poveikio žmogaus sveikatai mokymų ir atestavimo tvarkos aprašo ir Asmenų, kuriems privalomas sveikatos ir (ar) pirmosios pagalbos mokymas, profesijų ir veiklos sričių sąrašo, mokymo programų kodų ir mokymo periodiškumo patvirtinimo“ nurodyti suaugusių asmenų socialinės globos įstaigų</w:t>
                  </w:r>
                  <w:r>
                    <w:rPr>
                      <w:color w:val="000000"/>
                      <w:szCs w:val="24"/>
                    </w:rPr>
                    <w:t xml:space="preserve"> darbuotojai </w:t>
                  </w:r>
                  <w:r>
                    <w:rPr>
                      <w:szCs w:val="24"/>
                    </w:rPr>
                    <w:t xml:space="preserve">jame nustatyta tvarka privalo gauti Sveikatos žinių ir įgūdžių atestavimo pažymėjimus. Sveikatos žinių ir įgūdžių atestavimo pažymėjimai ar jų kopijos turi būti laikomos </w:t>
                  </w:r>
                  <w:r>
                    <w:rPr>
                      <w:color w:val="000000"/>
                      <w:szCs w:val="24"/>
                    </w:rPr>
                    <w:t>s</w:t>
                  </w:r>
                  <w:r>
                    <w:rPr>
                      <w:szCs w:val="24"/>
                    </w:rPr>
                    <w:t>uaugusių asmenų socialinės globos įstaigoje.</w:t>
                  </w:r>
                </w:p>
              </w:sdtContent>
            </w:sdt>
            <w:sdt>
              <w:sdtPr>
                <w:alias w:val="6 p."/>
                <w:tag w:val="part_b79e52038eeb4ebbbdf7f09813eea323"/>
                <w:lock w:val="sdtLocked"/>
                <w:richText/>
              </w:sdtPr>
              <w:sdtContent>
                <w:p>
                  <w:pPr>
                    <w:widowControl w:val="0"/>
                    <w:suppressAutoHyphens/>
                    <w:ind w:firstLine="720"/>
                    <w:jc w:val="both"/>
                    <w:rPr>
                      <w:color w:val="000000"/>
                      <w:szCs w:val="24"/>
                    </w:rPr>
                  </w:pPr>
                  <w:sdt>
                    <w:sdtPr>
                      <w:alias w:val="Numeris"/>
                      <w:tag w:val="nr_b79e52038eeb4ebbbdf7f09813eea323"/>
                      <w:lock w:val="sdtLocked"/>
                      <w:richText/>
                    </w:sdtPr>
                    <w:sdtContent>
                      <w:r>
                        <w:rPr>
                          <w:szCs w:val="24"/>
                        </w:rPr>
                        <w:t>6</w:t>
                      </w:r>
                    </w:sdtContent>
                  </w:sdt>
                  <w:r>
                    <w:rPr>
                      <w:szCs w:val="24"/>
                    </w:rPr>
                    <w:t xml:space="preserve">. Suaugusių asmenų socialinės globos įstaigoje turi būti įmonės pirmosios pagalbos rinkinys, kurio sudėtis ir apimtis turi atitikti </w:t>
                  </w:r>
                  <w:r>
                    <w:rPr>
                      <w:color w:val="000000"/>
                      <w:szCs w:val="24"/>
                    </w:rPr>
                    <w:t>Įmonės pirmosios pagalbos rinkinio aprašymą, patvirtintą Lietuvos Respublikos sveikatos apsaugos ministro 2003 m. liepos 11 d. įsakymu Nr. V-450 „Dėl sveikatos priežiūros ir farmacijos specialistų kompetencijos teikiant pirmąją medicinos pagalbą, pirmosios medicinos pagalbos vaistinėlių ir pirmosios pagalbos rinkinių“.</w:t>
                  </w:r>
                </w:p>
              </w:sdtContent>
            </w:sdt>
            <w:sdt>
              <w:sdtPr>
                <w:alias w:val="7 p."/>
                <w:tag w:val="part_383bb40b147a44e3b4e00ca504b0ced3"/>
                <w:lock w:val="sdtLocked"/>
                <w:richText/>
              </w:sdtPr>
              <w:sdtContent>
                <w:p>
                  <w:pPr>
                    <w:widowControl w:val="0"/>
                    <w:suppressAutoHyphens/>
                    <w:ind w:firstLine="720"/>
                    <w:jc w:val="both"/>
                    <w:rPr>
                      <w:szCs w:val="24"/>
                    </w:rPr>
                  </w:pPr>
                  <w:sdt>
                    <w:sdtPr>
                      <w:alias w:val="Numeris"/>
                      <w:tag w:val="nr_383bb40b147a44e3b4e00ca504b0ced3"/>
                      <w:lock w:val="sdtLocked"/>
                      <w:richText/>
                    </w:sdtPr>
                    <w:sdtContent>
                      <w:r>
                        <w:rPr>
                          <w:szCs w:val="24"/>
                        </w:rPr>
                        <w:t>7</w:t>
                      </w:r>
                    </w:sdtContent>
                  </w:sdt>
                  <w:r>
                    <w:rPr>
                      <w:szCs w:val="24"/>
                    </w:rPr>
                    <w:t>. Suaugusių asmenų socialinės globos įstaigoje:</w:t>
                  </w:r>
                </w:p>
                <w:sdt>
                  <w:sdtPr>
                    <w:alias w:val="7.1 pp."/>
                    <w:tag w:val="part_447d101e7a164c09b11686dc9d3bccfa"/>
                    <w:lock w:val="sdtLocked"/>
                    <w:richText/>
                  </w:sdtPr>
                  <w:sdtContent>
                    <w:p>
                      <w:pPr>
                        <w:widowControl w:val="0"/>
                        <w:suppressAutoHyphens/>
                        <w:ind w:firstLine="720"/>
                        <w:jc w:val="both"/>
                        <w:rPr>
                          <w:szCs w:val="24"/>
                        </w:rPr>
                      </w:pPr>
                      <w:sdt>
                        <w:sdtPr>
                          <w:alias w:val="Numeris"/>
                          <w:tag w:val="nr_447d101e7a164c09b11686dc9d3bccfa"/>
                          <w:lock w:val="sdtLocked"/>
                          <w:richText/>
                        </w:sdtPr>
                        <w:sdtContent>
                          <w:r>
                            <w:rPr>
                              <w:szCs w:val="24"/>
                            </w:rPr>
                            <w:t>7.1</w:t>
                          </w:r>
                        </w:sdtContent>
                      </w:sdt>
                      <w:r>
                        <w:rPr>
                          <w:szCs w:val="24"/>
                        </w:rPr>
                        <w:t>. teikiant asmens sveikatos priežiūros paslaugas turi būti laikomasi Lietuvos higienos normoje HN 47-1:2012 „Sveikatos priežiūros įstaigos. Infekcijų kontrolės reikalavimai“, patvirtintoje Lietuvos Respublikos sveikatos apsaugos ministro 2012 m. spalio 19 d. įsakymu Nr. V-946 „Dėl Lietuvos higienos normos HN 47-1:2012 „Sveikatos priežiūros įstaigos. Infekcijų kontrolės reikalavimai“ patvirtinimo“, nustatytų infekcijų kontrolės reikalavimų. Teikiant šias paslaugas susidarančios medicininės atliekos turi būti tvarkomos Lietuvos higienos normos HN 66:2013 „Medicininių atliekų tvarkymo saugos reikalavimai“, patvirtintos Lietuvos Respublikos sveikatos apsaugos ministro 2013 m. liepos 18 d. įsakymu Nr. V-706 „Dėl Lietuvos higienos normos HN 66:2013 „Medicininių atliekų tvarkymo saugos reikalavimai“ patvirtinimo“, nustatyta tvarka;</w:t>
                      </w:r>
                    </w:p>
                  </w:sdtContent>
                </w:sdt>
                <w:sdt>
                  <w:sdtPr>
                    <w:alias w:val="7.2 pp."/>
                    <w:tag w:val="part_a4a5b8096a7f434d84e3fd09d258432e"/>
                    <w:lock w:val="sdtLocked"/>
                    <w:richText/>
                  </w:sdtPr>
                  <w:sdtContent>
                    <w:p>
                      <w:pPr>
                        <w:widowControl w:val="0"/>
                        <w:suppressAutoHyphens/>
                        <w:ind w:firstLine="720"/>
                        <w:jc w:val="both"/>
                        <w:rPr>
                          <w:szCs w:val="24"/>
                        </w:rPr>
                      </w:pPr>
                      <w:sdt>
                        <w:sdtPr>
                          <w:alias w:val="Numeris"/>
                          <w:tag w:val="nr_a4a5b8096a7f434d84e3fd09d258432e"/>
                          <w:lock w:val="sdtLocked"/>
                          <w:richText/>
                        </w:sdtPr>
                        <w:sdtContent>
                          <w:r>
                            <w:rPr>
                              <w:szCs w:val="24"/>
                            </w:rPr>
                            <w:t>7.2</w:t>
                          </w:r>
                        </w:sdtContent>
                      </w:sdt>
                      <w:r>
                        <w:rPr>
                          <w:szCs w:val="24"/>
                        </w:rPr>
                        <w:t xml:space="preserve">. kai asmens sveikatos priežiūros nėra teikiamos, turi būti parengtos ir suaugusių asmenų socialinės globos įstaigos vadovo patvirtintos personalo rankų higienos, </w:t>
                      </w:r>
                      <w:r>
                        <w:rPr>
                          <w:color w:val="000000"/>
                          <w:szCs w:val="24"/>
                        </w:rPr>
                        <w:t>asmens apsaugos priemonių dėvėjimo, aplinkos paviršių valymo ir dezinfekcijos, skalbinių ir atliekų tvarkymo tvarkos.</w:t>
                      </w:r>
                    </w:p>
                  </w:sdtContent>
                </w:sdt>
              </w:sdtContent>
            </w:sdt>
            <w:sdt>
              <w:sdtPr>
                <w:alias w:val="8 p."/>
                <w:tag w:val="part_493689e0234f4d64b399134ccc565e52"/>
                <w:lock w:val="sdtLocked"/>
                <w:richText/>
              </w:sdtPr>
              <w:sdtContent>
                <w:p>
                  <w:pPr>
                    <w:widowControl w:val="0"/>
                    <w:suppressAutoHyphens/>
                    <w:ind w:firstLine="720"/>
                    <w:jc w:val="both"/>
                    <w:rPr>
                      <w:szCs w:val="24"/>
                    </w:rPr>
                  </w:pPr>
                  <w:sdt>
                    <w:sdtPr>
                      <w:alias w:val="Numeris"/>
                      <w:tag w:val="nr_493689e0234f4d64b399134ccc565e52"/>
                      <w:lock w:val="sdtLocked"/>
                      <w:richText/>
                    </w:sdtPr>
                    <w:sdtContent>
                      <w:r>
                        <w:rPr>
                          <w:szCs w:val="24"/>
                        </w:rPr>
                        <w:t>8</w:t>
                      </w:r>
                    </w:sdtContent>
                  </w:sdt>
                  <w:r>
                    <w:rPr>
                      <w:szCs w:val="24"/>
                    </w:rPr>
                    <w:t>. Suaugusių asmenų socialinės globos įstaigose paslaugų gavėjų apgyvendinimas turi būti organizuojamas taip, kad nerūkantieji nebūtų priversti kvėpuoti tabako dūmais užterštu oru.</w:t>
                  </w:r>
                </w:p>
              </w:sdtContent>
            </w:sdt>
            <w:sdt>
              <w:sdtPr>
                <w:alias w:val="9 p."/>
                <w:tag w:val="part_6f2da66caac340a59a1ae88fa3630ac5"/>
                <w:lock w:val="sdtLocked"/>
                <w:richText/>
              </w:sdtPr>
              <w:sdtContent>
                <w:p>
                  <w:pPr>
                    <w:widowControl w:val="0"/>
                    <w:suppressAutoHyphens/>
                    <w:ind w:firstLine="720"/>
                    <w:jc w:val="both"/>
                    <w:rPr>
                      <w:szCs w:val="24"/>
                    </w:rPr>
                  </w:pPr>
                  <w:sdt>
                    <w:sdtPr>
                      <w:alias w:val="Numeris"/>
                      <w:tag w:val="nr_6f2da66caac340a59a1ae88fa3630ac5"/>
                      <w:lock w:val="sdtLocked"/>
                      <w:richText/>
                    </w:sdtPr>
                    <w:sdtContent>
                      <w:r>
                        <w:rPr>
                          <w:color w:val="000000"/>
                          <w:szCs w:val="24"/>
                        </w:rPr>
                        <w:t>9</w:t>
                      </w:r>
                    </w:sdtContent>
                  </w:sdt>
                  <w:r>
                    <w:rPr>
                      <w:color w:val="000000"/>
                      <w:szCs w:val="24"/>
                    </w:rPr>
                    <w:t xml:space="preserve">. </w:t>
                  </w:r>
                  <w:r>
                    <w:rPr>
                      <w:szCs w:val="24"/>
                    </w:rPr>
                    <w:t xml:space="preserve">Suaugusių asmenų socialinės globos įstaigai priklausanti teritorija ir patalpos, jose </w:t>
                  </w:r>
                  <w:r>
                    <w:rPr>
                      <w:color w:val="000000"/>
                      <w:szCs w:val="24"/>
                    </w:rPr>
                    <w:t xml:space="preserve">esantys įrenginiai turi būti saugūs, įrengti ir prižiūrimi taip, kad juos naudojant būtų išvengta nelaimingų atsitikimų (paslydimo, kritimo, susidūrimo, nudegimo, nutrenkimo, sužalojimo elektros srove, sprogimo ir pan.). </w:t>
                  </w:r>
                  <w:r>
                    <w:rPr>
                      <w:szCs w:val="24"/>
                    </w:rPr>
                    <w:t>Tamsiuoju paros metu suaugusių asmenų socialinės globos įstaigai priklausanti teritorija turi būti apšviesta.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sdtContent>
            </w:sdt>
          </w:sdtContent>
        </w:sdt>
        <w:sdt>
          <w:sdtPr>
            <w:alias w:val="skyrius"/>
            <w:tag w:val="part_c4ebe31700b14fe6be948fe156e209b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c4ebe31700b14fe6be948fe156e209bd"/>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c4ebe31700b14fe6be948fe156e209bd"/>
                  <w:lock w:val="sdtLocked"/>
                  <w:richText/>
                </w:sdtPr>
                <w:sdtContent>
                  <w:r>
                    <w:rPr>
                      <w:b/>
                      <w:szCs w:val="24"/>
                    </w:rPr>
                    <w:t>SĄVOKOS IR JŲ APIBRĖŽTYS</w:t>
                  </w:r>
                </w:sdtContent>
              </w:sdt>
            </w:p>
            <w:p>
              <w:pPr>
                <w:widowControl w:val="0"/>
                <w:suppressAutoHyphens/>
                <w:jc w:val="center"/>
                <w:rPr>
                  <w:color w:val="000000"/>
                  <w:szCs w:val="24"/>
                </w:rPr>
              </w:pPr>
            </w:p>
            <w:sdt>
              <w:sdtPr>
                <w:alias w:val="10 p."/>
                <w:tag w:val="part_3577fcb1cb4343349123fcadb5dfd0df"/>
                <w:lock w:val="sdtLocked"/>
                <w:richText/>
              </w:sdtPr>
              <w:sdtContent>
                <w:p>
                  <w:pPr>
                    <w:widowControl w:val="0"/>
                    <w:suppressAutoHyphens/>
                    <w:ind w:firstLine="720"/>
                    <w:jc w:val="both"/>
                    <w:rPr>
                      <w:szCs w:val="24"/>
                    </w:rPr>
                  </w:pPr>
                  <w:sdt>
                    <w:sdtPr>
                      <w:alias w:val="Numeris"/>
                      <w:tag w:val="nr_3577fcb1cb4343349123fcadb5dfd0df"/>
                      <w:lock w:val="sdtLocked"/>
                      <w:richText/>
                    </w:sdtPr>
                    <w:sdtContent>
                      <w:r>
                        <w:rPr>
                          <w:szCs w:val="24"/>
                        </w:rPr>
                        <w:t>10</w:t>
                      </w:r>
                    </w:sdtContent>
                  </w:sdt>
                  <w:r>
                    <w:rPr>
                      <w:szCs w:val="24"/>
                    </w:rPr>
                    <w:t xml:space="preserve">. Šioje higienos normoje vartojamos sąvokos ir jų apibrėžtys: </w:t>
                  </w:r>
                </w:p>
                <w:sdt>
                  <w:sdtPr>
                    <w:alias w:val="10.1 pp."/>
                    <w:tag w:val="part_51a9cad48fd643f3826d02a359b21778"/>
                    <w:lock w:val="sdtLocked"/>
                    <w:richText/>
                  </w:sdtPr>
                  <w:sdtContent>
                    <w:p>
                      <w:pPr>
                        <w:widowControl w:val="0"/>
                        <w:suppressAutoHyphens/>
                        <w:ind w:firstLine="720"/>
                        <w:jc w:val="both"/>
                        <w:rPr>
                          <w:szCs w:val="24"/>
                        </w:rPr>
                      </w:pPr>
                      <w:sdt>
                        <w:sdtPr>
                          <w:alias w:val="Numeris"/>
                          <w:tag w:val="nr_51a9cad48fd643f3826d02a359b21778"/>
                          <w:lock w:val="sdtLocked"/>
                          <w:richText/>
                        </w:sdtPr>
                        <w:sdtContent>
                          <w:r>
                            <w:rPr>
                              <w:bCs/>
                              <w:szCs w:val="24"/>
                            </w:rPr>
                            <w:t>10.1</w:t>
                          </w:r>
                        </w:sdtContent>
                      </w:sdt>
                      <w:r>
                        <w:rPr>
                          <w:bCs/>
                          <w:szCs w:val="24"/>
                        </w:rPr>
                        <w:t xml:space="preserve">. </w:t>
                      </w:r>
                      <w:r>
                        <w:rPr>
                          <w:b/>
                          <w:bCs/>
                          <w:szCs w:val="24"/>
                        </w:rPr>
                        <w:t>Maisto tvarkymo patalpa</w:t>
                      </w:r>
                      <w:r>
                        <w:rPr>
                          <w:bCs/>
                          <w:szCs w:val="24"/>
                        </w:rPr>
                        <w:t xml:space="preserve"> </w:t>
                      </w:r>
                      <w:r>
                        <w:rPr>
                          <w:szCs w:val="24"/>
                        </w:rPr>
                        <w:t>– suaugusių asmenų socialinės globos įstaigos patalpa, kurioje paslaugų gavėjams centralizuotai gaminamas maistas. Patys paslaugų gavėjai šioje patalpoje maisto nesigamina.</w:t>
                      </w:r>
                    </w:p>
                  </w:sdtContent>
                </w:sdt>
                <w:sdt>
                  <w:sdtPr>
                    <w:alias w:val="10.2 pp."/>
                    <w:tag w:val="part_31d54c83a6de4d80b09430c9d78993d6"/>
                    <w:lock w:val="sdtLocked"/>
                    <w:richText/>
                  </w:sdtPr>
                  <w:sdtContent>
                    <w:p>
                      <w:pPr>
                        <w:widowControl w:val="0"/>
                        <w:suppressAutoHyphens/>
                        <w:ind w:firstLine="720"/>
                        <w:jc w:val="both"/>
                        <w:rPr>
                          <w:szCs w:val="24"/>
                        </w:rPr>
                      </w:pPr>
                      <w:sdt>
                        <w:sdtPr>
                          <w:alias w:val="Numeris"/>
                          <w:tag w:val="nr_31d54c83a6de4d80b09430c9d78993d6"/>
                          <w:lock w:val="sdtLocked"/>
                          <w:richText/>
                        </w:sdtPr>
                        <w:sdtContent>
                          <w:r>
                            <w:rPr>
                              <w:bCs/>
                              <w:szCs w:val="24"/>
                            </w:rPr>
                            <w:t>10.2</w:t>
                          </w:r>
                        </w:sdtContent>
                      </w:sdt>
                      <w:r>
                        <w:rPr>
                          <w:bCs/>
                          <w:szCs w:val="24"/>
                        </w:rPr>
                        <w:t xml:space="preserve">. </w:t>
                      </w:r>
                      <w:r>
                        <w:rPr>
                          <w:b/>
                          <w:bCs/>
                          <w:szCs w:val="24"/>
                        </w:rPr>
                        <w:t>Valgykla</w:t>
                      </w:r>
                      <w:r>
                        <w:rPr>
                          <w:szCs w:val="24"/>
                        </w:rPr>
                        <w:t xml:space="preserve"> – suaugusių asmenų socialinės globos įstaigos patalpa, kurioje paslaugų gavėjams sudaromos galimybės valgyti centralizuotai pagamintą maistą.</w:t>
                      </w:r>
                    </w:p>
                  </w:sdtContent>
                </w:sdt>
                <w:sdt>
                  <w:sdtPr>
                    <w:alias w:val="10.3 pp."/>
                    <w:tag w:val="part_759385bbb6d3468ba54555be5c40bf7d"/>
                    <w:lock w:val="sdtLocked"/>
                    <w:richText/>
                  </w:sdtPr>
                  <w:sdtContent>
                    <w:p>
                      <w:pPr>
                        <w:widowControl w:val="0"/>
                        <w:suppressAutoHyphens/>
                        <w:ind w:firstLine="720"/>
                        <w:jc w:val="both"/>
                        <w:rPr>
                          <w:szCs w:val="24"/>
                        </w:rPr>
                      </w:pPr>
                      <w:sdt>
                        <w:sdtPr>
                          <w:alias w:val="Numeris"/>
                          <w:tag w:val="nr_759385bbb6d3468ba54555be5c40bf7d"/>
                          <w:lock w:val="sdtLocked"/>
                          <w:richText/>
                        </w:sdtPr>
                        <w:sdtContent>
                          <w:r>
                            <w:rPr>
                              <w:bCs/>
                              <w:szCs w:val="24"/>
                            </w:rPr>
                            <w:t>10.3</w:t>
                          </w:r>
                        </w:sdtContent>
                      </w:sdt>
                      <w:r>
                        <w:rPr>
                          <w:bCs/>
                          <w:szCs w:val="24"/>
                        </w:rPr>
                        <w:t xml:space="preserve">. </w:t>
                      </w:r>
                      <w:r>
                        <w:rPr>
                          <w:b/>
                          <w:bCs/>
                          <w:szCs w:val="24"/>
                        </w:rPr>
                        <w:t>Virtuvė</w:t>
                      </w:r>
                      <w:r>
                        <w:rPr>
                          <w:szCs w:val="24"/>
                        </w:rPr>
                        <w:t xml:space="preserve"> – suaugusių asmenų socialinės globos įstaigos patalpa, kurioje paslaugų gavėjai patys gali pasigaminti maistą ir pavalgyti.</w:t>
                      </w:r>
                    </w:p>
                  </w:sdtContent>
                </w:sdt>
                <w:sdt>
                  <w:sdtPr>
                    <w:alias w:val="10.4 pp."/>
                    <w:tag w:val="part_48c80bdd7a1f49f3ac421606268a3025"/>
                    <w:lock w:val="sdtLocked"/>
                    <w:richText/>
                  </w:sdtPr>
                  <w:sdtContent>
                    <w:p>
                      <w:pPr>
                        <w:widowControl w:val="0"/>
                        <w:suppressAutoHyphens/>
                        <w:ind w:firstLine="720"/>
                        <w:jc w:val="both"/>
                        <w:rPr>
                          <w:color w:val="000000"/>
                          <w:szCs w:val="24"/>
                        </w:rPr>
                      </w:pPr>
                      <w:sdt>
                        <w:sdtPr>
                          <w:alias w:val="Numeris"/>
                          <w:tag w:val="nr_48c80bdd7a1f49f3ac421606268a3025"/>
                          <w:lock w:val="sdtLocked"/>
                          <w:richText/>
                        </w:sdtPr>
                        <w:sdtContent>
                          <w:r>
                            <w:rPr>
                              <w:szCs w:val="24"/>
                            </w:rPr>
                            <w:t>10.4</w:t>
                          </w:r>
                        </w:sdtContent>
                      </w:sdt>
                      <w:r>
                        <w:rPr>
                          <w:szCs w:val="24"/>
                        </w:rPr>
                        <w:t>. K</w:t>
                      </w:r>
                      <w:r>
                        <w:rPr>
                          <w:color w:val="000000"/>
                          <w:szCs w:val="24"/>
                        </w:rPr>
                        <w:t xml:space="preserve">itos šioje higienos normoje vartojamos sąvokos suprantamos taip, kaip jos apibrėžtos Lietuvos Respublikos socialinių paslaugų įstatyme, Socialinių paslaugų kataloge, patvirtintame </w:t>
                      </w:r>
                      <w:r>
                        <w:rPr>
                          <w:szCs w:val="24"/>
                        </w:rPr>
                        <w:t xml:space="preserve">Lietuvos Respublikos socialinės apsaugos ir darbo ministro 2006 m. balandžio 5 d. įsakymu </w:t>
                        <w:br/>
                        <w:t>Nr. A1-93 „Dėl Socialinių paslaugų katalogo patvirtinimo“.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sdtContent>
                </w:sdt>
              </w:sdtContent>
            </w:sdt>
          </w:sdtContent>
        </w:sdt>
        <w:sdt>
          <w:sdtPr>
            <w:alias w:val="skyrius"/>
            <w:tag w:val="part_e3ff9b934a5b4b5ab6764900fdb92c0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e3ff9b934a5b4b5ab6764900fdb92c0f"/>
                  <w:lock w:val="sdtLocked"/>
                  <w:richText/>
                </w:sdtPr>
                <w:sdtContent>
                  <w:r>
                    <w:rPr>
                      <w:b/>
                      <w:szCs w:val="24"/>
                    </w:rPr>
                    <w:t>III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e3ff9b934a5b4b5ab6764900fdb92c0f"/>
                  <w:lock w:val="sdtLocked"/>
                  <w:richText/>
                </w:sdtPr>
                <w:sdtContent>
                  <w:r>
                    <w:rPr>
                      <w:b/>
                      <w:bCs/>
                      <w:caps/>
                      <w:szCs w:val="24"/>
                    </w:rPr>
                    <w:t>PATALPŲ ĮRENGIMO REIKALAVIMAI</w:t>
                  </w:r>
                </w:sdtContent>
              </w:sdt>
            </w:p>
            <w:p>
              <w:pPr>
                <w:widowControl w:val="0"/>
                <w:suppressAutoHyphens/>
                <w:jc w:val="center"/>
                <w:rPr>
                  <w:color w:val="000000"/>
                  <w:szCs w:val="24"/>
                </w:rPr>
              </w:pPr>
            </w:p>
            <w:sdt>
              <w:sdtPr>
                <w:alias w:val="11 p."/>
                <w:tag w:val="part_1e41a80622af4af29d18d7c52be83107"/>
                <w:lock w:val="sdtLocked"/>
                <w:richText/>
              </w:sdtPr>
              <w:sdtContent>
                <w:p>
                  <w:pPr>
                    <w:widowControl w:val="0"/>
                    <w:suppressAutoHyphens/>
                    <w:ind w:firstLine="720"/>
                    <w:jc w:val="both"/>
                    <w:rPr>
                      <w:strike/>
                      <w:szCs w:val="24"/>
                    </w:rPr>
                  </w:pPr>
                  <w:sdt>
                    <w:sdtPr>
                      <w:alias w:val="Numeris"/>
                      <w:tag w:val="nr_1e41a80622af4af29d18d7c52be83107"/>
                      <w:lock w:val="sdtLocked"/>
                      <w:richText/>
                    </w:sdtPr>
                    <w:sdtContent>
                      <w:r>
                        <w:rPr>
                          <w:szCs w:val="24"/>
                        </w:rPr>
                        <w:t>11</w:t>
                      </w:r>
                    </w:sdtContent>
                  </w:sdt>
                  <w:r>
                    <w:rPr>
                      <w:szCs w:val="24"/>
                    </w:rPr>
                    <w:t xml:space="preserve">. Suaugusių asmenų socialinės globos įstaigoje turi būti įrengtos šios patalpos: gyvenamoji (-osios) patalpa (-os); maisto tvarkymo patalpa (-os) su valgykla ar virtuvė (-ės); valymo inventoriaus ir priemonių laikymo patalpa (-os) arba vieta (-os) jiems laikyti; tualetas (-ai); dušas (-ai) ar </w:t>
                    <w:br/>
                    <w:t xml:space="preserve">vonia (-ios). </w:t>
                  </w:r>
                </w:p>
              </w:sdtContent>
            </w:sdt>
            <w:sdt>
              <w:sdtPr>
                <w:alias w:val="12 p."/>
                <w:tag w:val="part_3d5572964901468ea19322645636afaa"/>
                <w:lock w:val="sdtLocked"/>
                <w:richText/>
              </w:sdtPr>
              <w:sdtContent>
                <w:p>
                  <w:pPr>
                    <w:widowControl w:val="0"/>
                    <w:suppressAutoHyphens/>
                    <w:ind w:firstLine="720"/>
                    <w:jc w:val="both"/>
                    <w:rPr>
                      <w:szCs w:val="24"/>
                    </w:rPr>
                  </w:pPr>
                  <w:sdt>
                    <w:sdtPr>
                      <w:alias w:val="Numeris"/>
                      <w:tag w:val="nr_3d5572964901468ea19322645636afaa"/>
                      <w:lock w:val="sdtLocked"/>
                      <w:richText/>
                    </w:sdtPr>
                    <w:sdtContent>
                      <w:r>
                        <w:rPr>
                          <w:szCs w:val="24"/>
                        </w:rPr>
                        <w:t>12</w:t>
                      </w:r>
                    </w:sdtContent>
                  </w:sdt>
                  <w:r>
                    <w:rPr>
                      <w:szCs w:val="24"/>
                    </w:rPr>
                    <w:t xml:space="preserve">. Gyvenamosios patalpos: </w:t>
                  </w:r>
                </w:p>
                <w:sdt>
                  <w:sdtPr>
                    <w:alias w:val="12.1 pp."/>
                    <w:tag w:val="part_632663f03e294d7bb9510abccfbab50d"/>
                    <w:lock w:val="sdtLocked"/>
                    <w:richText/>
                  </w:sdtPr>
                  <w:sdtContent>
                    <w:p>
                      <w:pPr>
                        <w:widowControl w:val="0"/>
                        <w:suppressAutoHyphens/>
                        <w:ind w:firstLine="720"/>
                        <w:jc w:val="both"/>
                        <w:rPr>
                          <w:szCs w:val="24"/>
                        </w:rPr>
                      </w:pPr>
                      <w:sdt>
                        <w:sdtPr>
                          <w:alias w:val="Numeris"/>
                          <w:tag w:val="nr_632663f03e294d7bb9510abccfbab50d"/>
                          <w:lock w:val="sdtLocked"/>
                          <w:richText/>
                        </w:sdtPr>
                        <w:sdtContent>
                          <w:r>
                            <w:rPr>
                              <w:szCs w:val="24"/>
                            </w:rPr>
                            <w:t>12.1</w:t>
                          </w:r>
                        </w:sdtContent>
                      </w:sdt>
                      <w:r>
                        <w:rPr>
                          <w:szCs w:val="24"/>
                        </w:rPr>
                        <w:t>. minimalus plotas vienam paslaugų gavėjui gyvenamojoje patalpoje turi būti ne mažesnis kaip 5 kv. m;</w:t>
                      </w:r>
                    </w:p>
                  </w:sdtContent>
                </w:sdt>
                <w:sdt>
                  <w:sdtPr>
                    <w:alias w:val="12.2 pp."/>
                    <w:tag w:val="part_683e826b2a764494a8bdefbc56e9169a"/>
                    <w:lock w:val="sdtLocked"/>
                    <w:richText/>
                  </w:sdtPr>
                  <w:sdtContent>
                    <w:p>
                      <w:pPr>
                        <w:widowControl w:val="0"/>
                        <w:suppressAutoHyphens/>
                        <w:ind w:firstLine="720"/>
                        <w:jc w:val="both"/>
                        <w:rPr>
                          <w:szCs w:val="24"/>
                        </w:rPr>
                      </w:pPr>
                      <w:sdt>
                        <w:sdtPr>
                          <w:alias w:val="Numeris"/>
                          <w:tag w:val="nr_683e826b2a764494a8bdefbc56e9169a"/>
                          <w:lock w:val="sdtLocked"/>
                          <w:richText/>
                        </w:sdtPr>
                        <w:sdtContent>
                          <w:r>
                            <w:rPr>
                              <w:szCs w:val="24"/>
                            </w:rPr>
                            <w:t>12.2</w:t>
                          </w:r>
                        </w:sdtContent>
                      </w:sdt>
                      <w:r>
                        <w:rPr>
                          <w:szCs w:val="24"/>
                        </w:rPr>
                        <w:t>. gyvenamojoje patalpoje apgyvendintų paslaugų gavėjų skaičius neturi viršyti Socialinės globos normų aprašu, patvirtintu Lietuvos Respublikos socialinės apsaugos ir darbo ministro 2007 m. vasario 20 d. įsakymu Nr. A1-46 „Dėl Socialinės globos normų aprašo patvirtinimo“, nustatytų reikalavimų;</w:t>
                      </w:r>
                    </w:p>
                  </w:sdtContent>
                </w:sdt>
                <w:sdt>
                  <w:sdtPr>
                    <w:alias w:val="12.3 pp."/>
                    <w:tag w:val="part_f0cdccfc26a447f7ba0c3e8204e5866d"/>
                    <w:lock w:val="sdtLocked"/>
                    <w:richText/>
                  </w:sdtPr>
                  <w:sdtContent>
                    <w:p>
                      <w:pPr>
                        <w:widowControl w:val="0"/>
                        <w:suppressAutoHyphens/>
                        <w:ind w:firstLine="720"/>
                        <w:jc w:val="both"/>
                        <w:rPr>
                          <w:szCs w:val="24"/>
                        </w:rPr>
                      </w:pPr>
                      <w:sdt>
                        <w:sdtPr>
                          <w:alias w:val="Numeris"/>
                          <w:tag w:val="nr_f0cdccfc26a447f7ba0c3e8204e5866d"/>
                          <w:lock w:val="sdtLocked"/>
                          <w:richText/>
                        </w:sdtPr>
                        <w:sdtContent>
                          <w:r>
                            <w:rPr>
                              <w:szCs w:val="24"/>
                            </w:rPr>
                            <w:t>12.3</w:t>
                          </w:r>
                        </w:sdtContent>
                      </w:sdt>
                      <w:r>
                        <w:rPr>
                          <w:szCs w:val="24"/>
                        </w:rPr>
                        <w:t>. gyvenamosios patalpos moterims ir vyrams įrengiamos atskirai, išskyrus atvejus, kai kartu gyvena šeima;</w:t>
                      </w:r>
                    </w:p>
                  </w:sdtContent>
                </w:sdt>
                <w:sdt>
                  <w:sdtPr>
                    <w:alias w:val="12.4 pp."/>
                    <w:tag w:val="part_1b68cd1749a845f98ac40fa8b5453328"/>
                    <w:lock w:val="sdtLocked"/>
                    <w:richText/>
                  </w:sdtPr>
                  <w:sdtContent>
                    <w:p>
                      <w:pPr>
                        <w:widowControl w:val="0"/>
                        <w:suppressAutoHyphens/>
                        <w:ind w:firstLine="720"/>
                        <w:jc w:val="both"/>
                        <w:rPr>
                          <w:szCs w:val="24"/>
                        </w:rPr>
                      </w:pPr>
                      <w:sdt>
                        <w:sdtPr>
                          <w:alias w:val="Numeris"/>
                          <w:tag w:val="nr_1b68cd1749a845f98ac40fa8b5453328"/>
                          <w:lock w:val="sdtLocked"/>
                          <w:richText/>
                        </w:sdtPr>
                        <w:sdtContent>
                          <w:r>
                            <w:rPr>
                              <w:szCs w:val="24"/>
                            </w:rPr>
                            <w:t>12.4</w:t>
                          </w:r>
                        </w:sdtContent>
                      </w:sdt>
                      <w:r>
                        <w:rPr>
                          <w:szCs w:val="24"/>
                        </w:rPr>
                        <w:t xml:space="preserve">. gyvenamojoje patalpoje turi būti kiekvienam paslaugų gavėjui skirti baldai (lova, spintelė, kėdė, spinta ar atskira uždara spintos dalis), minkštas inventorius (čiužinys, pagalvė, antklodė), lovos skalbiniai (paklodė, čiužinio, pagalvės ir antklodės užvalkalai, lovatiesė), du rankšluosčiai. </w:t>
                      </w:r>
                      <w:r>
                        <w:rPr>
                          <w:color w:val="000000"/>
                          <w:szCs w:val="24"/>
                        </w:rPr>
                        <w:t xml:space="preserve">Čiužiniai, pagalvės, antklodės turi būti su užvalkalais iš nepralaidaus skysčiams, atsparaus paviršių valymo ir dezinfekcijos priemonėms audinio arba iš audinio, tinkamo skalbti ir (ar) dezinfekuoti </w:t>
                      </w:r>
                      <w:r>
                        <w:rPr>
                          <w:szCs w:val="24"/>
                        </w:rPr>
                        <w:t xml:space="preserve">Suaugusių asmenų socialinės globos </w:t>
                      </w:r>
                      <w:r>
                        <w:rPr>
                          <w:color w:val="000000"/>
                          <w:szCs w:val="24"/>
                        </w:rPr>
                        <w:t>įstaigoje esančiomis priemonėmis</w:t>
                      </w:r>
                      <w:r>
                        <w:rPr>
                          <w:szCs w:val="24"/>
                        </w:rPr>
                        <w:t>;</w:t>
                      </w:r>
                    </w:p>
                  </w:sdtContent>
                </w:sdt>
                <w:sdt>
                  <w:sdtPr>
                    <w:alias w:val="12.5 pp."/>
                    <w:tag w:val="part_41edb778c057414c8096f3d4a8909ed0"/>
                    <w:lock w:val="sdtLocked"/>
                    <w:richText/>
                  </w:sdtPr>
                  <w:sdtContent>
                    <w:p>
                      <w:pPr>
                        <w:widowControl w:val="0"/>
                        <w:suppressAutoHyphens/>
                        <w:ind w:firstLine="720"/>
                        <w:jc w:val="both"/>
                        <w:rPr>
                          <w:szCs w:val="24"/>
                        </w:rPr>
                      </w:pPr>
                      <w:sdt>
                        <w:sdtPr>
                          <w:alias w:val="Numeris"/>
                          <w:tag w:val="nr_41edb778c057414c8096f3d4a8909ed0"/>
                          <w:lock w:val="sdtLocked"/>
                          <w:richText/>
                        </w:sdtPr>
                        <w:sdtContent>
                          <w:r>
                            <w:rPr>
                              <w:szCs w:val="24"/>
                            </w:rPr>
                            <w:t>12.5</w:t>
                          </w:r>
                        </w:sdtContent>
                      </w:sdt>
                      <w:r>
                        <w:rPr>
                          <w:szCs w:val="24"/>
                        </w:rPr>
                        <w:t>. gyvenamąsias patalpas draudžiama įrengti rūsiuose, pusrūsiuose (cokoliniuose aukštuose);</w:t>
                      </w:r>
                    </w:p>
                  </w:sdtContent>
                </w:sdt>
                <w:sdt>
                  <w:sdtPr>
                    <w:alias w:val="12.6 pp."/>
                    <w:tag w:val="part_9e556a5da537489a99ded0ce66f93ad0"/>
                    <w:lock w:val="sdtLocked"/>
                    <w:richText/>
                  </w:sdtPr>
                  <w:sdtContent>
                    <w:p>
                      <w:pPr>
                        <w:widowControl w:val="0"/>
                        <w:suppressAutoHyphens/>
                        <w:ind w:firstLine="720"/>
                        <w:jc w:val="both"/>
                        <w:rPr>
                          <w:szCs w:val="24"/>
                        </w:rPr>
                      </w:pPr>
                      <w:sdt>
                        <w:sdtPr>
                          <w:alias w:val="Numeris"/>
                          <w:tag w:val="nr_9e556a5da537489a99ded0ce66f93ad0"/>
                          <w:lock w:val="sdtLocked"/>
                          <w:richText/>
                        </w:sdtPr>
                        <w:sdtContent>
                          <w:r>
                            <w:rPr>
                              <w:szCs w:val="24"/>
                            </w:rPr>
                            <w:t>12.6</w:t>
                          </w:r>
                        </w:sdtContent>
                      </w:sdt>
                      <w:r>
                        <w:rPr>
                          <w:szCs w:val="24"/>
                        </w:rPr>
                        <w:t>. gyvenamųjų patalpų grindų paviršiai turi būti tinkami valyti drėgnu būdu ir, jei reikia, dezinfekuoti.</w:t>
                      </w:r>
                    </w:p>
                  </w:sdtContent>
                </w:sdt>
              </w:sdtContent>
            </w:sdt>
            <w:sdt>
              <w:sdtPr>
                <w:alias w:val="13 p."/>
                <w:tag w:val="part_04309205b1c448e0be4b93b1463c30a6"/>
                <w:lock w:val="sdtLocked"/>
                <w:richText/>
              </w:sdtPr>
              <w:sdtContent>
                <w:p>
                  <w:pPr>
                    <w:widowControl w:val="0"/>
                    <w:suppressAutoHyphens/>
                    <w:ind w:firstLine="720"/>
                    <w:jc w:val="both"/>
                    <w:rPr>
                      <w:szCs w:val="24"/>
                    </w:rPr>
                  </w:pPr>
                  <w:sdt>
                    <w:sdtPr>
                      <w:alias w:val="Numeris"/>
                      <w:tag w:val="nr_04309205b1c448e0be4b93b1463c30a6"/>
                      <w:lock w:val="sdtLocked"/>
                      <w:richText/>
                    </w:sdtPr>
                    <w:sdtContent>
                      <w:r>
                        <w:rPr>
                          <w:szCs w:val="24"/>
                        </w:rPr>
                        <w:t>13</w:t>
                      </w:r>
                    </w:sdtContent>
                  </w:sdt>
                  <w:r>
                    <w:rPr>
                      <w:szCs w:val="24"/>
                    </w:rPr>
                    <w:t>. Valgykla:</w:t>
                  </w:r>
                </w:p>
                <w:sdt>
                  <w:sdtPr>
                    <w:alias w:val="13.1 pp."/>
                    <w:tag w:val="part_cc88017dfa2a4915a65a17814357a9cb"/>
                    <w:lock w:val="sdtLocked"/>
                    <w:richText/>
                  </w:sdtPr>
                  <w:sdtContent>
                    <w:p>
                      <w:pPr>
                        <w:widowControl w:val="0"/>
                        <w:suppressAutoHyphens/>
                        <w:ind w:firstLine="720"/>
                        <w:jc w:val="both"/>
                        <w:rPr>
                          <w:szCs w:val="24"/>
                        </w:rPr>
                      </w:pPr>
                      <w:sdt>
                        <w:sdtPr>
                          <w:alias w:val="Numeris"/>
                          <w:tag w:val="nr_cc88017dfa2a4915a65a17814357a9cb"/>
                          <w:lock w:val="sdtLocked"/>
                          <w:richText/>
                        </w:sdtPr>
                        <w:sdtContent>
                          <w:r>
                            <w:rPr>
                              <w:szCs w:val="24"/>
                            </w:rPr>
                            <w:t>13.1</w:t>
                          </w:r>
                        </w:sdtContent>
                      </w:sdt>
                      <w:r>
                        <w:rPr>
                          <w:szCs w:val="24"/>
                        </w:rPr>
                        <w:t xml:space="preserve">. valgykloje vienai vietai turi būti numatyta ne mažiau kaip 1,4 kv. m; </w:t>
                      </w:r>
                    </w:p>
                  </w:sdtContent>
                </w:sdt>
                <w:sdt>
                  <w:sdtPr>
                    <w:alias w:val="13.2 pp."/>
                    <w:tag w:val="part_9c0a15c77fa849f6bc0699f1bf8f38f2"/>
                    <w:lock w:val="sdtLocked"/>
                    <w:richText/>
                  </w:sdtPr>
                  <w:sdtContent>
                    <w:p>
                      <w:pPr>
                        <w:widowControl w:val="0"/>
                        <w:suppressAutoHyphens/>
                        <w:ind w:firstLine="720"/>
                        <w:jc w:val="both"/>
                        <w:rPr>
                          <w:strike/>
                          <w:szCs w:val="24"/>
                        </w:rPr>
                      </w:pPr>
                      <w:sdt>
                        <w:sdtPr>
                          <w:alias w:val="Numeris"/>
                          <w:tag w:val="nr_9c0a15c77fa849f6bc0699f1bf8f38f2"/>
                          <w:lock w:val="sdtLocked"/>
                          <w:richText/>
                        </w:sdtPr>
                        <w:sdtContent>
                          <w:r>
                            <w:rPr>
                              <w:szCs w:val="24"/>
                            </w:rPr>
                            <w:t>13.2</w:t>
                          </w:r>
                        </w:sdtContent>
                      </w:sdt>
                      <w:r>
                        <w:rPr>
                          <w:szCs w:val="24"/>
                        </w:rPr>
                        <w:t>. valgykloje ar prie valgyklos turi būti įrengtos praustuvės, ne mažiau kaip 1 praustuvė 20-čiai vietų valgykloje, skysto muilo, vienkartinių rankšluosčių ar elektrinis rankų džiovintuvas, šiukšlių dėžė.</w:t>
                      </w:r>
                    </w:p>
                  </w:sdtContent>
                </w:sdt>
              </w:sdtContent>
            </w:sdt>
            <w:sdt>
              <w:sdtPr>
                <w:alias w:val="14 p."/>
                <w:tag w:val="part_f30bb734372945b485f24ab53ec93c5d"/>
                <w:lock w:val="sdtLocked"/>
                <w:richText/>
              </w:sdtPr>
              <w:sdtContent>
                <w:p>
                  <w:pPr>
                    <w:widowControl w:val="0"/>
                    <w:suppressAutoHyphens/>
                    <w:ind w:firstLine="720"/>
                    <w:jc w:val="both"/>
                    <w:rPr>
                      <w:strike/>
                      <w:szCs w:val="24"/>
                    </w:rPr>
                  </w:pPr>
                  <w:sdt>
                    <w:sdtPr>
                      <w:alias w:val="Numeris"/>
                      <w:tag w:val="nr_f30bb734372945b485f24ab53ec93c5d"/>
                      <w:lock w:val="sdtLocked"/>
                      <w:richText/>
                    </w:sdtPr>
                    <w:sdtContent>
                      <w:r>
                        <w:rPr>
                          <w:szCs w:val="24"/>
                        </w:rPr>
                        <w:t>14</w:t>
                      </w:r>
                    </w:sdtContent>
                  </w:sdt>
                  <w:r>
                    <w:rPr>
                      <w:szCs w:val="24"/>
                    </w:rPr>
                    <w:t>. Virtuvė:</w:t>
                  </w:r>
                </w:p>
                <w:sdt>
                  <w:sdtPr>
                    <w:alias w:val="14.1 pp."/>
                    <w:tag w:val="part_7e074e38e4cb4d3099cb048141bc7975"/>
                    <w:lock w:val="sdtLocked"/>
                    <w:richText/>
                  </w:sdtPr>
                  <w:sdtContent>
                    <w:p>
                      <w:pPr>
                        <w:widowControl w:val="0"/>
                        <w:suppressAutoHyphens/>
                        <w:ind w:firstLine="720"/>
                        <w:jc w:val="both"/>
                        <w:rPr>
                          <w:spacing w:val="4"/>
                          <w:szCs w:val="24"/>
                        </w:rPr>
                      </w:pPr>
                      <w:sdt>
                        <w:sdtPr>
                          <w:alias w:val="Numeris"/>
                          <w:tag w:val="nr_7e074e38e4cb4d3099cb048141bc7975"/>
                          <w:lock w:val="sdtLocked"/>
                          <w:richText/>
                        </w:sdtPr>
                        <w:sdtContent>
                          <w:r>
                            <w:rPr>
                              <w:spacing w:val="4"/>
                              <w:szCs w:val="24"/>
                            </w:rPr>
                            <w:t>14.1</w:t>
                          </w:r>
                        </w:sdtContent>
                      </w:sdt>
                      <w:r>
                        <w:rPr>
                          <w:spacing w:val="4"/>
                          <w:szCs w:val="24"/>
                        </w:rPr>
                        <w:t>. virtuvėje turi būti viryklė, plautuvė, šaldytuvas, spintelės, sukomplektuoti valgomieji indai ir įrankiai, atsižvelgiant į paslaugų gavėjų skaičių, bet ne mažiau kaip dvi lėkštės, šaukštas, šakutė, šaukštelis, puodelis kiekvienam asmeniui;</w:t>
                      </w:r>
                    </w:p>
                  </w:sdtContent>
                </w:sdt>
                <w:sdt>
                  <w:sdtPr>
                    <w:alias w:val="14.2 pp."/>
                    <w:tag w:val="part_ca01e0dcf49841e5aaf6dd15c00b9b13"/>
                    <w:lock w:val="sdtLocked"/>
                    <w:richText/>
                  </w:sdtPr>
                  <w:sdtContent>
                    <w:p>
                      <w:pPr>
                        <w:widowControl w:val="0"/>
                        <w:suppressAutoHyphens/>
                        <w:ind w:firstLine="720"/>
                        <w:jc w:val="both"/>
                        <w:rPr>
                          <w:szCs w:val="24"/>
                        </w:rPr>
                      </w:pPr>
                      <w:sdt>
                        <w:sdtPr>
                          <w:alias w:val="Numeris"/>
                          <w:tag w:val="nr_ca01e0dcf49841e5aaf6dd15c00b9b13"/>
                          <w:lock w:val="sdtLocked"/>
                          <w:richText/>
                        </w:sdtPr>
                        <w:sdtContent>
                          <w:r>
                            <w:rPr>
                              <w:szCs w:val="24"/>
                            </w:rPr>
                            <w:t>14.2</w:t>
                          </w:r>
                        </w:sdtContent>
                      </w:sdt>
                      <w:r>
                        <w:rPr>
                          <w:szCs w:val="24"/>
                        </w:rPr>
                        <w:t>. virtuvėje įrenginiai, inventorius turi būti techniškai tvarkingi.</w:t>
                      </w:r>
                    </w:p>
                  </w:sdtContent>
                </w:sdt>
              </w:sdtContent>
            </w:sdt>
            <w:sdt>
              <w:sdtPr>
                <w:alias w:val="15 p."/>
                <w:tag w:val="part_8fb8e93c6057491899ed8347caa09651"/>
                <w:lock w:val="sdtLocked"/>
                <w:richText/>
              </w:sdtPr>
              <w:sdtContent>
                <w:p>
                  <w:pPr>
                    <w:widowControl w:val="0"/>
                    <w:suppressAutoHyphens/>
                    <w:ind w:firstLine="720"/>
                    <w:jc w:val="both"/>
                    <w:rPr>
                      <w:szCs w:val="24"/>
                    </w:rPr>
                  </w:pPr>
                  <w:sdt>
                    <w:sdtPr>
                      <w:alias w:val="Numeris"/>
                      <w:tag w:val="nr_8fb8e93c6057491899ed8347caa09651"/>
                      <w:lock w:val="sdtLocked"/>
                      <w:richText/>
                    </w:sdtPr>
                    <w:sdtContent>
                      <w:r>
                        <w:rPr>
                          <w:szCs w:val="24"/>
                        </w:rPr>
                        <w:t>15</w:t>
                      </w:r>
                    </w:sdtContent>
                  </w:sdt>
                  <w:r>
                    <w:rPr>
                      <w:szCs w:val="24"/>
                    </w:rPr>
                    <w:t>. Asmens higienos patalpos (tualetai, dušai, vonios, prausyklos):</w:t>
                  </w:r>
                </w:p>
                <w:sdt>
                  <w:sdtPr>
                    <w:alias w:val="15.1 pp."/>
                    <w:tag w:val="part_3e8f82ad024e495ea730aece9ba472d6"/>
                    <w:lock w:val="sdtLocked"/>
                    <w:richText/>
                  </w:sdtPr>
                  <w:sdtContent>
                    <w:p>
                      <w:pPr>
                        <w:widowControl w:val="0"/>
                        <w:suppressAutoHyphens/>
                        <w:ind w:firstLine="720"/>
                        <w:jc w:val="both"/>
                        <w:rPr>
                          <w:szCs w:val="24"/>
                        </w:rPr>
                      </w:pPr>
                      <w:sdt>
                        <w:sdtPr>
                          <w:alias w:val="Numeris"/>
                          <w:tag w:val="nr_3e8f82ad024e495ea730aece9ba472d6"/>
                          <w:lock w:val="sdtLocked"/>
                          <w:richText/>
                        </w:sdtPr>
                        <w:sdtContent>
                          <w:r>
                            <w:rPr>
                              <w:szCs w:val="24"/>
                            </w:rPr>
                            <w:t>15.1</w:t>
                          </w:r>
                        </w:sdtContent>
                      </w:sdt>
                      <w:r>
                        <w:rPr>
                          <w:szCs w:val="24"/>
                        </w:rPr>
                        <w:t>. turi būti atskiros vyrų ir moterų asmens higienos patalpos;</w:t>
                      </w:r>
                    </w:p>
                  </w:sdtContent>
                </w:sdt>
                <w:sdt>
                  <w:sdtPr>
                    <w:alias w:val="15.2 pp."/>
                    <w:tag w:val="part_f2192200b9bf490cbadb9aa64eda4982"/>
                    <w:lock w:val="sdtLocked"/>
                    <w:richText/>
                  </w:sdtPr>
                  <w:sdtContent>
                    <w:p>
                      <w:pPr>
                        <w:widowControl w:val="0"/>
                        <w:suppressAutoHyphens/>
                        <w:ind w:firstLine="720"/>
                        <w:jc w:val="both"/>
                        <w:rPr>
                          <w:szCs w:val="24"/>
                        </w:rPr>
                      </w:pPr>
                      <w:sdt>
                        <w:sdtPr>
                          <w:alias w:val="Numeris"/>
                          <w:tag w:val="nr_f2192200b9bf490cbadb9aa64eda4982"/>
                          <w:lock w:val="sdtLocked"/>
                          <w:richText/>
                        </w:sdtPr>
                        <w:sdtContent>
                          <w:r>
                            <w:rPr>
                              <w:szCs w:val="24"/>
                            </w:rPr>
                            <w:t>15.2</w:t>
                          </w:r>
                        </w:sdtContent>
                      </w:sdt>
                      <w:r>
                        <w:rPr>
                          <w:szCs w:val="24"/>
                        </w:rPr>
                        <w:t>. tualetas turi būti prie kiekvienos gyvenamosios patalpos; jeigu nėra galimybių įrengti tualetą prie kiekvienos gyvenamosios patalpos, įrengiamas tualetas numatant 1 unitazą ne daugiau kaip 10-čiai paslaugų gavėjų (20-čiai vyrų gali būti vienas unitazas ir vienas pisuaras);</w:t>
                      </w:r>
                    </w:p>
                  </w:sdtContent>
                </w:sdt>
                <w:sdt>
                  <w:sdtPr>
                    <w:alias w:val="15.3 pp."/>
                    <w:tag w:val="part_8cbfe7532d66436f8f63a122d8dce7df"/>
                    <w:lock w:val="sdtLocked"/>
                    <w:richText/>
                  </w:sdtPr>
                  <w:sdtContent>
                    <w:p>
                      <w:pPr>
                        <w:widowControl w:val="0"/>
                        <w:suppressAutoHyphens/>
                        <w:ind w:firstLine="720"/>
                        <w:jc w:val="both"/>
                        <w:rPr>
                          <w:szCs w:val="24"/>
                        </w:rPr>
                      </w:pPr>
                      <w:sdt>
                        <w:sdtPr>
                          <w:alias w:val="Numeris"/>
                          <w:tag w:val="nr_8cbfe7532d66436f8f63a122d8dce7df"/>
                          <w:lock w:val="sdtLocked"/>
                          <w:richText/>
                        </w:sdtPr>
                        <w:sdtContent>
                          <w:r>
                            <w:rPr>
                              <w:szCs w:val="24"/>
                            </w:rPr>
                            <w:t>15.3</w:t>
                          </w:r>
                        </w:sdtContent>
                      </w:sdt>
                      <w:r>
                        <w:rPr>
                          <w:szCs w:val="24"/>
                        </w:rPr>
                        <w:t xml:space="preserve">. tualeto patalpose turi būti įrengtos atskiros uždaros kabinos; </w:t>
                      </w:r>
                    </w:p>
                  </w:sdtContent>
                </w:sdt>
                <w:sdt>
                  <w:sdtPr>
                    <w:alias w:val="15.4 pp."/>
                    <w:tag w:val="part_9309763a33544875a30b4595f99f21a6"/>
                    <w:lock w:val="sdtLocked"/>
                    <w:richText/>
                  </w:sdtPr>
                  <w:sdtContent>
                    <w:p>
                      <w:pPr>
                        <w:widowControl w:val="0"/>
                        <w:suppressAutoHyphens/>
                        <w:ind w:firstLine="720"/>
                        <w:jc w:val="both"/>
                        <w:rPr>
                          <w:szCs w:val="24"/>
                        </w:rPr>
                      </w:pPr>
                      <w:sdt>
                        <w:sdtPr>
                          <w:alias w:val="Numeris"/>
                          <w:tag w:val="nr_9309763a33544875a30b4595f99f21a6"/>
                          <w:lock w:val="sdtLocked"/>
                          <w:richText/>
                        </w:sdtPr>
                        <w:sdtContent>
                          <w:r>
                            <w:rPr>
                              <w:szCs w:val="24"/>
                            </w:rPr>
                            <w:t>15.4</w:t>
                          </w:r>
                        </w:sdtContent>
                      </w:sdt>
                      <w:r>
                        <w:rPr>
                          <w:szCs w:val="24"/>
                        </w:rPr>
                        <w:t>. tualeto kabinoje turi būti unitazas, šepetys unitazui valyti, tualetinio popieriaus, šiukšlių dėžė;</w:t>
                      </w:r>
                    </w:p>
                  </w:sdtContent>
                </w:sdt>
                <w:sdt>
                  <w:sdtPr>
                    <w:alias w:val="15.5 pp."/>
                    <w:tag w:val="part_860df5aec75b46af9d839cc52be63ed7"/>
                    <w:lock w:val="sdtLocked"/>
                    <w:richText/>
                  </w:sdtPr>
                  <w:sdtContent>
                    <w:p>
                      <w:pPr>
                        <w:widowControl w:val="0"/>
                        <w:suppressAutoHyphens/>
                        <w:ind w:firstLine="720"/>
                        <w:jc w:val="both"/>
                        <w:rPr>
                          <w:szCs w:val="24"/>
                        </w:rPr>
                      </w:pPr>
                      <w:sdt>
                        <w:sdtPr>
                          <w:alias w:val="Numeris"/>
                          <w:tag w:val="nr_860df5aec75b46af9d839cc52be63ed7"/>
                          <w:lock w:val="sdtLocked"/>
                          <w:richText/>
                        </w:sdtPr>
                        <w:sdtContent>
                          <w:r>
                            <w:rPr>
                              <w:szCs w:val="24"/>
                            </w:rPr>
                            <w:t>15.5</w:t>
                          </w:r>
                        </w:sdtContent>
                      </w:sdt>
                      <w:r>
                        <w:rPr>
                          <w:szCs w:val="24"/>
                        </w:rPr>
                        <w:t>. tualeto patalpose turi būti praustuvė, skysto muilo, vienkartinių rankšluosčių dėtuvė su vienkartiniais rankšluosčiais ar elektrinis rankų džiovintuvas, šiukšlių dėžė;</w:t>
                      </w:r>
                    </w:p>
                  </w:sdtContent>
                </w:sdt>
                <w:sdt>
                  <w:sdtPr>
                    <w:alias w:val="15.6 pp."/>
                    <w:tag w:val="part_93d21286b03a4514ae9a79e7b2f4aa58"/>
                    <w:lock w:val="sdtLocked"/>
                    <w:richText/>
                  </w:sdtPr>
                  <w:sdtContent>
                    <w:p>
                      <w:pPr>
                        <w:widowControl w:val="0"/>
                        <w:suppressAutoHyphens/>
                        <w:ind w:firstLine="720"/>
                        <w:jc w:val="both"/>
                        <w:rPr>
                          <w:szCs w:val="24"/>
                        </w:rPr>
                      </w:pPr>
                      <w:sdt>
                        <w:sdtPr>
                          <w:alias w:val="Numeris"/>
                          <w:tag w:val="nr_93d21286b03a4514ae9a79e7b2f4aa58"/>
                          <w:lock w:val="sdtLocked"/>
                          <w:richText/>
                        </w:sdtPr>
                        <w:sdtContent>
                          <w:r>
                            <w:rPr>
                              <w:szCs w:val="24"/>
                            </w:rPr>
                            <w:t>15.6</w:t>
                          </w:r>
                        </w:sdtContent>
                      </w:sdt>
                      <w:r>
                        <w:rPr>
                          <w:szCs w:val="24"/>
                        </w:rPr>
                        <w:t>. dušas ar vonia turi būti prie kiekvienos gyvenamosios patalpos; jeigu nėra galimybių įrengti dušo ar vonios prie kiekvienos gyvenamosios patalpos, turi būti įrengta ne mažiau kaip 1 vonia arba dušas 15-ai paslaugų gavėjų;</w:t>
                      </w:r>
                    </w:p>
                  </w:sdtContent>
                </w:sdt>
                <w:sdt>
                  <w:sdtPr>
                    <w:alias w:val="15.7 pp."/>
                    <w:tag w:val="part_c1545a721a4d4392a584caaf1349c82c"/>
                    <w:lock w:val="sdtLocked"/>
                    <w:richText/>
                  </w:sdtPr>
                  <w:sdtContent>
                    <w:p>
                      <w:pPr>
                        <w:widowControl w:val="0"/>
                        <w:suppressAutoHyphens/>
                        <w:ind w:firstLine="720"/>
                        <w:jc w:val="both"/>
                        <w:rPr>
                          <w:szCs w:val="24"/>
                        </w:rPr>
                      </w:pPr>
                      <w:sdt>
                        <w:sdtPr>
                          <w:alias w:val="Numeris"/>
                          <w:tag w:val="nr_c1545a721a4d4392a584caaf1349c82c"/>
                          <w:lock w:val="sdtLocked"/>
                          <w:richText/>
                        </w:sdtPr>
                        <w:sdtContent>
                          <w:r>
                            <w:rPr>
                              <w:szCs w:val="24"/>
                            </w:rPr>
                            <w:t>15.7</w:t>
                          </w:r>
                        </w:sdtContent>
                      </w:sdt>
                      <w:r>
                        <w:rPr>
                          <w:szCs w:val="24"/>
                        </w:rPr>
                        <w:t>. jeigu suaugusių asmenų socialinės globos įstaigoje įrengiamos prausyklos, prausyklose 10-čiai paslaugų gavėjų turi būti ne mažiau kaip 1 praustuvė;</w:t>
                      </w:r>
                    </w:p>
                  </w:sdtContent>
                </w:sdt>
                <w:sdt>
                  <w:sdtPr>
                    <w:alias w:val="15.8 pp."/>
                    <w:tag w:val="part_0068a97019574750b4acff6cdc0d0286"/>
                    <w:lock w:val="sdtLocked"/>
                    <w:richText/>
                  </w:sdtPr>
                  <w:sdtContent>
                    <w:p>
                      <w:pPr>
                        <w:widowControl w:val="0"/>
                        <w:suppressAutoHyphens/>
                        <w:ind w:firstLine="720"/>
                        <w:jc w:val="both"/>
                        <w:rPr>
                          <w:szCs w:val="24"/>
                        </w:rPr>
                      </w:pPr>
                      <w:sdt>
                        <w:sdtPr>
                          <w:alias w:val="Numeris"/>
                          <w:tag w:val="nr_0068a97019574750b4acff6cdc0d0286"/>
                          <w:lock w:val="sdtLocked"/>
                          <w:richText/>
                        </w:sdtPr>
                        <w:sdtContent>
                          <w:r>
                            <w:rPr>
                              <w:szCs w:val="24"/>
                            </w:rPr>
                            <w:t>15.8</w:t>
                          </w:r>
                        </w:sdtContent>
                      </w:sdt>
                      <w:r>
                        <w:rPr>
                          <w:szCs w:val="24"/>
                        </w:rPr>
                        <w:t>. asmens higienos patalpų sienos, grindys turi būti nelaidžios vandeniui, tinkamos valyti drėgnu būdu, dezinfekuoti. Vonios, dušo patalpų grindų paviršiai turi būti neslidūs.</w:t>
                      </w:r>
                    </w:p>
                  </w:sdtContent>
                </w:sdt>
              </w:sdtContent>
            </w:sdt>
            <w:sdt>
              <w:sdtPr>
                <w:alias w:val="16 p."/>
                <w:tag w:val="part_a1997995299b4a67921795dec3dedabe"/>
                <w:lock w:val="sdtLocked"/>
                <w:richText/>
              </w:sdtPr>
              <w:sdtContent>
                <w:p>
                  <w:pPr>
                    <w:ind w:firstLine="720"/>
                    <w:jc w:val="both"/>
                    <w:rPr>
                      <w:spacing w:val="-4"/>
                      <w:szCs w:val="24"/>
                    </w:rPr>
                  </w:pPr>
                  <w:sdt>
                    <w:sdtPr>
                      <w:alias w:val="Numeris"/>
                      <w:tag w:val="nr_a1997995299b4a67921795dec3dedabe"/>
                      <w:lock w:val="sdtLocked"/>
                      <w:richText/>
                    </w:sdtPr>
                    <w:sdtContent>
                      <w:r>
                        <w:rPr>
                          <w:spacing w:val="-4"/>
                          <w:szCs w:val="24"/>
                        </w:rPr>
                        <w:t>16</w:t>
                      </w:r>
                    </w:sdtContent>
                  </w:sdt>
                  <w:r>
                    <w:rPr>
                      <w:spacing w:val="-4"/>
                      <w:szCs w:val="24"/>
                    </w:rPr>
                    <w:t xml:space="preserve">. </w:t>
                  </w:r>
                  <w:r>
                    <w:rPr>
                      <w:szCs w:val="24"/>
                    </w:rPr>
                    <w:t>Suaugusių asmenų socialinės globos įstaigų</w:t>
                  </w:r>
                  <w:r>
                    <w:rPr>
                      <w:spacing w:val="-4"/>
                      <w:szCs w:val="24"/>
                    </w:rPr>
                    <w:t xml:space="preserve"> skalbiniai turi būti tvarkomi (</w:t>
                  </w:r>
                  <w:r>
                    <w:rPr>
                      <w:szCs w:val="24"/>
                    </w:rPr>
                    <w:t xml:space="preserve">skalbiami, džiovinami, lyginami, lankstomi, pakuojami) skalbykloje, kuriai </w:t>
                  </w:r>
                  <w:r>
                    <w:rPr>
                      <w:spacing w:val="-3"/>
                      <w:szCs w:val="24"/>
                    </w:rPr>
                    <w:t>Leidimų-higienos pasų išdavimo taisyklių nustatyta tvarka išduotas leidimas-higienos pasas, arba s</w:t>
                  </w:r>
                  <w:r>
                    <w:rPr>
                      <w:szCs w:val="24"/>
                    </w:rPr>
                    <w:t>uaugusių asmenų socialinės globos įstaigos skalbykloje, kuri atitinka šiuos reikalavimus:</w:t>
                  </w:r>
                </w:p>
                <w:sdt>
                  <w:sdtPr>
                    <w:alias w:val="16.1 pp."/>
                    <w:tag w:val="part_9e116ba53f6643b287dd1f390c9256d2"/>
                    <w:lock w:val="sdtLocked"/>
                    <w:richText/>
                  </w:sdtPr>
                  <w:sdtContent>
                    <w:p>
                      <w:pPr>
                        <w:ind w:firstLine="720"/>
                        <w:jc w:val="both"/>
                        <w:rPr>
                          <w:szCs w:val="24"/>
                        </w:rPr>
                      </w:pPr>
                      <w:sdt>
                        <w:sdtPr>
                          <w:alias w:val="Numeris"/>
                          <w:tag w:val="nr_9e116ba53f6643b287dd1f390c9256d2"/>
                          <w:lock w:val="sdtLocked"/>
                          <w:richText/>
                        </w:sdtPr>
                        <w:sdtContent>
                          <w:r>
                            <w:rPr>
                              <w:szCs w:val="24"/>
                            </w:rPr>
                            <w:t>16.1</w:t>
                          </w:r>
                        </w:sdtContent>
                      </w:sdt>
                      <w:r>
                        <w:rPr>
                          <w:szCs w:val="24"/>
                        </w:rPr>
                        <w:t>. skalbykloje įrengta nešvarių skalbinių patalpa (zona), skalbimo patalpa (zona), lyginimo patalpa (zona), džiovinimo patalpa arba lyginimo-džiovinimo patalpa (zona), švarių skalbinių patalpa (zona);</w:t>
                      </w:r>
                    </w:p>
                  </w:sdtContent>
                </w:sdt>
                <w:sdt>
                  <w:sdtPr>
                    <w:alias w:val="16.2 pp."/>
                    <w:tag w:val="part_0c135aa3bdc74e1b890a47c520ba8eaa"/>
                    <w:lock w:val="sdtLocked"/>
                    <w:richText/>
                  </w:sdtPr>
                  <w:sdtContent>
                    <w:p>
                      <w:pPr>
                        <w:ind w:firstLine="720"/>
                        <w:jc w:val="both"/>
                        <w:rPr>
                          <w:szCs w:val="24"/>
                        </w:rPr>
                      </w:pPr>
                      <w:sdt>
                        <w:sdtPr>
                          <w:alias w:val="Numeris"/>
                          <w:tag w:val="nr_0c135aa3bdc74e1b890a47c520ba8eaa"/>
                          <w:lock w:val="sdtLocked"/>
                          <w:richText/>
                        </w:sdtPr>
                        <w:sdtContent>
                          <w:r>
                            <w:rPr>
                              <w:szCs w:val="24"/>
                            </w:rPr>
                            <w:t>16.2</w:t>
                          </w:r>
                        </w:sdtContent>
                      </w:sdt>
                      <w:r>
                        <w:rPr>
                          <w:szCs w:val="24"/>
                        </w:rPr>
                        <w:t>. skalbyklos patalpos ir įrenginiai išdėstyti taip, kad švarių ir nešvarių skalbinių srautai technologinio proceso metu nesusikirstų;</w:t>
                      </w:r>
                    </w:p>
                  </w:sdtContent>
                </w:sdt>
                <w:sdt>
                  <w:sdtPr>
                    <w:alias w:val="16.3 pp."/>
                    <w:tag w:val="part_e1f5fe855edd4cf9b5cdb37cc28fe8d7"/>
                    <w:lock w:val="sdtLocked"/>
                    <w:richText/>
                  </w:sdtPr>
                  <w:sdtContent>
                    <w:p>
                      <w:pPr>
                        <w:ind w:firstLine="720"/>
                        <w:jc w:val="both"/>
                        <w:rPr>
                          <w:szCs w:val="24"/>
                        </w:rPr>
                      </w:pPr>
                      <w:sdt>
                        <w:sdtPr>
                          <w:alias w:val="Numeris"/>
                          <w:tag w:val="nr_e1f5fe855edd4cf9b5cdb37cc28fe8d7"/>
                          <w:lock w:val="sdtLocked"/>
                          <w:richText/>
                        </w:sdtPr>
                        <w:sdtContent>
                          <w:r>
                            <w:rPr>
                              <w:szCs w:val="24"/>
                            </w:rPr>
                            <w:t>16.3</w:t>
                          </w:r>
                        </w:sdtContent>
                      </w:sdt>
                      <w:r>
                        <w:rPr>
                          <w:szCs w:val="24"/>
                        </w:rPr>
                        <w:t>. skalbyklos sienos, grindys yra nelaidžios vandeniui, tinkamos valyti drėgnu būdu, dezinfekuoti.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sdtContent>
                </w:sdt>
              </w:sdtContent>
            </w:sdt>
          </w:sdtContent>
        </w:sdt>
        <w:sdt>
          <w:sdtPr>
            <w:alias w:val="skyrius"/>
            <w:tag w:val="part_7b061df29880435ca69019e8058c93a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7b061df29880435ca69019e8058c93a3"/>
                  <w:lock w:val="sdtLocked"/>
                  <w:richText/>
                </w:sdtPr>
                <w:sdtContent>
                  <w:r>
                    <w:rPr>
                      <w:b/>
                      <w:szCs w:val="24"/>
                    </w:rPr>
                    <w:t>IV</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7b061df29880435ca69019e8058c93a3"/>
                  <w:lock w:val="sdtLocked"/>
                  <w:richText/>
                </w:sdtPr>
                <w:sdtContent>
                  <w:r>
                    <w:rPr>
                      <w:b/>
                      <w:bCs/>
                      <w:caps/>
                      <w:szCs w:val="24"/>
                    </w:rPr>
                    <w:t>APŠVIETIMO REIKALAVIMAI</w:t>
                  </w:r>
                </w:sdtContent>
              </w:sdt>
            </w:p>
            <w:p>
              <w:pPr>
                <w:widowControl w:val="0"/>
                <w:suppressAutoHyphens/>
                <w:jc w:val="center"/>
                <w:rPr>
                  <w:color w:val="000000"/>
                  <w:szCs w:val="24"/>
                </w:rPr>
              </w:pPr>
            </w:p>
            <w:sdt>
              <w:sdtPr>
                <w:alias w:val="17 p."/>
                <w:tag w:val="part_342f471158944c1d91e22585d0f0c3d7"/>
                <w:lock w:val="sdtLocked"/>
                <w:richText/>
              </w:sdtPr>
              <w:sdtContent>
                <w:p>
                  <w:pPr>
                    <w:widowControl w:val="0"/>
                    <w:suppressAutoHyphens/>
                    <w:ind w:firstLine="720"/>
                    <w:jc w:val="both"/>
                    <w:rPr>
                      <w:szCs w:val="24"/>
                    </w:rPr>
                  </w:pPr>
                  <w:sdt>
                    <w:sdtPr>
                      <w:alias w:val="Numeris"/>
                      <w:tag w:val="nr_342f471158944c1d91e22585d0f0c3d7"/>
                      <w:lock w:val="sdtLocked"/>
                      <w:richText/>
                    </w:sdtPr>
                    <w:sdtContent>
                      <w:r>
                        <w:rPr>
                          <w:szCs w:val="24"/>
                        </w:rPr>
                        <w:t>17</w:t>
                      </w:r>
                    </w:sdtContent>
                  </w:sdt>
                  <w:r>
                    <w:rPr>
                      <w:szCs w:val="24"/>
                    </w:rPr>
                    <w:t>. Gyvenamosiose, ugdymo, laisvalaikio organizavimo patalpose turi būti natūralus apšvietimas.</w:t>
                  </w:r>
                </w:p>
              </w:sdtContent>
            </w:sdt>
            <w:sdt>
              <w:sdtPr>
                <w:alias w:val="18 p."/>
                <w:tag w:val="part_d138bb59024c4e31b1ac77f265598370"/>
                <w:lock w:val="sdtLocked"/>
                <w:richText/>
              </w:sdtPr>
              <w:sdtContent>
                <w:p>
                  <w:pPr>
                    <w:widowControl w:val="0"/>
                    <w:suppressAutoHyphens/>
                    <w:ind w:firstLine="720"/>
                    <w:jc w:val="both"/>
                    <w:rPr>
                      <w:szCs w:val="24"/>
                    </w:rPr>
                  </w:pPr>
                  <w:sdt>
                    <w:sdtPr>
                      <w:alias w:val="Numeris"/>
                      <w:tag w:val="nr_d138bb59024c4e31b1ac77f265598370"/>
                      <w:lock w:val="sdtLocked"/>
                      <w:richText/>
                    </w:sdtPr>
                    <w:sdtContent>
                      <w:r>
                        <w:rPr>
                          <w:szCs w:val="24"/>
                        </w:rPr>
                        <w:t>18</w:t>
                      </w:r>
                    </w:sdtContent>
                  </w:sdt>
                  <w:r>
                    <w:rPr>
                      <w:szCs w:val="24"/>
                    </w:rPr>
                    <w:t xml:space="preserve">. Natūralios apšvietos koeficientas gyvenamosiose patalpose turi būti ne mažesnis kaip 0,5 proc. </w:t>
                  </w:r>
                </w:p>
              </w:sdtContent>
            </w:sdt>
            <w:sdt>
              <w:sdtPr>
                <w:alias w:val="19 p."/>
                <w:tag w:val="part_a278047002424b1b9997e379f77d5649"/>
                <w:lock w:val="sdtLocked"/>
                <w:richText/>
              </w:sdtPr>
              <w:sdtContent>
                <w:p>
                  <w:pPr>
                    <w:widowControl w:val="0"/>
                    <w:suppressAutoHyphens/>
                    <w:ind w:firstLine="720"/>
                    <w:jc w:val="both"/>
                    <w:rPr>
                      <w:szCs w:val="24"/>
                    </w:rPr>
                  </w:pPr>
                  <w:sdt>
                    <w:sdtPr>
                      <w:alias w:val="Numeris"/>
                      <w:tag w:val="nr_a278047002424b1b9997e379f77d5649"/>
                      <w:lock w:val="sdtLocked"/>
                      <w:richText/>
                    </w:sdtPr>
                    <w:sdtContent>
                      <w:r>
                        <w:rPr>
                          <w:szCs w:val="24"/>
                        </w:rPr>
                        <w:t>19</w:t>
                      </w:r>
                    </w:sdtContent>
                  </w:sdt>
                  <w:r>
                    <w:rPr>
                      <w:szCs w:val="24"/>
                    </w:rPr>
                    <w:t>. Gyvenamosios, ugdymo patalpos turi būti apsaugotos nuo tiesioginių saulės spindulių (įrengtos užuolaidos, žaliuzės ar kt.).</w:t>
                  </w:r>
                </w:p>
              </w:sdtContent>
            </w:sdt>
            <w:sdt>
              <w:sdtPr>
                <w:alias w:val="20 p."/>
                <w:tag w:val="part_ef2945916144447e9226e25d7acada83"/>
                <w:lock w:val="sdtLocked"/>
                <w:richText/>
              </w:sdtPr>
              <w:sdtContent>
                <w:p>
                  <w:pPr>
                    <w:widowControl w:val="0"/>
                    <w:suppressAutoHyphens/>
                    <w:ind w:firstLine="720"/>
                    <w:jc w:val="both"/>
                    <w:rPr>
                      <w:szCs w:val="24"/>
                    </w:rPr>
                  </w:pPr>
                  <w:sdt>
                    <w:sdtPr>
                      <w:alias w:val="Numeris"/>
                      <w:tag w:val="nr_ef2945916144447e9226e25d7acada83"/>
                      <w:lock w:val="sdtLocked"/>
                      <w:richText/>
                    </w:sdtPr>
                    <w:sdtContent>
                      <w:r>
                        <w:rPr>
                          <w:szCs w:val="24"/>
                        </w:rPr>
                        <w:t>20</w:t>
                      </w:r>
                    </w:sdtContent>
                  </w:sdt>
                  <w:r>
                    <w:rPr>
                      <w:szCs w:val="24"/>
                    </w:rPr>
                    <w:t xml:space="preserve">. Visose suaugusių asmenų socialinės globos įstaigos patalpose turi būti įrengtas bendras dirbtinis apšvietimas. Gyvenamosiose patalpose papildomai įrengiamas vietinis dirbtinis apšvietimas. </w:t>
                  </w:r>
                  <w:r>
                    <w:rPr>
                      <w:color w:val="000000"/>
                      <w:szCs w:val="24"/>
                    </w:rPr>
                    <w:t xml:space="preserve">Patalpų </w:t>
                  </w:r>
                  <w:r>
                    <w:rPr>
                      <w:szCs w:val="24"/>
                    </w:rPr>
                    <w:t xml:space="preserve">bendro dirbtinio apšvietimo </w:t>
                  </w:r>
                  <w:r>
                    <w:rPr>
                      <w:color w:val="000000"/>
                      <w:szCs w:val="24"/>
                    </w:rPr>
                    <w:t>mažiausios ribinės vertės pateiktos šios higienos normos lentelėje.</w:t>
                  </w:r>
                </w:p>
                <w:p>
                  <w:pPr>
                    <w:widowControl w:val="0"/>
                    <w:suppressAutoHyphens/>
                    <w:ind w:firstLine="720"/>
                    <w:jc w:val="both"/>
                    <w:rPr>
                      <w:szCs w:val="24"/>
                    </w:rPr>
                  </w:pPr>
                </w:p>
                <w:p>
                  <w:pPr>
                    <w:widowControl w:val="0"/>
                    <w:suppressAutoHyphens/>
                    <w:ind w:firstLine="720"/>
                    <w:jc w:val="both"/>
                    <w:rPr>
                      <w:szCs w:val="24"/>
                    </w:rPr>
                  </w:pPr>
                  <w:r>
                    <w:rPr>
                      <w:szCs w:val="24"/>
                    </w:rPr>
                    <w:t>Lentelė. Suaugusių asmenų socialinės globos įstaigos patalpų bendro dirbtinio apšvietimo mažiausios ribinės vertės</w:t>
                  </w:r>
                </w:p>
                <w:tbl>
                  <w:tblPr>
                    <w:tblW w:w="0" w:type="auto"/>
                    <w:tblInd w:w="108" w:type="dxa"/>
                    <w:tblLayout w:type="fixed"/>
                    <w:tblCellMar>
                      <w:left w:w="0" w:type="dxa"/>
                      <w:right w:w="0" w:type="dxa"/>
                    </w:tblCellMar>
                    <w:tblLook w:val="0000" w:firstRow="0" w:lastRow="0" w:firstColumn="0" w:lastColumn="0" w:noHBand="0" w:noVBand="0"/>
                  </w:tblPr>
                  <w:tblGrid>
                    <w:gridCol w:w="648"/>
                    <w:gridCol w:w="5760"/>
                    <w:gridCol w:w="2712"/>
                  </w:tblGrid>
                  <w:tr>
                    <w:trPr>
                      <w:trHeight w:val="60"/>
                    </w:trPr>
                    <w:tc>
                      <w:tcPr>
                        <w:tcW w:w="64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szCs w:val="24"/>
                          </w:rPr>
                        </w:pPr>
                        <w:r>
                          <w:rPr>
                            <w:szCs w:val="24"/>
                          </w:rPr>
                          <w:t xml:space="preserve">Nr. </w:t>
                        </w:r>
                      </w:p>
                    </w:tc>
                    <w:tc>
                      <w:tcPr>
                        <w:tcW w:w="57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szCs w:val="24"/>
                          </w:rPr>
                        </w:pPr>
                        <w:r>
                          <w:rPr>
                            <w:szCs w:val="24"/>
                          </w:rPr>
                          <w:t xml:space="preserve">Patalpos pavadinimas </w:t>
                        </w:r>
                      </w:p>
                    </w:tc>
                    <w:tc>
                      <w:tcPr>
                        <w:tcW w:w="271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szCs w:val="24"/>
                          </w:rPr>
                        </w:pPr>
                        <w:r>
                          <w:rPr>
                            <w:szCs w:val="24"/>
                          </w:rPr>
                          <w:t xml:space="preserve">Apšvieta, lx </w:t>
                        </w:r>
                      </w:p>
                    </w:tc>
                  </w:tr>
                  <w:tr>
                    <w:trPr>
                      <w:trHeight w:val="60"/>
                    </w:trPr>
                    <w:tc>
                      <w:tcPr>
                        <w:tcW w:w="64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szCs w:val="24"/>
                          </w:rPr>
                        </w:pPr>
                        <w:r>
                          <w:rPr>
                            <w:szCs w:val="24"/>
                          </w:rPr>
                          <w:t xml:space="preserve">1 </w:t>
                        </w:r>
                      </w:p>
                    </w:tc>
                    <w:tc>
                      <w:tcPr>
                        <w:tcW w:w="57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szCs w:val="24"/>
                          </w:rPr>
                        </w:pPr>
                        <w:r>
                          <w:rPr>
                            <w:szCs w:val="24"/>
                          </w:rPr>
                          <w:t xml:space="preserve">2 </w:t>
                        </w:r>
                      </w:p>
                    </w:tc>
                    <w:tc>
                      <w:tcPr>
                        <w:tcW w:w="271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szCs w:val="24"/>
                          </w:rPr>
                        </w:pPr>
                        <w:r>
                          <w:rPr>
                            <w:szCs w:val="24"/>
                          </w:rPr>
                          <w:t xml:space="preserve">3 </w:t>
                        </w:r>
                      </w:p>
                    </w:tc>
                  </w:tr>
                  <w:tr>
                    <w:trPr>
                      <w:trHeight w:val="60"/>
                    </w:trPr>
                    <w:tc>
                      <w:tcPr>
                        <w:tcW w:w="64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szCs w:val="24"/>
                          </w:rPr>
                        </w:pPr>
                        <w:r>
                          <w:rPr>
                            <w:szCs w:val="24"/>
                          </w:rPr>
                          <w:t xml:space="preserve">1 </w:t>
                        </w:r>
                      </w:p>
                    </w:tc>
                    <w:tc>
                      <w:tcPr>
                        <w:tcW w:w="57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szCs w:val="24"/>
                          </w:rPr>
                        </w:pPr>
                        <w:r>
                          <w:rPr>
                            <w:szCs w:val="24"/>
                          </w:rPr>
                          <w:t>Gyvenamosios, laisvalaikio organizavimo patalpos, valgyklos</w:t>
                        </w:r>
                      </w:p>
                    </w:tc>
                    <w:tc>
                      <w:tcPr>
                        <w:tcW w:w="271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szCs w:val="24"/>
                          </w:rPr>
                        </w:pPr>
                        <w:r>
                          <w:rPr>
                            <w:szCs w:val="24"/>
                          </w:rPr>
                          <w:t xml:space="preserve">150 </w:t>
                        </w:r>
                      </w:p>
                    </w:tc>
                  </w:tr>
                  <w:tr>
                    <w:trPr>
                      <w:trHeight w:val="60"/>
                    </w:trPr>
                    <w:tc>
                      <w:tcPr>
                        <w:tcW w:w="64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szCs w:val="24"/>
                          </w:rPr>
                        </w:pPr>
                        <w:r>
                          <w:rPr>
                            <w:szCs w:val="24"/>
                          </w:rPr>
                          <w:t xml:space="preserve">2 </w:t>
                        </w:r>
                      </w:p>
                    </w:tc>
                    <w:tc>
                      <w:tcPr>
                        <w:tcW w:w="57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szCs w:val="24"/>
                          </w:rPr>
                        </w:pPr>
                        <w:r>
                          <w:rPr>
                            <w:szCs w:val="24"/>
                          </w:rPr>
                          <w:t xml:space="preserve">Ugdymo patalpos </w:t>
                        </w:r>
                      </w:p>
                    </w:tc>
                    <w:tc>
                      <w:tcPr>
                        <w:tcW w:w="271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szCs w:val="24"/>
                          </w:rPr>
                        </w:pPr>
                        <w:r>
                          <w:rPr>
                            <w:szCs w:val="24"/>
                          </w:rPr>
                          <w:t xml:space="preserve">300 </w:t>
                        </w:r>
                      </w:p>
                    </w:tc>
                  </w:tr>
                  <w:tr>
                    <w:trPr>
                      <w:trHeight w:val="60"/>
                    </w:trPr>
                    <w:tc>
                      <w:tcPr>
                        <w:tcW w:w="64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szCs w:val="24"/>
                          </w:rPr>
                        </w:pPr>
                        <w:r>
                          <w:rPr>
                            <w:szCs w:val="24"/>
                          </w:rPr>
                          <w:t xml:space="preserve">3 </w:t>
                        </w:r>
                      </w:p>
                    </w:tc>
                    <w:tc>
                      <w:tcPr>
                        <w:tcW w:w="57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szCs w:val="24"/>
                          </w:rPr>
                        </w:pPr>
                        <w:r>
                          <w:rPr>
                            <w:szCs w:val="24"/>
                          </w:rPr>
                          <w:t xml:space="preserve">Judėjimo keliai, laiptinės, koridoriai, laukiamieji </w:t>
                        </w:r>
                      </w:p>
                    </w:tc>
                    <w:tc>
                      <w:tcPr>
                        <w:tcW w:w="271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szCs w:val="24"/>
                          </w:rPr>
                        </w:pPr>
                        <w:r>
                          <w:rPr>
                            <w:szCs w:val="24"/>
                          </w:rPr>
                          <w:t xml:space="preserve">100 </w:t>
                        </w:r>
                      </w:p>
                    </w:tc>
                  </w:tr>
                  <w:tr>
                    <w:trPr>
                      <w:trHeight w:val="60"/>
                    </w:trPr>
                    <w:tc>
                      <w:tcPr>
                        <w:tcW w:w="64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szCs w:val="24"/>
                          </w:rPr>
                        </w:pPr>
                        <w:r>
                          <w:rPr>
                            <w:szCs w:val="24"/>
                          </w:rPr>
                          <w:t xml:space="preserve">4 </w:t>
                        </w:r>
                      </w:p>
                    </w:tc>
                    <w:tc>
                      <w:tcPr>
                        <w:tcW w:w="57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szCs w:val="24"/>
                          </w:rPr>
                        </w:pPr>
                        <w:r>
                          <w:rPr>
                            <w:szCs w:val="24"/>
                          </w:rPr>
                          <w:t xml:space="preserve">Asmens higienos patalpos </w:t>
                        </w:r>
                      </w:p>
                    </w:tc>
                    <w:tc>
                      <w:tcPr>
                        <w:tcW w:w="271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szCs w:val="24"/>
                          </w:rPr>
                        </w:pPr>
                        <w:r>
                          <w:rPr>
                            <w:szCs w:val="24"/>
                          </w:rPr>
                          <w:t xml:space="preserve">100 </w:t>
                        </w:r>
                      </w:p>
                    </w:tc>
                  </w:tr>
                  <w:tr>
                    <w:trPr>
                      <w:trHeight w:val="60"/>
                    </w:trPr>
                    <w:tc>
                      <w:tcPr>
                        <w:tcW w:w="64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szCs w:val="24"/>
                          </w:rPr>
                        </w:pPr>
                        <w:r>
                          <w:rPr>
                            <w:szCs w:val="24"/>
                          </w:rPr>
                          <w:t xml:space="preserve">5 </w:t>
                        </w:r>
                      </w:p>
                    </w:tc>
                    <w:tc>
                      <w:tcPr>
                        <w:tcW w:w="57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szCs w:val="24"/>
                          </w:rPr>
                        </w:pPr>
                        <w:r>
                          <w:rPr>
                            <w:szCs w:val="24"/>
                          </w:rPr>
                          <w:t xml:space="preserve">Virtuvė </w:t>
                        </w:r>
                      </w:p>
                    </w:tc>
                    <w:tc>
                      <w:tcPr>
                        <w:tcW w:w="271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szCs w:val="24"/>
                          </w:rPr>
                        </w:pPr>
                        <w:r>
                          <w:rPr>
                            <w:szCs w:val="24"/>
                          </w:rPr>
                          <w:t xml:space="preserve">300 </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sdtContent>
            </w:sdt>
          </w:sdtContent>
        </w:sdt>
        <w:sdt>
          <w:sdtPr>
            <w:alias w:val="skyrius"/>
            <w:tag w:val="part_606f2e7d44664db5a92e4adfa414ff0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606f2e7d44664db5a92e4adfa414ff07"/>
                  <w:lock w:val="sdtLocked"/>
                  <w:richText/>
                </w:sdtPr>
                <w:sdtContent>
                  <w:r>
                    <w:rPr>
                      <w:b/>
                      <w:szCs w:val="24"/>
                    </w:rPr>
                    <w:t>V</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606f2e7d44664db5a92e4adfa414ff07"/>
                  <w:lock w:val="sdtLocked"/>
                  <w:richText/>
                </w:sdtPr>
                <w:sdtContent>
                  <w:r>
                    <w:rPr>
                      <w:b/>
                      <w:bCs/>
                      <w:caps/>
                      <w:szCs w:val="24"/>
                    </w:rPr>
                    <w:t>MIKROKLIMATO, VĖDINIMO, TRIUKŠMO REIKALAVIMAI</w:t>
                  </w:r>
                </w:sdtContent>
              </w:sdt>
            </w:p>
            <w:p>
              <w:pPr>
                <w:widowControl w:val="0"/>
                <w:suppressAutoHyphens/>
                <w:jc w:val="center"/>
                <w:rPr>
                  <w:color w:val="000000"/>
                  <w:szCs w:val="24"/>
                </w:rPr>
              </w:pPr>
            </w:p>
            <w:sdt>
              <w:sdtPr>
                <w:alias w:val="21 p."/>
                <w:tag w:val="part_edb718d446ea4d9ab17c506803171730"/>
                <w:lock w:val="sdtLocked"/>
                <w:richText/>
              </w:sdtPr>
              <w:sdtContent>
                <w:p>
                  <w:pPr>
                    <w:widowControl w:val="0"/>
                    <w:suppressAutoHyphens/>
                    <w:ind w:firstLine="720"/>
                    <w:jc w:val="both"/>
                    <w:rPr>
                      <w:szCs w:val="24"/>
                    </w:rPr>
                  </w:pPr>
                  <w:sdt>
                    <w:sdtPr>
                      <w:alias w:val="Numeris"/>
                      <w:tag w:val="nr_edb718d446ea4d9ab17c506803171730"/>
                      <w:lock w:val="sdtLocked"/>
                      <w:richText/>
                    </w:sdtPr>
                    <w:sdtContent>
                      <w:r>
                        <w:rPr>
                          <w:szCs w:val="24"/>
                        </w:rPr>
                        <w:t>21</w:t>
                      </w:r>
                    </w:sdtContent>
                  </w:sdt>
                  <w:r>
                    <w:rPr>
                      <w:szCs w:val="24"/>
                    </w:rPr>
                    <w:t>. Suaugusių asmenų socialinės globos įstaigos patalpose mikroklimatas turi atitikti Lietuvos higienos normoje HN 42:2009 „Gyvenamųjų ir visuomeninių pastatų patalpų mikroklimatas“, patvirtintoje Lietuvos Respublikos sveikatos apsaugos ministro 2009 m. gruodžio 29 d. įsakymu Nr. V-1081 „Dėl Lietuvos higienos normos HN 42:2009 „Gyvenamųjų ir visuomeninių pastatų patalpų mikroklimatas“ patvirtinimo“, nustatytus reikalavimus.</w:t>
                  </w:r>
                </w:p>
              </w:sdtContent>
            </w:sdt>
            <w:sdt>
              <w:sdtPr>
                <w:alias w:val="22 p."/>
                <w:tag w:val="part_ed709ace77c944799a6086c6ef8a88ce"/>
                <w:lock w:val="sdtLocked"/>
                <w:richText/>
              </w:sdtPr>
              <w:sdtContent>
                <w:p>
                  <w:pPr>
                    <w:widowControl w:val="0"/>
                    <w:suppressAutoHyphens/>
                    <w:ind w:firstLine="720"/>
                    <w:jc w:val="both"/>
                    <w:rPr>
                      <w:szCs w:val="24"/>
                    </w:rPr>
                  </w:pPr>
                  <w:sdt>
                    <w:sdtPr>
                      <w:alias w:val="Numeris"/>
                      <w:tag w:val="nr_ed709ace77c944799a6086c6ef8a88ce"/>
                      <w:lock w:val="sdtLocked"/>
                      <w:richText/>
                    </w:sdtPr>
                    <w:sdtContent>
                      <w:r>
                        <w:rPr>
                          <w:szCs w:val="24"/>
                        </w:rPr>
                        <w:t>22</w:t>
                      </w:r>
                    </w:sdtContent>
                  </w:sdt>
                  <w:r>
                    <w:rPr>
                      <w:szCs w:val="24"/>
                    </w:rPr>
                    <w:t xml:space="preserve">. Suaugusių asmenų socialinės globos įstaigos patalpose oro kokybė turi atitikti </w:t>
                  </w:r>
                  <w:r>
                    <w:rPr>
                      <w:color w:val="000000"/>
                      <w:szCs w:val="24"/>
                    </w:rPr>
                    <w:t>Lietuvos higienos normoje HN 35:2007 „Didžiausia leidžiama cheminių medžiagų (teršalų) koncentracija gyvenamosios ir visuomeninės paskirties pastatų patalpų ore“, patvirtintoje Lietuvos Respublikos sveikatos apsaugos ministro 2007 m. gegužės 10 d. įsakymu Nr. V-362 „Dėl Lietuvos higienos normos HN 35:2007 „Didžiausia leidžiama cheminių medžiagų (teršalų) koncentracija gyvenamosios ir visuomeninės paskirties pastatų patalpų ore“ patvirtinimo“, nustatytus oro kokybės parametrus.</w:t>
                  </w:r>
                </w:p>
              </w:sdtContent>
            </w:sdt>
            <w:sdt>
              <w:sdtPr>
                <w:alias w:val="23 p."/>
                <w:tag w:val="part_368e0102acd841fd924d534ef5c46fd6"/>
                <w:lock w:val="sdtLocked"/>
                <w:richText/>
              </w:sdtPr>
              <w:sdtContent>
                <w:p>
                  <w:pPr>
                    <w:widowControl w:val="0"/>
                    <w:suppressAutoHyphens/>
                    <w:ind w:firstLine="720"/>
                    <w:jc w:val="both"/>
                    <w:rPr>
                      <w:strike/>
                      <w:szCs w:val="24"/>
                    </w:rPr>
                  </w:pPr>
                  <w:sdt>
                    <w:sdtPr>
                      <w:alias w:val="Numeris"/>
                      <w:tag w:val="nr_368e0102acd841fd924d534ef5c46fd6"/>
                      <w:lock w:val="sdtLocked"/>
                      <w:richText/>
                    </w:sdtPr>
                    <w:sdtContent>
                      <w:r>
                        <w:rPr>
                          <w:szCs w:val="24"/>
                        </w:rPr>
                        <w:t>23</w:t>
                      </w:r>
                    </w:sdtContent>
                  </w:sdt>
                  <w:r>
                    <w:rPr>
                      <w:szCs w:val="24"/>
                    </w:rPr>
                    <w:t>. Suaugusių asmenų socialinės globos įstaigos gyvenamosiose, ugdymo, laisvalaikio organizavimo patalpose turi būti natūralus vėdinimas, užtikrinamas varstomais langais.</w:t>
                  </w:r>
                </w:p>
              </w:sdtContent>
            </w:sdt>
            <w:sdt>
              <w:sdtPr>
                <w:alias w:val="24 p."/>
                <w:tag w:val="part_8b6285e332aa49fa81891060db9e9543"/>
                <w:lock w:val="sdtLocked"/>
                <w:richText/>
              </w:sdtPr>
              <w:sdtContent>
                <w:p>
                  <w:pPr>
                    <w:widowControl w:val="0"/>
                    <w:suppressAutoHyphens/>
                    <w:ind w:firstLine="720"/>
                    <w:jc w:val="both"/>
                    <w:rPr>
                      <w:szCs w:val="24"/>
                    </w:rPr>
                  </w:pPr>
                  <w:sdt>
                    <w:sdtPr>
                      <w:alias w:val="Numeris"/>
                      <w:tag w:val="nr_8b6285e332aa49fa81891060db9e9543"/>
                      <w:lock w:val="sdtLocked"/>
                      <w:richText/>
                    </w:sdtPr>
                    <w:sdtContent>
                      <w:r>
                        <w:rPr>
                          <w:szCs w:val="24"/>
                        </w:rPr>
                        <w:t>24</w:t>
                      </w:r>
                    </w:sdtContent>
                  </w:sdt>
                  <w:r>
                    <w:rPr>
                      <w:szCs w:val="24"/>
                    </w:rPr>
                    <w:t xml:space="preserve">. Triukšmo lygis suaugusių asmenų socialinės globos įstaigos </w:t>
                  </w:r>
                  <w:r>
                    <w:rPr>
                      <w:color w:val="000000"/>
                      <w:szCs w:val="24"/>
                    </w:rPr>
                    <w:t xml:space="preserve">patalpose </w:t>
                  </w:r>
                  <w:r>
                    <w:rPr>
                      <w:szCs w:val="24"/>
                    </w:rPr>
                    <w:t xml:space="preserve">turi neviršyti </w:t>
                  </w:r>
                  <w:r>
                    <w:rPr>
                      <w:color w:val="000000"/>
                      <w:szCs w:val="24"/>
                    </w:rPr>
                    <w:t>Lietuvos higienos normoje HN 33:2011 „Triukšmo ribiniai dydžiai gyvenamuosiuose ir visuomeninės paskirties pastatuose bei jų aplinkoje“, patvirtintoje Lietuvos Respublikos sveikatos apsaugos ministro 2011 m. birželio 13 d. įsakymu Nr. V-604 „Dėl Lietuvos higienos normos HN 33:2011 „Triukšmo ribiniai dydžiai gyvenamuosiuose ir visuomeninės paskirties pastatuose bei jų aplinkoje“ patvirtinimo“,</w:t>
                  </w:r>
                  <w:r>
                    <w:rPr>
                      <w:szCs w:val="24"/>
                    </w:rPr>
                    <w:t xml:space="preserve"> nustatytų ribinių dydžių.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sdtContent>
            </w:sdt>
          </w:sdtContent>
        </w:sdt>
        <w:sdt>
          <w:sdtPr>
            <w:alias w:val="skyrius"/>
            <w:tag w:val="part_4ae80f6ea10f4c5ebcaf310deaf272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4ae80f6ea10f4c5ebcaf310deaf27257"/>
                  <w:lock w:val="sdtLocked"/>
                  <w:richText/>
                </w:sdtPr>
                <w:sdtContent>
                  <w:r>
                    <w:rPr>
                      <w:b/>
                      <w:szCs w:val="24"/>
                    </w:rPr>
                    <w:t>VI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4ae80f6ea10f4c5ebcaf310deaf27257"/>
                  <w:lock w:val="sdtLocked"/>
                  <w:richText/>
                </w:sdtPr>
                <w:sdtContent>
                  <w:r>
                    <w:rPr>
                      <w:b/>
                      <w:bCs/>
                      <w:caps/>
                      <w:szCs w:val="24"/>
                    </w:rPr>
                    <w:t>VANDENS TIEKIMO REIKALAVIMAI</w:t>
                  </w:r>
                </w:sdtContent>
              </w:sdt>
            </w:p>
            <w:p>
              <w:pPr>
                <w:widowControl w:val="0"/>
                <w:suppressAutoHyphens/>
                <w:jc w:val="center"/>
                <w:rPr>
                  <w:color w:val="000000"/>
                  <w:szCs w:val="24"/>
                </w:rPr>
              </w:pPr>
            </w:p>
            <w:sdt>
              <w:sdtPr>
                <w:alias w:val="25 p."/>
                <w:tag w:val="part_d248953133b54909908e75ee3e12cc62"/>
                <w:lock w:val="sdtLocked"/>
                <w:richText/>
              </w:sdtPr>
              <w:sdtContent>
                <w:p>
                  <w:pPr>
                    <w:widowControl w:val="0"/>
                    <w:suppressAutoHyphens/>
                    <w:ind w:firstLine="720"/>
                    <w:jc w:val="both"/>
                    <w:rPr>
                      <w:szCs w:val="24"/>
                    </w:rPr>
                  </w:pPr>
                  <w:sdt>
                    <w:sdtPr>
                      <w:alias w:val="Numeris"/>
                      <w:tag w:val="nr_d248953133b54909908e75ee3e12cc62"/>
                      <w:lock w:val="sdtLocked"/>
                      <w:richText/>
                    </w:sdtPr>
                    <w:sdtContent>
                      <w:r>
                        <w:rPr>
                          <w:szCs w:val="24"/>
                        </w:rPr>
                        <w:t>25</w:t>
                      </w:r>
                    </w:sdtContent>
                  </w:sdt>
                  <w:r>
                    <w:rPr>
                      <w:szCs w:val="24"/>
                    </w:rPr>
                    <w:t>. Suaugusių asmenų socialinės globos įstaigose karštas ir šaltas vanduo turi būti nuolat tiekiamas asmens higienos patalpose, virtuvės patalpose, valgykloje (prie valgyklos esančiose patalpose), skalbykloje.</w:t>
                  </w:r>
                </w:p>
              </w:sdtContent>
            </w:sdt>
            <w:sdt>
              <w:sdtPr>
                <w:alias w:val="26 p."/>
                <w:tag w:val="part_3008fdb856e849d1a39a2291da0697a9"/>
                <w:lock w:val="sdtLocked"/>
                <w:richText/>
              </w:sdtPr>
              <w:sdtContent>
                <w:p>
                  <w:pPr>
                    <w:widowControl w:val="0"/>
                    <w:suppressAutoHyphens/>
                    <w:ind w:firstLine="720"/>
                    <w:jc w:val="both"/>
                    <w:rPr>
                      <w:szCs w:val="24"/>
                    </w:rPr>
                  </w:pPr>
                  <w:sdt>
                    <w:sdtPr>
                      <w:alias w:val="Numeris"/>
                      <w:tag w:val="nr_3008fdb856e849d1a39a2291da0697a9"/>
                      <w:lock w:val="sdtLocked"/>
                      <w:richText/>
                    </w:sdtPr>
                    <w:sdtContent>
                      <w:r>
                        <w:rPr>
                          <w:szCs w:val="24"/>
                        </w:rPr>
                        <w:t>26</w:t>
                      </w:r>
                    </w:sdtContent>
                  </w:sdt>
                  <w:r>
                    <w:rPr>
                      <w:szCs w:val="24"/>
                    </w:rPr>
                    <w:t xml:space="preserve">. Tiekiamas šaltas ir karštas vanduo turi atitikti Lietuvos higienos normoje HN 24:2017 „Geriamojo vandens saugos ir kokybės reikalavimai“, patvirtintoje Lietuvos Respublikos sveikatos apsaugos ministro 2003 m. liepos 23 d. įsakymu Nr. V-455 „Dėl Lietuvos higienos normos HN 24:2017 „Geriamojo vandens saugos ir kokybės reikalavimai“ patvirtinimo“, nustatytus saugos ir kokybės reikalavimus. </w:t>
                  </w:r>
                  <w:r>
                    <w:rPr>
                      <w:spacing w:val="-2"/>
                      <w:szCs w:val="24"/>
                    </w:rPr>
                    <w:t xml:space="preserve">Karšto vandens temperatūra čiaupe, jei nėra sumontuotas termostatinis maišymo vožtuvas, turi būti ne žemesnė kaip 50 </w:t>
                  </w:r>
                  <w:r>
                    <w:rPr>
                      <w:szCs w:val="24"/>
                    </w:rPr>
                    <w:t>°C (matuojant temperatūrą po 1 min., kai buvo atsuktas čiaupas ir paleistas vanduo), šalto – ne aukštesnė</w:t>
                  </w:r>
                  <w:r>
                    <w:rPr>
                      <w:i/>
                      <w:iCs/>
                      <w:szCs w:val="24"/>
                    </w:rPr>
                    <w:t xml:space="preserve"> </w:t>
                  </w:r>
                  <w:r>
                    <w:rPr>
                      <w:szCs w:val="24"/>
                    </w:rPr>
                    <w:t>kaip 20 °C (matuojant temperatūrą po 2 min., kai buvo atsuktas čiaupas ir paleistas vanduo).</w:t>
                  </w:r>
                </w:p>
              </w:sdtContent>
            </w:sdt>
            <w:sdt>
              <w:sdtPr>
                <w:alias w:val="27 p."/>
                <w:tag w:val="part_64ebfd74b74044f9b6f6eb52484cce0a"/>
                <w:lock w:val="sdtLocked"/>
                <w:richText/>
              </w:sdtPr>
              <w:sdtContent>
                <w:p>
                  <w:pPr>
                    <w:widowControl w:val="0"/>
                    <w:suppressAutoHyphens/>
                    <w:ind w:firstLine="720"/>
                    <w:jc w:val="both"/>
                    <w:rPr>
                      <w:szCs w:val="24"/>
                    </w:rPr>
                  </w:pPr>
                  <w:sdt>
                    <w:sdtPr>
                      <w:alias w:val="Numeris"/>
                      <w:tag w:val="nr_64ebfd74b74044f9b6f6eb52484cce0a"/>
                      <w:lock w:val="sdtLocked"/>
                      <w:richText/>
                    </w:sdtPr>
                    <w:sdtContent>
                      <w:r>
                        <w:rPr>
                          <w:szCs w:val="24"/>
                        </w:rPr>
                        <w:t>27</w:t>
                      </w:r>
                    </w:sdtContent>
                  </w:sdt>
                  <w:r>
                    <w:rPr>
                      <w:szCs w:val="24"/>
                    </w:rPr>
                    <w:t>. Suaugusių asmenų socialinės globos įstaiga ne rečiau kaip vieną kartą per metus turi atlikti geriamojo vandens (šalto ir karšto) mikrobiologinį tyrimą legionelėms nustatyti. Papildomi vandens tyrimai atliekami, kai vandens tiekimo sistema pradedama naudoti daugiau kaip po vieno mėnesio pertraukos, po vandens tiekimo sistemos rekonstrukcijos ar remonto, taip pat kai diagnozuojama susirgimų legionelioze. Tyrimų protokolai saugomi suaugusių asmenų socialinės globos įstaigoje ne trumpiau kaip 2 metus.</w:t>
                  </w:r>
                </w:p>
              </w:sdtContent>
            </w:sdt>
            <w:sdt>
              <w:sdtPr>
                <w:alias w:val="28 p."/>
                <w:tag w:val="part_86b2594882764efbb12538bb5f1286e2"/>
                <w:lock w:val="sdtLocked"/>
                <w:richText/>
              </w:sdtPr>
              <w:sdtContent>
                <w:p>
                  <w:pPr>
                    <w:widowControl w:val="0"/>
                    <w:suppressAutoHyphens/>
                    <w:ind w:firstLine="720"/>
                    <w:jc w:val="both"/>
                    <w:rPr>
                      <w:szCs w:val="24"/>
                    </w:rPr>
                  </w:pPr>
                  <w:sdt>
                    <w:sdtPr>
                      <w:alias w:val="Numeris"/>
                      <w:tag w:val="nr_86b2594882764efbb12538bb5f1286e2"/>
                      <w:lock w:val="sdtLocked"/>
                      <w:richText/>
                    </w:sdtPr>
                    <w:sdtContent>
                      <w:r>
                        <w:rPr>
                          <w:szCs w:val="24"/>
                        </w:rPr>
                        <w:t>28</w:t>
                      </w:r>
                    </w:sdtContent>
                  </w:sdt>
                  <w:r>
                    <w:rPr>
                      <w:szCs w:val="24"/>
                    </w:rPr>
                    <w:t>. Jeigu 1 l vandens randama daugiau nei 1 000, bet mažiau nei 10 000 legionelių, turi būti patikrinama vandens tiekimo sistema, nustatoma galima vandens taršos priežastis ir šaltinis, koreguojamos esamos ir (arba) imamasi naujų legioneliozės profilaktikos priemonių. Jeigu 1 l vandens randama daugiau nei 10 000 legionelių, turi būti patikrinama vandens tiekimo sistema, nustatoma galima vandens taršos priežastis, vandens tiekimo sistema valoma ir padaroma nekenksminga, koreguojamos esamos ir (arba) imamasi naujų legioneliozės profilaktikos priemonių. Atlikus vandens tiekimo sistemos valymą ir kenksmingumo šalinimą, atliekamas vandens mikrobiologinis tyrimas legionelėms nustatyti.</w:t>
                  </w:r>
                </w:p>
              </w:sdtContent>
            </w:sdt>
            <w:sdt>
              <w:sdtPr>
                <w:alias w:val="29 p."/>
                <w:tag w:val="part_4bc1e3339130423d83414764d7deb4ec"/>
                <w:lock w:val="sdtLocked"/>
                <w:richText/>
              </w:sdtPr>
              <w:sdtContent>
                <w:p>
                  <w:pPr>
                    <w:ind w:firstLine="720"/>
                    <w:jc w:val="both"/>
                    <w:rPr>
                      <w:szCs w:val="24"/>
                    </w:rPr>
                  </w:pPr>
                  <w:sdt>
                    <w:sdtPr>
                      <w:alias w:val="Numeris"/>
                      <w:tag w:val="nr_4bc1e3339130423d83414764d7deb4ec"/>
                      <w:lock w:val="sdtLocked"/>
                      <w:richText/>
                    </w:sdtPr>
                    <w:sdtContent>
                      <w:r>
                        <w:rPr>
                          <w:szCs w:val="24"/>
                        </w:rPr>
                        <w:t>29</w:t>
                      </w:r>
                    </w:sdtContent>
                  </w:sdt>
                  <w:r>
                    <w:rPr>
                      <w:szCs w:val="24"/>
                    </w:rPr>
                    <w:t>. Visi legioneliozės profilaktikos ir vandens tiekimo sistemos rekonstrukcijos, remonto, valymo, nukenksminimo darbai turi būti registruojami Profilaktinių (techninių) priemonių (darbų) registracijos žurnale (šios higienos normos priedas). Profilaktinių (techninių) priemonių (darbų) registracijos žurnalas saugomas suaugusių asmenų socialinės globos įstaigoje ne trumpiau kaip 2 metus.</w:t>
                  </w:r>
                </w:p>
              </w:sdtContent>
            </w:sdt>
            <w:sdt>
              <w:sdtPr>
                <w:alias w:val="30 p."/>
                <w:tag w:val="part_383f6ae28b6d40c98c0a95378ec860ed"/>
                <w:lock w:val="sdtLocked"/>
                <w:richText/>
              </w:sdtPr>
              <w:sdtContent>
                <w:p>
                  <w:pPr>
                    <w:widowControl w:val="0"/>
                    <w:suppressAutoHyphens/>
                    <w:ind w:firstLine="720"/>
                    <w:jc w:val="both"/>
                    <w:rPr>
                      <w:szCs w:val="24"/>
                    </w:rPr>
                  </w:pPr>
                  <w:sdt>
                    <w:sdtPr>
                      <w:alias w:val="Numeris"/>
                      <w:tag w:val="nr_383f6ae28b6d40c98c0a95378ec860ed"/>
                      <w:lock w:val="sdtLocked"/>
                      <w:richText/>
                    </w:sdtPr>
                    <w:sdtContent>
                      <w:r>
                        <w:rPr>
                          <w:szCs w:val="24"/>
                        </w:rPr>
                        <w:t>30</w:t>
                      </w:r>
                    </w:sdtContent>
                  </w:sdt>
                  <w:r>
                    <w:rPr>
                      <w:szCs w:val="24"/>
                    </w:rPr>
                    <w:t>. Suaugusių asmenų socialinės globos įstaiga įgyvendindama legioneliozės profilaktikos priemones turi užtikrinti paslaugų gavėjų saugą.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sdtContent>
            </w:sdt>
          </w:sdtContent>
        </w:sdt>
        <w:sdt>
          <w:sdtPr>
            <w:alias w:val="skyrius"/>
            <w:tag w:val="part_3d717353e18b497fb1e28be52e88247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3d717353e18b497fb1e28be52e882473"/>
                  <w:lock w:val="sdtLocked"/>
                  <w:richText/>
                </w:sdtPr>
                <w:sdtContent>
                  <w:r>
                    <w:rPr>
                      <w:b/>
                      <w:szCs w:val="24"/>
                    </w:rPr>
                    <w:t>VII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3d717353e18b497fb1e28be52e882473"/>
                  <w:lock w:val="sdtLocked"/>
                  <w:richText/>
                </w:sdtPr>
                <w:sdtContent>
                  <w:r>
                    <w:rPr>
                      <w:b/>
                      <w:bCs/>
                      <w:caps/>
                      <w:szCs w:val="24"/>
                    </w:rPr>
                    <w:t>TERITORIJOS, PATALPŲ, ĮRENGINIŲ, INVENTORIAUS PRIEŽIŪROS REIKALAVIMAI</w:t>
                  </w:r>
                </w:sdtContent>
              </w:sdt>
            </w:p>
            <w:p>
              <w:pPr>
                <w:widowControl w:val="0"/>
                <w:suppressAutoHyphens/>
                <w:jc w:val="center"/>
                <w:rPr>
                  <w:color w:val="000000"/>
                  <w:szCs w:val="24"/>
                </w:rPr>
              </w:pPr>
            </w:p>
            <w:sdt>
              <w:sdtPr>
                <w:alias w:val="31 p."/>
                <w:tag w:val="part_0c1f8540d13e4c9aa355733324a7a439"/>
                <w:lock w:val="sdtLocked"/>
                <w:richText/>
              </w:sdtPr>
              <w:sdtContent>
                <w:p>
                  <w:pPr>
                    <w:widowControl w:val="0"/>
                    <w:suppressAutoHyphens/>
                    <w:ind w:firstLine="720"/>
                    <w:jc w:val="both"/>
                    <w:rPr>
                      <w:szCs w:val="24"/>
                    </w:rPr>
                  </w:pPr>
                  <w:sdt>
                    <w:sdtPr>
                      <w:alias w:val="Numeris"/>
                      <w:tag w:val="nr_0c1f8540d13e4c9aa355733324a7a439"/>
                      <w:lock w:val="sdtLocked"/>
                      <w:richText/>
                    </w:sdtPr>
                    <w:sdtContent>
                      <w:r>
                        <w:rPr>
                          <w:szCs w:val="24"/>
                        </w:rPr>
                        <w:t>31</w:t>
                      </w:r>
                    </w:sdtContent>
                  </w:sdt>
                  <w:r>
                    <w:rPr>
                      <w:szCs w:val="24"/>
                    </w:rPr>
                    <w:t>. Suaugusių asmenų socialinės globos įstaigai priklausanti teritorija turi būti tvarkinga, valoma. Žolė turi būti nušienauta.</w:t>
                  </w:r>
                </w:p>
              </w:sdtContent>
            </w:sdt>
            <w:sdt>
              <w:sdtPr>
                <w:alias w:val="32 p."/>
                <w:tag w:val="part_0f4952d85cab4de3ab7e95390a0ee1ba"/>
                <w:lock w:val="sdtLocked"/>
                <w:richText/>
              </w:sdtPr>
              <w:sdtContent>
                <w:p>
                  <w:pPr>
                    <w:widowControl w:val="0"/>
                    <w:suppressAutoHyphens/>
                    <w:ind w:firstLine="720"/>
                    <w:jc w:val="both"/>
                    <w:rPr>
                      <w:szCs w:val="24"/>
                    </w:rPr>
                  </w:pPr>
                  <w:sdt>
                    <w:sdtPr>
                      <w:alias w:val="Numeris"/>
                      <w:tag w:val="nr_0f4952d85cab4de3ab7e95390a0ee1ba"/>
                      <w:lock w:val="sdtLocked"/>
                      <w:richText/>
                    </w:sdtPr>
                    <w:sdtContent>
                      <w:r>
                        <w:rPr>
                          <w:szCs w:val="24"/>
                        </w:rPr>
                        <w:t>32</w:t>
                      </w:r>
                    </w:sdtContent>
                  </w:sdt>
                  <w:r>
                    <w:rPr>
                      <w:szCs w:val="24"/>
                    </w:rPr>
                    <w:t>. Suaugusių asmenų socialinės globos įstaigos p</w:t>
                  </w:r>
                  <w:r>
                    <w:rPr>
                      <w:color w:val="000000"/>
                      <w:szCs w:val="24"/>
                    </w:rPr>
                    <w:t>atalpos, jose esantys įrenginiai ir inventorius turi būti švarūs.</w:t>
                  </w:r>
                  <w:r>
                    <w:rPr>
                      <w:szCs w:val="24"/>
                    </w:rPr>
                    <w:t xml:space="preserve"> Ant patalpų sienų, lubų neturi būti matomų pelėsių.</w:t>
                  </w:r>
                </w:p>
              </w:sdtContent>
            </w:sdt>
            <w:sdt>
              <w:sdtPr>
                <w:alias w:val="33 p."/>
                <w:tag w:val="part_e47c43ad9dd74c2099c6c8a4f5458aad"/>
                <w:lock w:val="sdtLocked"/>
                <w:richText/>
              </w:sdtPr>
              <w:sdtContent>
                <w:p>
                  <w:pPr>
                    <w:widowControl w:val="0"/>
                    <w:suppressAutoHyphens/>
                    <w:ind w:firstLine="720"/>
                    <w:jc w:val="both"/>
                    <w:rPr>
                      <w:szCs w:val="24"/>
                    </w:rPr>
                  </w:pPr>
                  <w:sdt>
                    <w:sdtPr>
                      <w:alias w:val="Numeris"/>
                      <w:tag w:val="nr_e47c43ad9dd74c2099c6c8a4f5458aad"/>
                      <w:lock w:val="sdtLocked"/>
                      <w:richText/>
                    </w:sdtPr>
                    <w:sdtContent>
                      <w:r>
                        <w:rPr>
                          <w:szCs w:val="24"/>
                        </w:rPr>
                        <w:t>33</w:t>
                      </w:r>
                    </w:sdtContent>
                  </w:sdt>
                  <w:r>
                    <w:rPr>
                      <w:szCs w:val="24"/>
                    </w:rPr>
                    <w:t>. Santechniniai įrenginiai (unitazai, praustuvės ir pan.) turi būti techniškai tvarkingi ir švarūs visą laiką.</w:t>
                  </w:r>
                </w:p>
              </w:sdtContent>
            </w:sdt>
            <w:sdt>
              <w:sdtPr>
                <w:alias w:val="34 p."/>
                <w:tag w:val="part_0040002201554f46ae8c2fe06eef10b4"/>
                <w:lock w:val="sdtLocked"/>
                <w:richText/>
              </w:sdtPr>
              <w:sdtContent>
                <w:p>
                  <w:pPr>
                    <w:widowControl w:val="0"/>
                    <w:suppressAutoHyphens/>
                    <w:ind w:firstLine="720"/>
                    <w:jc w:val="both"/>
                    <w:rPr>
                      <w:szCs w:val="24"/>
                    </w:rPr>
                  </w:pPr>
                  <w:sdt>
                    <w:sdtPr>
                      <w:alias w:val="Numeris"/>
                      <w:tag w:val="nr_0040002201554f46ae8c2fe06eef10b4"/>
                      <w:lock w:val="sdtLocked"/>
                      <w:richText/>
                    </w:sdtPr>
                    <w:sdtContent>
                      <w:r>
                        <w:rPr>
                          <w:szCs w:val="24"/>
                        </w:rPr>
                        <w:t>34</w:t>
                      </w:r>
                    </w:sdtContent>
                  </w:sdt>
                  <w:r>
                    <w:rPr>
                      <w:szCs w:val="24"/>
                    </w:rPr>
                    <w:t>. Indai ir įrankiai plaunami indams plauti skirtomis priemonėmis.</w:t>
                  </w:r>
                </w:p>
              </w:sdtContent>
            </w:sdt>
            <w:sdt>
              <w:sdtPr>
                <w:alias w:val="35 p."/>
                <w:tag w:val="part_e77dc7acbe8b4166b2abcfc4e6ddca53"/>
                <w:lock w:val="sdtLocked"/>
                <w:richText/>
              </w:sdtPr>
              <w:sdtContent>
                <w:p>
                  <w:pPr>
                    <w:widowControl w:val="0"/>
                    <w:suppressAutoHyphens/>
                    <w:ind w:firstLine="720"/>
                    <w:jc w:val="both"/>
                    <w:rPr>
                      <w:szCs w:val="24"/>
                    </w:rPr>
                  </w:pPr>
                  <w:sdt>
                    <w:sdtPr>
                      <w:alias w:val="Numeris"/>
                      <w:tag w:val="nr_e77dc7acbe8b4166b2abcfc4e6ddca53"/>
                      <w:lock w:val="sdtLocked"/>
                      <w:richText/>
                    </w:sdtPr>
                    <w:sdtContent>
                      <w:r>
                        <w:rPr>
                          <w:szCs w:val="24"/>
                        </w:rPr>
                        <w:t>35</w:t>
                      </w:r>
                    </w:sdtContent>
                  </w:sdt>
                  <w:r>
                    <w:rPr>
                      <w:szCs w:val="24"/>
                    </w:rPr>
                    <w:t>. Asmens higienos patalpų valymo inventorius turi būti paženklintas, švarus ir sausas, laikomas atskirai nuo kitų patalpų valymo inventoriaus.</w:t>
                  </w:r>
                </w:p>
              </w:sdtContent>
            </w:sdt>
            <w:sdt>
              <w:sdtPr>
                <w:alias w:val="36 p."/>
                <w:tag w:val="part_bc59cbe98c5140a987357e7892f5c4e1"/>
                <w:lock w:val="sdtLocked"/>
                <w:richText/>
              </w:sdtPr>
              <w:sdtContent>
                <w:p>
                  <w:pPr>
                    <w:widowControl w:val="0"/>
                    <w:suppressAutoHyphens/>
                    <w:ind w:firstLine="720"/>
                    <w:jc w:val="both"/>
                    <w:rPr>
                      <w:szCs w:val="24"/>
                    </w:rPr>
                  </w:pPr>
                  <w:sdt>
                    <w:sdtPr>
                      <w:alias w:val="Numeris"/>
                      <w:tag w:val="nr_bc59cbe98c5140a987357e7892f5c4e1"/>
                      <w:lock w:val="sdtLocked"/>
                      <w:richText/>
                    </w:sdtPr>
                    <w:sdtContent>
                      <w:r>
                        <w:rPr>
                          <w:szCs w:val="24"/>
                        </w:rPr>
                        <w:t>36</w:t>
                      </w:r>
                    </w:sdtContent>
                  </w:sdt>
                  <w:r>
                    <w:rPr>
                      <w:szCs w:val="24"/>
                    </w:rPr>
                    <w:t xml:space="preserve">. Valymo, skalbimo ir dezinfekcijos priemonės turi būti naudojamos pagal paskirtį ir </w:t>
                  </w:r>
                  <w:r>
                    <w:rPr>
                      <w:color w:val="000000"/>
                      <w:szCs w:val="24"/>
                    </w:rPr>
                    <w:t xml:space="preserve">gamintojų nurodytas naudojimo instrukcijas. </w:t>
                  </w:r>
                  <w:r>
                    <w:rPr>
                      <w:color w:val="000000"/>
                      <w:spacing w:val="-2"/>
                      <w:szCs w:val="24"/>
                    </w:rPr>
                    <w:t>T</w:t>
                  </w:r>
                  <w:r>
                    <w:rPr>
                      <w:color w:val="000000"/>
                      <w:szCs w:val="24"/>
                    </w:rPr>
                    <w:t xml:space="preserve">ualeto, dušo patalpų ir įrangos paviršių dezinfekcijai naudojami </w:t>
                  </w:r>
                  <w:r>
                    <w:rPr>
                      <w:szCs w:val="24"/>
                    </w:rPr>
                    <w:t>2012 m. gegužės 22 d. Europos Parlamento ir Tarybos reglamento (ES) Nr. 528/2012 dėl biocidinių produktų tiekimo rinkai ir jų naudojimo (OL 2012 L 167, p. 1)</w:t>
                  </w:r>
                  <w:r>
                    <w:rPr>
                      <w:color w:val="000000"/>
                      <w:szCs w:val="24"/>
                    </w:rPr>
                    <w:t xml:space="preserve"> nustatyta tvarka autorizuoti biocidiniai produktai</w:t>
                  </w:r>
                  <w:r>
                    <w:rPr>
                      <w:color w:val="000000"/>
                      <w:spacing w:val="-2"/>
                      <w:szCs w:val="24"/>
                    </w:rPr>
                    <w:t xml:space="preserve">. </w:t>
                  </w:r>
                  <w:r>
                    <w:rPr>
                      <w:color w:val="000000"/>
                      <w:szCs w:val="24"/>
                    </w:rPr>
                    <w:t xml:space="preserve">Dušo patalpų grindys, dušo patalpose esantys kilimėliai (jeigu yra) valomi ir dezinfekuojami fungicidiniu (grybelio sukėlėjus naikinančiu) poveikiu pasižyminčiomis </w:t>
                  </w:r>
                  <w:r>
                    <w:rPr>
                      <w:szCs w:val="24"/>
                    </w:rPr>
                    <w:t>priemonėmis.</w:t>
                  </w:r>
                </w:p>
              </w:sdtContent>
            </w:sdt>
            <w:sdt>
              <w:sdtPr>
                <w:alias w:val="37 p."/>
                <w:tag w:val="part_0cbde308550042e896cd74b84ac4edc9"/>
                <w:lock w:val="sdtLocked"/>
                <w:richText/>
              </w:sdtPr>
              <w:sdtContent>
                <w:p>
                  <w:pPr>
                    <w:widowControl w:val="0"/>
                    <w:suppressAutoHyphens/>
                    <w:ind w:firstLine="720"/>
                    <w:jc w:val="both"/>
                    <w:rPr>
                      <w:szCs w:val="24"/>
                    </w:rPr>
                  </w:pPr>
                  <w:sdt>
                    <w:sdtPr>
                      <w:alias w:val="Numeris"/>
                      <w:tag w:val="nr_0cbde308550042e896cd74b84ac4edc9"/>
                      <w:lock w:val="sdtLocked"/>
                      <w:richText/>
                    </w:sdtPr>
                    <w:sdtContent>
                      <w:r>
                        <w:rPr>
                          <w:szCs w:val="24"/>
                        </w:rPr>
                        <w:t>37</w:t>
                      </w:r>
                    </w:sdtContent>
                  </w:sdt>
                  <w:r>
                    <w:rPr>
                      <w:szCs w:val="24"/>
                    </w:rPr>
                    <w:t>. Paslaugų gavėjams duodami tik išskalbti, švarūs ir išlyginti lovos skalbiniai, rankšluosčiai, drabužiai. Lovos skalbiniai, rankšluosčiai, drabužiai turi būti keičiami juos sutepus, bet ne rečiau kaip vieną kartą per 7 dienas, o apatiniai drabužiai – vieną kartą per dieną. Minkštas inventorius turi būti išvalomas ar išskalbiamas jį sutepus ir prieš perduodant kitam paslaugų gavėjui. Draudžiama paslaugų gavėjams duoti suplyšusį minkštą inventorių, lovos skalbinius, rankšluosčius, drabužius.</w:t>
                  </w:r>
                </w:p>
              </w:sdtContent>
            </w:sdt>
            <w:sdt>
              <w:sdtPr>
                <w:alias w:val="38 p."/>
                <w:tag w:val="part_e4ac5aa46b844adf962172f62dd0e6ac"/>
                <w:lock w:val="sdtLocked"/>
                <w:richText/>
              </w:sdtPr>
              <w:sdtContent>
                <w:p>
                  <w:pPr>
                    <w:widowControl w:val="0"/>
                    <w:suppressAutoHyphens/>
                    <w:ind w:firstLine="720"/>
                    <w:jc w:val="both"/>
                    <w:rPr>
                      <w:szCs w:val="24"/>
                    </w:rPr>
                  </w:pPr>
                  <w:sdt>
                    <w:sdtPr>
                      <w:alias w:val="Numeris"/>
                      <w:tag w:val="nr_e4ac5aa46b844adf962172f62dd0e6ac"/>
                      <w:lock w:val="sdtLocked"/>
                      <w:richText/>
                    </w:sdtPr>
                    <w:sdtContent>
                      <w:r>
                        <w:rPr>
                          <w:szCs w:val="24"/>
                        </w:rPr>
                        <w:t>38</w:t>
                      </w:r>
                    </w:sdtContent>
                  </w:sdt>
                  <w:r>
                    <w:rPr>
                      <w:szCs w:val="24"/>
                    </w:rPr>
                    <w:t>. Švariems ir nešvariems skalbiniams, inventoriui, valymo ir kitiems reikmenims laikyti turi būti specialiai įrengtos ar funkcionaliai suskirstytos patalpos ar specialūs įrenginiai (spintos).</w:t>
                  </w:r>
                </w:p>
              </w:sdtContent>
            </w:sdt>
            <w:sdt>
              <w:sdtPr>
                <w:alias w:val="39 p."/>
                <w:tag w:val="part_20c44ddaaa9b406b9c6391505af10142"/>
                <w:lock w:val="sdtLocked"/>
                <w:richText/>
              </w:sdtPr>
              <w:sdtContent>
                <w:p>
                  <w:pPr>
                    <w:widowControl w:val="0"/>
                    <w:suppressAutoHyphens/>
                    <w:ind w:firstLine="720"/>
                    <w:jc w:val="both"/>
                    <w:rPr>
                      <w:szCs w:val="24"/>
                    </w:rPr>
                  </w:pPr>
                  <w:sdt>
                    <w:sdtPr>
                      <w:alias w:val="Numeris"/>
                      <w:tag w:val="nr_20c44ddaaa9b406b9c6391505af10142"/>
                      <w:lock w:val="sdtLocked"/>
                      <w:richText/>
                    </w:sdtPr>
                    <w:sdtContent>
                      <w:r>
                        <w:rPr>
                          <w:szCs w:val="24"/>
                        </w:rPr>
                        <w:t>39</w:t>
                      </w:r>
                    </w:sdtContent>
                  </w:sdt>
                  <w:r>
                    <w:rPr>
                      <w:szCs w:val="24"/>
                    </w:rPr>
                    <w:t>. Švariems ir nešvariems skalbiniams transportuoti turi būti naudojami atskiri skirtingai pažymėti vežimėliai ar kitos talpos.</w:t>
                  </w:r>
                </w:p>
              </w:sdtContent>
            </w:sdt>
            <w:sdt>
              <w:sdtPr>
                <w:alias w:val="40 p."/>
                <w:tag w:val="part_11632f23872848b0899e56b9911a7fe4"/>
                <w:lock w:val="sdtLocked"/>
                <w:richText/>
              </w:sdtPr>
              <w:sdtContent>
                <w:p>
                  <w:pPr>
                    <w:widowControl w:val="0"/>
                    <w:suppressAutoHyphens/>
                    <w:ind w:firstLine="720"/>
                    <w:jc w:val="both"/>
                    <w:rPr>
                      <w:spacing w:val="-6"/>
                      <w:szCs w:val="24"/>
                    </w:rPr>
                  </w:pPr>
                  <w:sdt>
                    <w:sdtPr>
                      <w:alias w:val="Numeris"/>
                      <w:tag w:val="nr_11632f23872848b0899e56b9911a7fe4"/>
                      <w:lock w:val="sdtLocked"/>
                      <w:richText/>
                    </w:sdtPr>
                    <w:sdtContent>
                      <w:r>
                        <w:rPr>
                          <w:spacing w:val="-6"/>
                          <w:szCs w:val="24"/>
                        </w:rPr>
                        <w:t>40</w:t>
                      </w:r>
                    </w:sdtContent>
                  </w:sdt>
                  <w:r>
                    <w:rPr>
                      <w:spacing w:val="-6"/>
                      <w:szCs w:val="24"/>
                    </w:rPr>
                    <w:t xml:space="preserve">. Užkrečiamųjų ligų židinių privalomasis aplinkos kenksmingumo pašalinimas atliekamas </w:t>
                  </w:r>
                  <w:r>
                    <w:rPr>
                      <w:szCs w:val="24"/>
                    </w:rPr>
                    <w:t xml:space="preserve">Užkrečiamųjų ligų židinių privalomojo aplinkos kenksmingumo pašalinimo tvarkos aprašo, patvirtinto Lietuvos Respublikos sveikatos apsaugos ministro 2005 m. gruodžio 5 d. įsakymu </w:t>
                    <w:br/>
                    <w:t xml:space="preserve">Nr. V-946 „Dėl Užkrečiamųjų ligų židinių privalomojo aplinkos kenksmingumo pašalinimo tvarkos aprašo patvirtinimo“, </w:t>
                  </w:r>
                  <w:r>
                    <w:rPr>
                      <w:spacing w:val="-6"/>
                      <w:szCs w:val="24"/>
                    </w:rPr>
                    <w:t>nustatyta tvarka.</w:t>
                  </w:r>
                </w:p>
              </w:sdtContent>
            </w:sdt>
            <w:sdt>
              <w:sdtPr>
                <w:alias w:val="41 p."/>
                <w:tag w:val="part_f2269cad05994344b49d3e1fb6c13bb9"/>
                <w:lock w:val="sdtLocked"/>
                <w:richText/>
              </w:sdtPr>
              <w:sdtContent>
                <w:p>
                  <w:pPr>
                    <w:widowControl w:val="0"/>
                    <w:suppressAutoHyphens/>
                    <w:ind w:firstLine="720"/>
                    <w:jc w:val="both"/>
                    <w:rPr>
                      <w:szCs w:val="24"/>
                    </w:rPr>
                  </w:pPr>
                  <w:sdt>
                    <w:sdtPr>
                      <w:alias w:val="Numeris"/>
                      <w:tag w:val="nr_f2269cad05994344b49d3e1fb6c13bb9"/>
                      <w:lock w:val="sdtLocked"/>
                      <w:richText/>
                    </w:sdtPr>
                    <w:sdtContent>
                      <w:r>
                        <w:rPr>
                          <w:szCs w:val="24"/>
                        </w:rPr>
                        <w:t>41</w:t>
                      </w:r>
                    </w:sdtContent>
                  </w:sdt>
                  <w:r>
                    <w:rPr>
                      <w:szCs w:val="24"/>
                    </w:rPr>
                    <w:t xml:space="preserve">. Suaugusių asmenų socialinės globos įstaigos patalpose turi nebūti graužikų ir </w:t>
                  </w:r>
                  <w:r>
                    <w:rPr>
                      <w:color w:val="000000"/>
                      <w:szCs w:val="24"/>
                    </w:rPr>
                    <w:t xml:space="preserve">nariuotakojų, galinčių pernešti užkrečiamųjų ligų sukėlėjus. </w:t>
                  </w:r>
                  <w:r>
                    <w:rPr>
                      <w:szCs w:val="24"/>
                    </w:rPr>
                    <w:t xml:space="preserve">Suaugusių asmenų socialinės globos įstaigoje </w:t>
                  </w:r>
                  <w:r>
                    <w:rPr>
                      <w:color w:val="000000"/>
                      <w:szCs w:val="24"/>
                    </w:rPr>
                    <w:t xml:space="preserve">Privalomojo profilaktinio aplinkos kenksmingumo pašalinimo (dezinfekcijos, dezinsekcijos, deratizacijos) tvarkos aprašo, patvirtinto Lietuvos Respublikos sveikatos apsaugos ministro 2009 m. vasario 2 d. įsakymu Nr. V-55 „Dėl Privalomojo profilaktinio aplinkos kenksmingumo pašalinimo (dezinfekcijos, dezinsekcijos, deratizacijos) tvarkos aprašo patvirtinimo“, nustatyta tvarka </w:t>
                  </w:r>
                  <w:r>
                    <w:rPr>
                      <w:szCs w:val="24"/>
                    </w:rPr>
                    <w:t xml:space="preserve">atliekama nuolatinė nariuotakojų ir graužikų stebėsena bei, nustačius nariuotakojų ar (ir) graužikų buvimo pėdsakų, jų naikinimas. </w:t>
                  </w:r>
                </w:p>
              </w:sdtContent>
            </w:sdt>
            <w:sdt>
              <w:sdtPr>
                <w:alias w:val="42 p."/>
                <w:tag w:val="part_115fcfd955d64bb69693eda3a6a0f29e"/>
                <w:lock w:val="sdtLocked"/>
                <w:richText/>
              </w:sdtPr>
              <w:sdtContent>
                <w:p>
                  <w:pPr>
                    <w:widowControl w:val="0"/>
                    <w:suppressAutoHyphens/>
                    <w:ind w:firstLine="720"/>
                    <w:jc w:val="both"/>
                    <w:rPr>
                      <w:szCs w:val="24"/>
                    </w:rPr>
                  </w:pPr>
                  <w:sdt>
                    <w:sdtPr>
                      <w:alias w:val="Numeris"/>
                      <w:tag w:val="nr_115fcfd955d64bb69693eda3a6a0f29e"/>
                      <w:lock w:val="sdtLocked"/>
                      <w:richText/>
                    </w:sdtPr>
                    <w:sdtContent>
                      <w:r>
                        <w:rPr>
                          <w:szCs w:val="24"/>
                        </w:rPr>
                        <w:t>42</w:t>
                      </w:r>
                    </w:sdtContent>
                  </w:sdt>
                  <w:r>
                    <w:rPr>
                      <w:szCs w:val="24"/>
                    </w:rPr>
                    <w:t xml:space="preserve">. Draudžiama atlikti </w:t>
                  </w:r>
                  <w:r>
                    <w:rPr>
                      <w:color w:val="000000"/>
                      <w:szCs w:val="24"/>
                    </w:rPr>
                    <w:t xml:space="preserve">profilaktinį aplinkos kenksmingumo pašalinimą (dezinfekciją, dezinsekciją, deratizaciją) ar statybos darbus </w:t>
                  </w:r>
                  <w:r>
                    <w:rPr>
                      <w:szCs w:val="24"/>
                    </w:rPr>
                    <w:t xml:space="preserve">paslaugų gavėjams esant patalpose. </w:t>
                  </w:r>
                  <w:r>
                    <w:rPr>
                      <w:color w:val="000000"/>
                      <w:szCs w:val="24"/>
                    </w:rPr>
                    <w:t>Patalpos, kuriose atliekami statybos darbai, turi būti izoliuotos nuo kitų patalpų.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sdtContent>
            </w:sdt>
          </w:sdtContent>
        </w:sdt>
        <w:sdt>
          <w:sdtPr>
            <w:alias w:val="skyrius"/>
            <w:tag w:val="part_1aa028f430e84248b49af2e6a7ce7e8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1aa028f430e84248b49af2e6a7ce7e8a"/>
                  <w:lock w:val="sdtLocked"/>
                  <w:richText/>
                </w:sdtPr>
                <w:sdtContent>
                  <w:r>
                    <w:rPr>
                      <w:b/>
                      <w:szCs w:val="24"/>
                    </w:rPr>
                    <w:t>VIII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1aa028f430e84248b49af2e6a7ce7e8a"/>
                  <w:lock w:val="sdtLocked"/>
                  <w:richText/>
                </w:sdtPr>
                <w:sdtContent>
                  <w:r>
                    <w:rPr>
                      <w:b/>
                      <w:bCs/>
                      <w:caps/>
                      <w:szCs w:val="24"/>
                    </w:rPr>
                    <w:t>MAITINIMO IR PAGALBOS PASLAUGŲ GAVĖJAMS ORGANIZAVIMO REIKALAVIMAI</w:t>
                  </w:r>
                </w:sdtContent>
              </w:sdt>
            </w:p>
            <w:p>
              <w:pPr>
                <w:widowControl w:val="0"/>
                <w:suppressAutoHyphens/>
                <w:jc w:val="center"/>
                <w:rPr>
                  <w:color w:val="000000"/>
                  <w:szCs w:val="24"/>
                </w:rPr>
              </w:pPr>
            </w:p>
            <w:sdt>
              <w:sdtPr>
                <w:alias w:val="43 p."/>
                <w:tag w:val="part_5a16d5ab4a1b4589aa08929348da0384"/>
                <w:lock w:val="sdtLocked"/>
                <w:richText/>
              </w:sdtPr>
              <w:sdtContent>
                <w:p>
                  <w:pPr>
                    <w:widowControl w:val="0"/>
                    <w:suppressAutoHyphens/>
                    <w:ind w:firstLine="720"/>
                    <w:jc w:val="both"/>
                    <w:rPr>
                      <w:szCs w:val="24"/>
                    </w:rPr>
                  </w:pPr>
                  <w:sdt>
                    <w:sdtPr>
                      <w:alias w:val="Numeris"/>
                      <w:tag w:val="nr_5a16d5ab4a1b4589aa08929348da0384"/>
                      <w:lock w:val="sdtLocked"/>
                      <w:richText/>
                    </w:sdtPr>
                    <w:sdtContent>
                      <w:r>
                        <w:rPr>
                          <w:szCs w:val="24"/>
                        </w:rPr>
                        <w:t>43</w:t>
                      </w:r>
                    </w:sdtContent>
                  </w:sdt>
                  <w:r>
                    <w:rPr>
                      <w:szCs w:val="24"/>
                    </w:rPr>
                    <w:t>. Jeigu suaugusių asmenų socialinės globos įstaigos paslaugų gavėjams maistas tiekiamas (gaminamas) centralizuotai, paslaugų gavėjai turi būti maitinami 3–4 kartus per dieną kas 3–4,5 val. Paros maisto energijos norma paskirstoma taip, kad iš jos 30±3 proc. sudarytų pusryčiai, 40±3 proc. – pietūs, 10±3 proc. – pavakariai (priešpiečiai), 20±3 proc. – vakarienė. Valgiaraščiai turi būti sudaromi, atsižvelgiant į Rekomenduojamas paros maistinių medžiagų ir energijos normas, patvirtintas Lietuvos Respublikos sveikatos apsaugos ministro 1999 m. lapkričio 25 d. įsakymu Nr. 510 „Dėl Rekomenduojamų paros maistinių medžiagų ir energijos normų patvirtinimo“, ir Rekomenduojamas maisto produktų paros normas socialinę globą gaunantiems asmenims, patvirtintas Lietuvos Respublikos sveikatos apsaugos ministro 2007 m. gruodžio 29 d. įsakymu Nr. V-1090 „Dėl Rekomenduojamų maisto produktų paros normų socialinę globą gaunantiems asmenims patvirtinimo“. Šis reikalavimas netaikomas tais atvejais, kai suaugusių asmenų socialinės globos įstaigos paslaugų gavėjai maistą gaminasi patys.</w:t>
                  </w:r>
                </w:p>
              </w:sdtContent>
            </w:sdt>
            <w:sdt>
              <w:sdtPr>
                <w:alias w:val="44 p."/>
                <w:tag w:val="part_961d1c3c08414e4fa9b4da9719a2c665"/>
                <w:lock w:val="sdtLocked"/>
                <w:richText/>
              </w:sdtPr>
              <w:sdtContent>
                <w:p>
                  <w:pPr>
                    <w:widowControl w:val="0"/>
                    <w:suppressAutoHyphens/>
                    <w:ind w:firstLine="720"/>
                    <w:jc w:val="both"/>
                    <w:rPr>
                      <w:szCs w:val="24"/>
                    </w:rPr>
                  </w:pPr>
                  <w:sdt>
                    <w:sdtPr>
                      <w:alias w:val="Numeris"/>
                      <w:tag w:val="nr_961d1c3c08414e4fa9b4da9719a2c665"/>
                      <w:lock w:val="sdtLocked"/>
                      <w:richText/>
                    </w:sdtPr>
                    <w:sdtContent>
                      <w:r>
                        <w:rPr>
                          <w:szCs w:val="24"/>
                        </w:rPr>
                        <w:t>44</w:t>
                      </w:r>
                    </w:sdtContent>
                  </w:sdt>
                  <w:r>
                    <w:rPr>
                      <w:szCs w:val="24"/>
                    </w:rPr>
                    <w:t>. Suaugusių asmenų socialinės globos įstaigoje negalintys savimi pasirūpinti paslaugų gavėjai kiekvieną dieną turi būti apiprausiami ir pagal poreikį maudomi, bet ne rečiau kaip vieną kartą per 7 dienas.</w:t>
                  </w:r>
                </w:p>
              </w:sdtContent>
            </w:sdt>
            <w:sdt>
              <w:sdtPr>
                <w:alias w:val="45 p."/>
                <w:tag w:val="part_400e9164811d42fa956155cbe046b67f"/>
                <w:lock w:val="sdtLocked"/>
                <w:richText/>
              </w:sdtPr>
              <w:sdtContent>
                <w:p>
                  <w:pPr>
                    <w:widowControl w:val="0"/>
                    <w:suppressAutoHyphens/>
                    <w:ind w:firstLine="720"/>
                    <w:jc w:val="both"/>
                    <w:rPr>
                      <w:szCs w:val="24"/>
                    </w:rPr>
                  </w:pPr>
                  <w:sdt>
                    <w:sdtPr>
                      <w:alias w:val="Numeris"/>
                      <w:tag w:val="nr_400e9164811d42fa956155cbe046b67f"/>
                      <w:lock w:val="sdtLocked"/>
                      <w:richText/>
                    </w:sdtPr>
                    <w:sdtContent>
                      <w:r>
                        <w:rPr>
                          <w:szCs w:val="24"/>
                        </w:rPr>
                        <w:t>45</w:t>
                      </w:r>
                    </w:sdtContent>
                  </w:sdt>
                  <w:r>
                    <w:rPr>
                      <w:szCs w:val="24"/>
                    </w:rPr>
                    <w:t xml:space="preserve">. Kiekvienam paslaugų gavėjui naudojamos tik jam skirtos asmens higienos priemonės, įrankiai, instrumentai (žirklės, šukos, šepečiai ir kitos) arba asmens higienos priemonės, įrankiai, instrumentai prieš kiekvieną naudojimą turi būti išvalomi ir dezinfekuojami. </w:t>
                  </w:r>
                  <w:r>
                    <w:rPr>
                      <w:szCs w:val="24"/>
                      <w:lang w:eastAsia="lt-LT"/>
                    </w:rPr>
                    <w:t>Pakartotinai naudoti vienkartines asmens higienai skirtas priemones, įrankius, instrumentus arba neišvalytas ir nedezinfekuotas daugkartinio naudojimo asmens higienai skirtas priemones, įrankius, instrumentus yra draudžiama.</w:t>
                  </w:r>
                </w:p>
                <w:p>
                  <w:pPr>
                    <w:widowControl w:val="0"/>
                    <w:suppressAutoHyphens/>
                    <w:jc w:val="center"/>
                    <w:rPr>
                      <w:color w:val="000000"/>
                      <w:szCs w:val="24"/>
                    </w:rPr>
                  </w:pPr>
                </w:p>
              </w:sdtContent>
            </w:sdt>
          </w:sdtContent>
        </w:sdt>
        <w:sdt>
          <w:sdtPr>
            <w:alias w:val="pabaiga"/>
            <w:tag w:val="part_ee7cd8e0f47e48a6878fef643bc9a751"/>
            <w:lock w:val="sdtLocked"/>
            <w:richText/>
          </w:sdtPr>
          <w:sdtContent>
            <w:p>
              <w:pPr>
                <w:widowControl w:val="0"/>
                <w:suppressAutoHyphens/>
                <w:jc w:val="center"/>
                <w:rPr>
                  <w:color w:val="000000"/>
                  <w:szCs w:val="24"/>
                </w:rPr>
              </w:pPr>
              <w:r>
                <w:rPr>
                  <w:color w:val="000000"/>
                  <w:szCs w:val="24"/>
                </w:rPr>
                <w:t>_________________</w:t>
              </w:r>
            </w:p>
            <w:p>
              <w:pPr>
                <w:widowControl w:val="0"/>
                <w:suppressAutoHyphens/>
                <w:jc w:val="center"/>
                <w:rPr>
                  <w:color w:val="000000"/>
                  <w:szCs w:val="24"/>
                </w:rPr>
                <w:sectPr>
                  <w:pgSz w:w="11906" w:h="16838"/>
                  <w:pgMar w:top="1134" w:right="567" w:bottom="1134" w:left="1701" w:header="709" w:footer="709" w:gutter="0"/>
                  <w:pgNumType w:start="1"/>
                  <w:cols w:space="708"/>
                  <w:titlePg/>
                  <w:docGrid w:linePitch="360"/>
                </w:sectPr>
              </w:pPr>
            </w:p>
            <w:p>
              <w:pPr>
                <w:tabs>
                  <w:tab w:val="center" w:pos="4819"/>
                  <w:tab w:val="right" w:pos="9638"/>
                </w:tabs>
                <w:rPr>
                  <w:szCs w:val="24"/>
                  <w:lang w:val="en-GB"/>
                </w:rPr>
              </w:pPr>
            </w:p>
          </w:sdtContent>
        </w:sdt>
      </w:sdtContent>
    </w:sdt>
    <w:sdt>
      <w:sdtPr>
        <w:alias w:val="pr."/>
        <w:tag w:val="part_073652777f9541fd86026edf20622d5e"/>
        <w:lock w:val="sdtLocked"/>
        <w:richText/>
      </w:sdtPr>
      <w:sdtContent>
        <w:p>
          <w:pPr>
            <w:snapToGrid w:val="0"/>
            <w:ind w:left="9000"/>
            <w:rPr>
              <w:szCs w:val="24"/>
            </w:rPr>
          </w:pPr>
          <w:r>
            <w:rPr>
              <w:szCs w:val="24"/>
            </w:rPr>
            <w:t>Lietuvos higienos normos HN 125:2019 „Suaugusių asmenų socialinės globos įstaigos: bendrieji sveikatos saugos reikalavimai“</w:t>
          </w:r>
        </w:p>
        <w:p>
          <w:pPr>
            <w:ind w:left="9000"/>
            <w:rPr>
              <w:szCs w:val="24"/>
            </w:rPr>
          </w:pPr>
          <w:r>
            <w:rPr>
              <w:szCs w:val="24"/>
            </w:rPr>
            <w:t>priedas</w:t>
          </w:r>
        </w:p>
        <w:p>
          <w:pPr>
            <w:widowControl w:val="0"/>
            <w:suppressAutoHyphens/>
            <w:rPr>
              <w:color w:val="000000"/>
              <w:szCs w:val="24"/>
            </w:rPr>
          </w:pPr>
        </w:p>
        <w:p>
          <w:pPr>
            <w:widowControl w:val="0"/>
            <w:suppressAutoHyphens/>
            <w:jc w:val="center"/>
            <w:rPr>
              <w:color w:val="000000"/>
              <w:szCs w:val="24"/>
            </w:rPr>
          </w:pPr>
        </w:p>
        <w:p>
          <w:pPr>
            <w:widowControl w:val="0"/>
            <w:suppressAutoHyphens/>
            <w:jc w:val="center"/>
            <w:rPr>
              <w:color w:val="000000"/>
              <w:szCs w:val="24"/>
            </w:rPr>
          </w:pPr>
          <w:r>
            <w:rPr>
              <w:kern w:val="28"/>
              <w:szCs w:val="24"/>
            </w:rPr>
            <w:t>(Profilaktinių (techninių) priemonių (darbų) registracijos žurnalo forma)</w:t>
          </w:r>
        </w:p>
        <w:p>
          <w:pPr>
            <w:widowControl w:val="0"/>
            <w:suppressAutoHyphens/>
            <w:jc w:val="center"/>
            <w:rPr>
              <w:color w:val="000000"/>
              <w:szCs w:val="24"/>
            </w:rPr>
          </w:pPr>
        </w:p>
        <w:sdt>
          <w:sdtPr>
            <w:alias w:val="skirsnis"/>
            <w:tag w:val="part_c999ae9566304b2f9b3e98cc07df6740"/>
            <w:lock w:val="sdtLocked"/>
            <w:richText/>
          </w:sdtPr>
          <w:sdtContent>
            <w:p>
              <w:pPr>
                <w:widowControl w:val="0"/>
                <w:suppressAutoHyphens/>
                <w:jc w:val="center"/>
                <w:rPr>
                  <w:color w:val="000000"/>
                  <w:szCs w:val="24"/>
                </w:rPr>
              </w:pPr>
              <w:sdt>
                <w:sdtPr>
                  <w:alias w:val="Pavadinimas"/>
                  <w:tag w:val="title_c999ae9566304b2f9b3e98cc07df6740"/>
                  <w:lock w:val="sdtLocked"/>
                  <w:richText/>
                </w:sdtPr>
                <w:sdtContent>
                  <w:r>
                    <w:rPr>
                      <w:b/>
                      <w:szCs w:val="24"/>
                    </w:rPr>
                    <w:t>PROFILAKTINIŲ (TECHNINIŲ) PRIEMONIŲ (DARBŲ) REGISTRACIJOS ŽURNALAS</w:t>
                  </w:r>
                </w:sdtContent>
              </w:sdt>
            </w:p>
            <w:p>
              <w:pPr>
                <w:widowControl w:val="0"/>
                <w:suppressAutoHyphens/>
                <w:jc w:val="center"/>
                <w:rPr>
                  <w:color w:val="000000"/>
                  <w:szCs w:val="24"/>
                </w:rPr>
              </w:pPr>
            </w:p>
            <w:p>
              <w:pPr>
                <w:tabs>
                  <w:tab w:val="right" w:leader="underscore" w:pos="14572"/>
                </w:tabs>
                <w:rPr>
                  <w:szCs w:val="24"/>
                </w:rPr>
              </w:pPr>
              <w:r>
                <w:rPr>
                  <w:szCs w:val="24"/>
                </w:rPr>
                <w:tab/>
              </w:r>
            </w:p>
            <w:p>
              <w:pPr>
                <w:jc w:val="center"/>
                <w:rPr>
                  <w:szCs w:val="24"/>
                </w:rPr>
              </w:pPr>
              <w:r>
                <w:rPr>
                  <w:szCs w:val="24"/>
                </w:rPr>
                <w:t>(juridinio asmens / filialo pavadinimas, kodas, veiklos vykdymo adresas)</w:t>
              </w:r>
            </w:p>
            <w:p>
              <w:pPr>
                <w:rPr>
                  <w:szCs w:val="24"/>
                </w:rPr>
              </w:pPr>
            </w:p>
            <w:tbl>
              <w:tblPr>
                <w:tblW w:w="14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3"/>
                <w:gridCol w:w="2280"/>
                <w:gridCol w:w="1893"/>
                <w:gridCol w:w="1517"/>
                <w:gridCol w:w="5417"/>
                <w:gridCol w:w="3098"/>
              </w:tblGrid>
              <w:tr>
                <w:trPr>
                  <w:trHeight w:val="117"/>
                </w:trPr>
                <w:tc>
                  <w:tcPr>
                    <w:tcW w:w="673" w:type="dxa"/>
                  </w:tcPr>
                  <w:p>
                    <w:pPr>
                      <w:rPr>
                        <w:szCs w:val="24"/>
                      </w:rPr>
                    </w:pPr>
                    <w:r>
                      <w:rPr>
                        <w:szCs w:val="24"/>
                      </w:rPr>
                      <w:t>Eil. Nr.</w:t>
                    </w:r>
                  </w:p>
                </w:tc>
                <w:tc>
                  <w:tcPr>
                    <w:tcW w:w="2280" w:type="dxa"/>
                  </w:tcPr>
                  <w:p>
                    <w:pPr>
                      <w:rPr>
                        <w:szCs w:val="24"/>
                      </w:rPr>
                    </w:pPr>
                    <w:r>
                      <w:rPr>
                        <w:szCs w:val="24"/>
                      </w:rPr>
                      <w:t>Profilaktinės (techninės) priemonės (darbo) pavadinimas (vandens tiekimo sistemos remontas, rekonstrukcija, valymas, terminis ar cheminis nukenksminimas)</w:t>
                    </w:r>
                  </w:p>
                </w:tc>
                <w:tc>
                  <w:tcPr>
                    <w:tcW w:w="1893" w:type="dxa"/>
                  </w:tcPr>
                  <w:p>
                    <w:pPr>
                      <w:rPr>
                        <w:szCs w:val="24"/>
                      </w:rPr>
                    </w:pPr>
                    <w:r>
                      <w:rPr>
                        <w:szCs w:val="24"/>
                      </w:rPr>
                      <w:t xml:space="preserve">Vandens tiekimo sistemos vieta (dalis), kurioje buvo atliktos profilaktinės (techninės) priemonės (darbai), jų atlikimo data </w:t>
                    </w:r>
                  </w:p>
                </w:tc>
                <w:tc>
                  <w:tcPr>
                    <w:tcW w:w="1517" w:type="dxa"/>
                  </w:tcPr>
                  <w:p>
                    <w:pPr>
                      <w:rPr>
                        <w:szCs w:val="24"/>
                      </w:rPr>
                    </w:pPr>
                    <w:r>
                      <w:rPr>
                        <w:szCs w:val="24"/>
                      </w:rPr>
                      <w:t>Profilaktinės (techninės) priemonės (darbo) trukmė</w:t>
                    </w:r>
                  </w:p>
                </w:tc>
                <w:tc>
                  <w:tcPr>
                    <w:tcW w:w="5417" w:type="dxa"/>
                  </w:tcPr>
                  <w:p>
                    <w:pPr>
                      <w:rPr>
                        <w:szCs w:val="24"/>
                      </w:rPr>
                    </w:pPr>
                    <w:r>
                      <w:rPr>
                        <w:szCs w:val="24"/>
                      </w:rPr>
                      <w:t>Profilaktinės (techninės) priemonės (darbo) aprašymas (kas buvo daryta, nurodoma vandens temperatūra, jeigu buvo matuota, taškai (vietos), kuriuose (-iose) buvo matuota temperatūra, nukenksminimui naudojamos medžiagos pavadinimas, koncentracija ir kt.)</w:t>
                    </w:r>
                  </w:p>
                </w:tc>
                <w:tc>
                  <w:tcPr>
                    <w:tcW w:w="3098" w:type="dxa"/>
                  </w:tcPr>
                  <w:p>
                    <w:pPr>
                      <w:rPr>
                        <w:szCs w:val="24"/>
                      </w:rPr>
                    </w:pPr>
                    <w:r>
                      <w:rPr>
                        <w:szCs w:val="24"/>
                      </w:rPr>
                      <w:t>Profilaktinę (techninę) priemonę (darbą) atlikusio fizinio asmens vardas, pavardė, pareigos, parašas; juridinio asmens pavadinimas, kodas, sutarties data ir Nr., jeigu priemonės (darbai) buvo vykdyti pagal sutartį</w:t>
                    </w:r>
                  </w:p>
                </w:tc>
              </w:tr>
              <w:tr>
                <w:trPr>
                  <w:trHeight w:val="279"/>
                </w:trPr>
                <w:tc>
                  <w:tcPr>
                    <w:tcW w:w="673" w:type="dxa"/>
                  </w:tcPr>
                  <w:p>
                    <w:pPr>
                      <w:jc w:val="center"/>
                      <w:rPr>
                        <w:szCs w:val="24"/>
                      </w:rPr>
                    </w:pPr>
                    <w:r>
                      <w:rPr>
                        <w:szCs w:val="24"/>
                      </w:rPr>
                      <w:t>1</w:t>
                    </w:r>
                  </w:p>
                </w:tc>
                <w:tc>
                  <w:tcPr>
                    <w:tcW w:w="2280" w:type="dxa"/>
                  </w:tcPr>
                  <w:p>
                    <w:pPr>
                      <w:jc w:val="center"/>
                      <w:rPr>
                        <w:szCs w:val="24"/>
                      </w:rPr>
                    </w:pPr>
                    <w:r>
                      <w:rPr>
                        <w:szCs w:val="24"/>
                      </w:rPr>
                      <w:t>2</w:t>
                    </w:r>
                  </w:p>
                </w:tc>
                <w:tc>
                  <w:tcPr>
                    <w:tcW w:w="1893" w:type="dxa"/>
                  </w:tcPr>
                  <w:p>
                    <w:pPr>
                      <w:jc w:val="center"/>
                      <w:rPr>
                        <w:szCs w:val="24"/>
                      </w:rPr>
                    </w:pPr>
                    <w:r>
                      <w:rPr>
                        <w:szCs w:val="24"/>
                      </w:rPr>
                      <w:t>3</w:t>
                    </w:r>
                  </w:p>
                </w:tc>
                <w:tc>
                  <w:tcPr>
                    <w:tcW w:w="1517" w:type="dxa"/>
                  </w:tcPr>
                  <w:p>
                    <w:pPr>
                      <w:jc w:val="center"/>
                      <w:rPr>
                        <w:szCs w:val="24"/>
                      </w:rPr>
                    </w:pPr>
                    <w:r>
                      <w:rPr>
                        <w:szCs w:val="24"/>
                      </w:rPr>
                      <w:t>4</w:t>
                    </w:r>
                  </w:p>
                </w:tc>
                <w:tc>
                  <w:tcPr>
                    <w:tcW w:w="5417" w:type="dxa"/>
                  </w:tcPr>
                  <w:p>
                    <w:pPr>
                      <w:jc w:val="center"/>
                      <w:rPr>
                        <w:szCs w:val="24"/>
                      </w:rPr>
                    </w:pPr>
                    <w:r>
                      <w:rPr>
                        <w:szCs w:val="24"/>
                      </w:rPr>
                      <w:t>5</w:t>
                    </w:r>
                  </w:p>
                </w:tc>
                <w:tc>
                  <w:tcPr>
                    <w:tcW w:w="3098" w:type="dxa"/>
                  </w:tcPr>
                  <w:p>
                    <w:pPr>
                      <w:jc w:val="center"/>
                      <w:rPr>
                        <w:szCs w:val="24"/>
                      </w:rPr>
                    </w:pPr>
                    <w:r>
                      <w:rPr>
                        <w:szCs w:val="24"/>
                      </w:rPr>
                      <w:t>6</w:t>
                    </w:r>
                  </w:p>
                </w:tc>
              </w:tr>
              <w:tr>
                <w:trPr>
                  <w:trHeight w:val="265"/>
                </w:trPr>
                <w:tc>
                  <w:tcPr>
                    <w:tcW w:w="673" w:type="dxa"/>
                  </w:tcPr>
                  <w:p>
                    <w:pPr>
                      <w:jc w:val="center"/>
                      <w:rPr>
                        <w:szCs w:val="24"/>
                      </w:rPr>
                    </w:pPr>
                  </w:p>
                </w:tc>
                <w:tc>
                  <w:tcPr>
                    <w:tcW w:w="2280" w:type="dxa"/>
                  </w:tcPr>
                  <w:p>
                    <w:pPr>
                      <w:jc w:val="center"/>
                      <w:rPr>
                        <w:szCs w:val="24"/>
                      </w:rPr>
                    </w:pPr>
                  </w:p>
                </w:tc>
                <w:tc>
                  <w:tcPr>
                    <w:tcW w:w="1893" w:type="dxa"/>
                  </w:tcPr>
                  <w:p>
                    <w:pPr>
                      <w:jc w:val="center"/>
                      <w:rPr>
                        <w:szCs w:val="24"/>
                      </w:rPr>
                    </w:pPr>
                  </w:p>
                </w:tc>
                <w:tc>
                  <w:tcPr>
                    <w:tcW w:w="1517" w:type="dxa"/>
                  </w:tcPr>
                  <w:p>
                    <w:pPr>
                      <w:jc w:val="center"/>
                      <w:rPr>
                        <w:szCs w:val="24"/>
                      </w:rPr>
                    </w:pPr>
                  </w:p>
                </w:tc>
                <w:tc>
                  <w:tcPr>
                    <w:tcW w:w="5417" w:type="dxa"/>
                  </w:tcPr>
                  <w:p>
                    <w:pPr>
                      <w:jc w:val="center"/>
                      <w:rPr>
                        <w:szCs w:val="24"/>
                      </w:rPr>
                    </w:pPr>
                  </w:p>
                </w:tc>
                <w:tc>
                  <w:tcPr>
                    <w:tcW w:w="3098" w:type="dxa"/>
                  </w:tcPr>
                  <w:p>
                    <w:pPr>
                      <w:jc w:val="center"/>
                      <w:rPr>
                        <w:szCs w:val="24"/>
                      </w:rPr>
                    </w:pPr>
                  </w:p>
                </w:tc>
              </w:tr>
              <w:tr>
                <w:trPr>
                  <w:trHeight w:val="265"/>
                </w:trPr>
                <w:tc>
                  <w:tcPr>
                    <w:tcW w:w="673" w:type="dxa"/>
                  </w:tcPr>
                  <w:p>
                    <w:pPr>
                      <w:jc w:val="center"/>
                      <w:rPr>
                        <w:szCs w:val="24"/>
                      </w:rPr>
                    </w:pPr>
                  </w:p>
                </w:tc>
                <w:tc>
                  <w:tcPr>
                    <w:tcW w:w="2280" w:type="dxa"/>
                  </w:tcPr>
                  <w:p>
                    <w:pPr>
                      <w:jc w:val="center"/>
                      <w:rPr>
                        <w:szCs w:val="24"/>
                      </w:rPr>
                    </w:pPr>
                  </w:p>
                </w:tc>
                <w:tc>
                  <w:tcPr>
                    <w:tcW w:w="1893" w:type="dxa"/>
                  </w:tcPr>
                  <w:p>
                    <w:pPr>
                      <w:jc w:val="center"/>
                      <w:rPr>
                        <w:szCs w:val="24"/>
                      </w:rPr>
                    </w:pPr>
                  </w:p>
                </w:tc>
                <w:tc>
                  <w:tcPr>
                    <w:tcW w:w="1517" w:type="dxa"/>
                  </w:tcPr>
                  <w:p>
                    <w:pPr>
                      <w:jc w:val="center"/>
                      <w:rPr>
                        <w:szCs w:val="24"/>
                      </w:rPr>
                    </w:pPr>
                  </w:p>
                </w:tc>
                <w:tc>
                  <w:tcPr>
                    <w:tcW w:w="5417" w:type="dxa"/>
                  </w:tcPr>
                  <w:p>
                    <w:pPr>
                      <w:jc w:val="center"/>
                      <w:rPr>
                        <w:szCs w:val="24"/>
                      </w:rPr>
                    </w:pPr>
                  </w:p>
                </w:tc>
                <w:tc>
                  <w:tcPr>
                    <w:tcW w:w="3098" w:type="dxa"/>
                  </w:tcPr>
                  <w:p>
                    <w:pPr>
                      <w:jc w:val="center"/>
                      <w:rPr>
                        <w:szCs w:val="24"/>
                      </w:rPr>
                    </w:pPr>
                  </w:p>
                </w:tc>
              </w:tr>
              <w:tr>
                <w:trPr>
                  <w:trHeight w:val="265"/>
                </w:trPr>
                <w:tc>
                  <w:tcPr>
                    <w:tcW w:w="673" w:type="dxa"/>
                  </w:tcPr>
                  <w:p>
                    <w:pPr>
                      <w:jc w:val="center"/>
                      <w:rPr>
                        <w:szCs w:val="24"/>
                      </w:rPr>
                    </w:pPr>
                  </w:p>
                </w:tc>
                <w:tc>
                  <w:tcPr>
                    <w:tcW w:w="2280" w:type="dxa"/>
                  </w:tcPr>
                  <w:p>
                    <w:pPr>
                      <w:jc w:val="center"/>
                      <w:rPr>
                        <w:szCs w:val="24"/>
                      </w:rPr>
                    </w:pPr>
                  </w:p>
                </w:tc>
                <w:tc>
                  <w:tcPr>
                    <w:tcW w:w="1893" w:type="dxa"/>
                  </w:tcPr>
                  <w:p>
                    <w:pPr>
                      <w:jc w:val="center"/>
                      <w:rPr>
                        <w:szCs w:val="24"/>
                      </w:rPr>
                    </w:pPr>
                  </w:p>
                </w:tc>
                <w:tc>
                  <w:tcPr>
                    <w:tcW w:w="1517" w:type="dxa"/>
                  </w:tcPr>
                  <w:p>
                    <w:pPr>
                      <w:jc w:val="center"/>
                      <w:rPr>
                        <w:szCs w:val="24"/>
                      </w:rPr>
                    </w:pPr>
                  </w:p>
                </w:tc>
                <w:tc>
                  <w:tcPr>
                    <w:tcW w:w="5417" w:type="dxa"/>
                  </w:tcPr>
                  <w:p>
                    <w:pPr>
                      <w:jc w:val="center"/>
                      <w:rPr>
                        <w:szCs w:val="24"/>
                      </w:rPr>
                    </w:pPr>
                  </w:p>
                </w:tc>
                <w:tc>
                  <w:tcPr>
                    <w:tcW w:w="3098" w:type="dxa"/>
                  </w:tcPr>
                  <w:p>
                    <w:pPr>
                      <w:jc w:val="center"/>
                      <w:rPr>
                        <w:szCs w:val="24"/>
                      </w:rPr>
                    </w:pPr>
                  </w:p>
                </w:tc>
              </w:tr>
              <w:tr>
                <w:trPr>
                  <w:trHeight w:val="265"/>
                </w:trPr>
                <w:tc>
                  <w:tcPr>
                    <w:tcW w:w="673" w:type="dxa"/>
                  </w:tcPr>
                  <w:p>
                    <w:pPr>
                      <w:jc w:val="center"/>
                      <w:rPr>
                        <w:szCs w:val="24"/>
                      </w:rPr>
                    </w:pPr>
                  </w:p>
                </w:tc>
                <w:tc>
                  <w:tcPr>
                    <w:tcW w:w="2280" w:type="dxa"/>
                  </w:tcPr>
                  <w:p>
                    <w:pPr>
                      <w:jc w:val="center"/>
                      <w:rPr>
                        <w:szCs w:val="24"/>
                      </w:rPr>
                    </w:pPr>
                  </w:p>
                </w:tc>
                <w:tc>
                  <w:tcPr>
                    <w:tcW w:w="1893" w:type="dxa"/>
                  </w:tcPr>
                  <w:p>
                    <w:pPr>
                      <w:jc w:val="center"/>
                      <w:rPr>
                        <w:szCs w:val="24"/>
                      </w:rPr>
                    </w:pPr>
                  </w:p>
                </w:tc>
                <w:tc>
                  <w:tcPr>
                    <w:tcW w:w="1517" w:type="dxa"/>
                  </w:tcPr>
                  <w:p>
                    <w:pPr>
                      <w:jc w:val="center"/>
                      <w:rPr>
                        <w:szCs w:val="24"/>
                      </w:rPr>
                    </w:pPr>
                  </w:p>
                </w:tc>
                <w:tc>
                  <w:tcPr>
                    <w:tcW w:w="5417" w:type="dxa"/>
                  </w:tcPr>
                  <w:p>
                    <w:pPr>
                      <w:jc w:val="center"/>
                      <w:rPr>
                        <w:szCs w:val="24"/>
                      </w:rPr>
                    </w:pPr>
                  </w:p>
                </w:tc>
                <w:tc>
                  <w:tcPr>
                    <w:tcW w:w="3098" w:type="dxa"/>
                  </w:tcPr>
                  <w:p>
                    <w:pPr>
                      <w:jc w:val="center"/>
                      <w:rPr>
                        <w:szCs w:val="24"/>
                      </w:rPr>
                    </w:pPr>
                  </w:p>
                </w:tc>
              </w:tr>
            </w:tbl>
            <w:p>
              <w:pPr>
                <w:rPr>
                  <w:szCs w:val="24"/>
                  <w:lang w:val="en-GB"/>
                </w:rPr>
              </w:pPr>
            </w:p>
          </w:sdtContent>
        </w:sdt>
        <w:sdt>
          <w:sdtPr>
            <w:alias w:val="pabaiga"/>
            <w:tag w:val="part_16ed97c154a24e76a8a310f727c4f575"/>
            <w:lock w:val="sdtLocked"/>
            <w:richText/>
          </w:sdtPr>
          <w:sdtContent>
            <w:p>
              <w:pPr>
                <w:jc w:val="center"/>
                <w:rPr>
                  <w:szCs w:val="24"/>
                </w:rPr>
              </w:pPr>
              <w:r>
                <w:rPr>
                  <w:szCs w:val="24"/>
                  <w:lang w:val="en-GB"/>
                </w:rPr>
                <w:t>_________________</w:t>
              </w:r>
            </w:p>
          </w:sdtContent>
        </w:sdt>
      </w:sdtContent>
    </w:sdt>
    <w:sectPr>
      <w:pgSz w:w="16838" w:h="11906" w:orient="landscape"/>
      <w:pgMar w:top="1701" w:right="1134" w:bottom="567" w:left="1134" w:header="709" w:footer="709"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val="en-GB"/>
      </w:rPr>
    </w:pPr>
    <w:r>
      <w:rPr>
        <w:szCs w:val="24"/>
        <w:lang w:val="en-GB"/>
      </w:rPr>
      <w:fldChar w:fldCharType="begin"/>
    </w:r>
    <w:r>
      <w:rPr>
        <w:szCs w:val="24"/>
        <w:lang w:val="en-GB"/>
      </w:rPr>
      <w:instrText xml:space="preserve"> PAGE   \* MERGEFORMAT </w:instrText>
    </w:r>
    <w:r>
      <w:rPr>
        <w:szCs w:val="24"/>
        <w:lang w:val="en-GB"/>
      </w:rPr>
      <w:fldChar w:fldCharType="separate"/>
    </w:r>
    <w:r>
      <w:rPr>
        <w:szCs w:val="24"/>
        <w:lang w:val="en-GB"/>
      </w:rPr>
      <w:t>7</w:t>
    </w:r>
    <w:r>
      <w:rPr>
        <w:szCs w:val="24"/>
        <w:lang w:val="en-GB"/>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4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87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93672070">
      <w:bodyDiv w:val="1"/>
      <w:marLeft w:val="0"/>
      <w:marRight w:val="0"/>
      <w:marTop w:val="0"/>
      <w:marBottom w:val="0"/>
      <w:divBdr>
        <w:top w:val="none" w:sz="0" w:space="0" w:color="auto"/>
        <w:left w:val="none" w:sz="0" w:space="0" w:color="auto"/>
        <w:bottom w:val="none" w:sz="0" w:space="0" w:color="auto"/>
        <w:right w:val="none" w:sz="0" w:space="0" w:color="auto"/>
      </w:divBdr>
    </w:div>
    <w:div w:id="145510927">
      <w:bodyDiv w:val="1"/>
      <w:marLeft w:val="0"/>
      <w:marRight w:val="0"/>
      <w:marTop w:val="0"/>
      <w:marBottom w:val="0"/>
      <w:divBdr>
        <w:top w:val="none" w:sz="0" w:space="0" w:color="auto"/>
        <w:left w:val="none" w:sz="0" w:space="0" w:color="auto"/>
        <w:bottom w:val="none" w:sz="0" w:space="0" w:color="auto"/>
        <w:right w:val="none" w:sz="0" w:space="0" w:color="auto"/>
      </w:divBdr>
    </w:div>
    <w:div w:id="205914813">
      <w:bodyDiv w:val="1"/>
      <w:marLeft w:val="0"/>
      <w:marRight w:val="0"/>
      <w:marTop w:val="0"/>
      <w:marBottom w:val="0"/>
      <w:divBdr>
        <w:top w:val="none" w:sz="0" w:space="0" w:color="auto"/>
        <w:left w:val="none" w:sz="0" w:space="0" w:color="auto"/>
        <w:bottom w:val="none" w:sz="0" w:space="0" w:color="auto"/>
        <w:right w:val="none" w:sz="0" w:space="0" w:color="auto"/>
      </w:divBdr>
    </w:div>
    <w:div w:id="282007794">
      <w:bodyDiv w:val="1"/>
      <w:marLeft w:val="0"/>
      <w:marRight w:val="0"/>
      <w:marTop w:val="0"/>
      <w:marBottom w:val="0"/>
      <w:divBdr>
        <w:top w:val="none" w:sz="0" w:space="0" w:color="auto"/>
        <w:left w:val="none" w:sz="0" w:space="0" w:color="auto"/>
        <w:bottom w:val="none" w:sz="0" w:space="0" w:color="auto"/>
        <w:right w:val="none" w:sz="0" w:space="0" w:color="auto"/>
      </w:divBdr>
    </w:div>
    <w:div w:id="365326776">
      <w:bodyDiv w:val="1"/>
      <w:marLeft w:val="0"/>
      <w:marRight w:val="0"/>
      <w:marTop w:val="0"/>
      <w:marBottom w:val="0"/>
      <w:divBdr>
        <w:top w:val="none" w:sz="0" w:space="0" w:color="auto"/>
        <w:left w:val="none" w:sz="0" w:space="0" w:color="auto"/>
        <w:bottom w:val="none" w:sz="0" w:space="0" w:color="auto"/>
        <w:right w:val="none" w:sz="0" w:space="0" w:color="auto"/>
      </w:divBdr>
    </w:div>
    <w:div w:id="612906764">
      <w:bodyDiv w:val="1"/>
      <w:marLeft w:val="0"/>
      <w:marRight w:val="0"/>
      <w:marTop w:val="0"/>
      <w:marBottom w:val="0"/>
      <w:divBdr>
        <w:top w:val="none" w:sz="0" w:space="0" w:color="auto"/>
        <w:left w:val="none" w:sz="0" w:space="0" w:color="auto"/>
        <w:bottom w:val="none" w:sz="0" w:space="0" w:color="auto"/>
        <w:right w:val="none" w:sz="0" w:space="0" w:color="auto"/>
      </w:divBdr>
      <w:divsChild>
        <w:div w:id="917635936">
          <w:marLeft w:val="0"/>
          <w:marRight w:val="0"/>
          <w:marTop w:val="0"/>
          <w:marBottom w:val="0"/>
          <w:divBdr>
            <w:top w:val="none" w:sz="0" w:space="0" w:color="auto"/>
            <w:left w:val="none" w:sz="0" w:space="0" w:color="auto"/>
            <w:bottom w:val="none" w:sz="0" w:space="0" w:color="auto"/>
            <w:right w:val="none" w:sz="0" w:space="0" w:color="auto"/>
          </w:divBdr>
        </w:div>
        <w:div w:id="207184176">
          <w:marLeft w:val="0"/>
          <w:marRight w:val="0"/>
          <w:marTop w:val="0"/>
          <w:marBottom w:val="0"/>
          <w:divBdr>
            <w:top w:val="none" w:sz="0" w:space="0" w:color="auto"/>
            <w:left w:val="none" w:sz="0" w:space="0" w:color="auto"/>
            <w:bottom w:val="none" w:sz="0" w:space="0" w:color="auto"/>
            <w:right w:val="none" w:sz="0" w:space="0" w:color="auto"/>
          </w:divBdr>
        </w:div>
        <w:div w:id="566259718">
          <w:marLeft w:val="0"/>
          <w:marRight w:val="0"/>
          <w:marTop w:val="0"/>
          <w:marBottom w:val="0"/>
          <w:divBdr>
            <w:top w:val="none" w:sz="0" w:space="0" w:color="auto"/>
            <w:left w:val="none" w:sz="0" w:space="0" w:color="auto"/>
            <w:bottom w:val="none" w:sz="0" w:space="0" w:color="auto"/>
            <w:right w:val="none" w:sz="0" w:space="0" w:color="auto"/>
          </w:divBdr>
        </w:div>
        <w:div w:id="833036690">
          <w:marLeft w:val="0"/>
          <w:marRight w:val="0"/>
          <w:marTop w:val="0"/>
          <w:marBottom w:val="0"/>
          <w:divBdr>
            <w:top w:val="none" w:sz="0" w:space="0" w:color="auto"/>
            <w:left w:val="none" w:sz="0" w:space="0" w:color="auto"/>
            <w:bottom w:val="none" w:sz="0" w:space="0" w:color="auto"/>
            <w:right w:val="none" w:sz="0" w:space="0" w:color="auto"/>
          </w:divBdr>
        </w:div>
        <w:div w:id="2059238006">
          <w:marLeft w:val="0"/>
          <w:marRight w:val="0"/>
          <w:marTop w:val="0"/>
          <w:marBottom w:val="0"/>
          <w:divBdr>
            <w:top w:val="none" w:sz="0" w:space="0" w:color="auto"/>
            <w:left w:val="none" w:sz="0" w:space="0" w:color="auto"/>
            <w:bottom w:val="none" w:sz="0" w:space="0" w:color="auto"/>
            <w:right w:val="none" w:sz="0" w:space="0" w:color="auto"/>
          </w:divBdr>
        </w:div>
      </w:divsChild>
    </w:div>
    <w:div w:id="685403757">
      <w:bodyDiv w:val="1"/>
      <w:marLeft w:val="0"/>
      <w:marRight w:val="0"/>
      <w:marTop w:val="0"/>
      <w:marBottom w:val="0"/>
      <w:divBdr>
        <w:top w:val="none" w:sz="0" w:space="0" w:color="auto"/>
        <w:left w:val="none" w:sz="0" w:space="0" w:color="auto"/>
        <w:bottom w:val="none" w:sz="0" w:space="0" w:color="auto"/>
        <w:right w:val="none" w:sz="0" w:space="0" w:color="auto"/>
      </w:divBdr>
    </w:div>
    <w:div w:id="738863098">
      <w:bodyDiv w:val="1"/>
      <w:marLeft w:val="0"/>
      <w:marRight w:val="0"/>
      <w:marTop w:val="0"/>
      <w:marBottom w:val="0"/>
      <w:divBdr>
        <w:top w:val="none" w:sz="0" w:space="0" w:color="auto"/>
        <w:left w:val="none" w:sz="0" w:space="0" w:color="auto"/>
        <w:bottom w:val="none" w:sz="0" w:space="0" w:color="auto"/>
        <w:right w:val="none" w:sz="0" w:space="0" w:color="auto"/>
      </w:divBdr>
    </w:div>
    <w:div w:id="797184222">
      <w:bodyDiv w:val="1"/>
      <w:marLeft w:val="0"/>
      <w:marRight w:val="0"/>
      <w:marTop w:val="0"/>
      <w:marBottom w:val="0"/>
      <w:divBdr>
        <w:top w:val="none" w:sz="0" w:space="0" w:color="auto"/>
        <w:left w:val="none" w:sz="0" w:space="0" w:color="auto"/>
        <w:bottom w:val="none" w:sz="0" w:space="0" w:color="auto"/>
        <w:right w:val="none" w:sz="0" w:space="0" w:color="auto"/>
      </w:divBdr>
      <w:divsChild>
        <w:div w:id="10030877">
          <w:marLeft w:val="0"/>
          <w:marRight w:val="0"/>
          <w:marTop w:val="0"/>
          <w:marBottom w:val="0"/>
          <w:divBdr>
            <w:top w:val="none" w:sz="0" w:space="0" w:color="auto"/>
            <w:left w:val="none" w:sz="0" w:space="0" w:color="auto"/>
            <w:bottom w:val="none" w:sz="0" w:space="0" w:color="auto"/>
            <w:right w:val="none" w:sz="0" w:space="0" w:color="auto"/>
          </w:divBdr>
        </w:div>
        <w:div w:id="1341007557">
          <w:marLeft w:val="0"/>
          <w:marRight w:val="0"/>
          <w:marTop w:val="0"/>
          <w:marBottom w:val="0"/>
          <w:divBdr>
            <w:top w:val="none" w:sz="0" w:space="0" w:color="auto"/>
            <w:left w:val="none" w:sz="0" w:space="0" w:color="auto"/>
            <w:bottom w:val="none" w:sz="0" w:space="0" w:color="auto"/>
            <w:right w:val="none" w:sz="0" w:space="0" w:color="auto"/>
          </w:divBdr>
        </w:div>
        <w:div w:id="1839346636">
          <w:marLeft w:val="0"/>
          <w:marRight w:val="0"/>
          <w:marTop w:val="0"/>
          <w:marBottom w:val="0"/>
          <w:divBdr>
            <w:top w:val="none" w:sz="0" w:space="0" w:color="auto"/>
            <w:left w:val="none" w:sz="0" w:space="0" w:color="auto"/>
            <w:bottom w:val="none" w:sz="0" w:space="0" w:color="auto"/>
            <w:right w:val="none" w:sz="0" w:space="0" w:color="auto"/>
          </w:divBdr>
        </w:div>
      </w:divsChild>
    </w:div>
    <w:div w:id="850222257">
      <w:bodyDiv w:val="1"/>
      <w:marLeft w:val="0"/>
      <w:marRight w:val="0"/>
      <w:marTop w:val="0"/>
      <w:marBottom w:val="0"/>
      <w:divBdr>
        <w:top w:val="none" w:sz="0" w:space="0" w:color="auto"/>
        <w:left w:val="none" w:sz="0" w:space="0" w:color="auto"/>
        <w:bottom w:val="none" w:sz="0" w:space="0" w:color="auto"/>
        <w:right w:val="none" w:sz="0" w:space="0" w:color="auto"/>
      </w:divBdr>
      <w:divsChild>
        <w:div w:id="1478915088">
          <w:marLeft w:val="0"/>
          <w:marRight w:val="0"/>
          <w:marTop w:val="0"/>
          <w:marBottom w:val="0"/>
          <w:divBdr>
            <w:top w:val="none" w:sz="0" w:space="0" w:color="auto"/>
            <w:left w:val="none" w:sz="0" w:space="0" w:color="auto"/>
            <w:bottom w:val="none" w:sz="0" w:space="0" w:color="auto"/>
            <w:right w:val="none" w:sz="0" w:space="0" w:color="auto"/>
          </w:divBdr>
        </w:div>
        <w:div w:id="622543726">
          <w:marLeft w:val="0"/>
          <w:marRight w:val="0"/>
          <w:marTop w:val="0"/>
          <w:marBottom w:val="0"/>
          <w:divBdr>
            <w:top w:val="none" w:sz="0" w:space="0" w:color="auto"/>
            <w:left w:val="none" w:sz="0" w:space="0" w:color="auto"/>
            <w:bottom w:val="none" w:sz="0" w:space="0" w:color="auto"/>
            <w:right w:val="none" w:sz="0" w:space="0" w:color="auto"/>
          </w:divBdr>
        </w:div>
        <w:div w:id="2017078543">
          <w:marLeft w:val="0"/>
          <w:marRight w:val="0"/>
          <w:marTop w:val="0"/>
          <w:marBottom w:val="0"/>
          <w:divBdr>
            <w:top w:val="none" w:sz="0" w:space="0" w:color="auto"/>
            <w:left w:val="none" w:sz="0" w:space="0" w:color="auto"/>
            <w:bottom w:val="none" w:sz="0" w:space="0" w:color="auto"/>
            <w:right w:val="none" w:sz="0" w:space="0" w:color="auto"/>
          </w:divBdr>
        </w:div>
      </w:divsChild>
    </w:div>
    <w:div w:id="896547361">
      <w:bodyDiv w:val="1"/>
      <w:marLeft w:val="0"/>
      <w:marRight w:val="0"/>
      <w:marTop w:val="0"/>
      <w:marBottom w:val="0"/>
      <w:divBdr>
        <w:top w:val="none" w:sz="0" w:space="0" w:color="auto"/>
        <w:left w:val="none" w:sz="0" w:space="0" w:color="auto"/>
        <w:bottom w:val="none" w:sz="0" w:space="0" w:color="auto"/>
        <w:right w:val="none" w:sz="0" w:space="0" w:color="auto"/>
      </w:divBdr>
    </w:div>
    <w:div w:id="923951444">
      <w:bodyDiv w:val="1"/>
      <w:marLeft w:val="0"/>
      <w:marRight w:val="0"/>
      <w:marTop w:val="0"/>
      <w:marBottom w:val="0"/>
      <w:divBdr>
        <w:top w:val="none" w:sz="0" w:space="0" w:color="auto"/>
        <w:left w:val="none" w:sz="0" w:space="0" w:color="auto"/>
        <w:bottom w:val="none" w:sz="0" w:space="0" w:color="auto"/>
        <w:right w:val="none" w:sz="0" w:space="0" w:color="auto"/>
      </w:divBdr>
    </w:div>
    <w:div w:id="947545584">
      <w:bodyDiv w:val="1"/>
      <w:marLeft w:val="0"/>
      <w:marRight w:val="0"/>
      <w:marTop w:val="0"/>
      <w:marBottom w:val="0"/>
      <w:divBdr>
        <w:top w:val="none" w:sz="0" w:space="0" w:color="auto"/>
        <w:left w:val="none" w:sz="0" w:space="0" w:color="auto"/>
        <w:bottom w:val="none" w:sz="0" w:space="0" w:color="auto"/>
        <w:right w:val="none" w:sz="0" w:space="0" w:color="auto"/>
      </w:divBdr>
    </w:div>
    <w:div w:id="1038552181">
      <w:bodyDiv w:val="1"/>
      <w:marLeft w:val="0"/>
      <w:marRight w:val="0"/>
      <w:marTop w:val="0"/>
      <w:marBottom w:val="0"/>
      <w:divBdr>
        <w:top w:val="none" w:sz="0" w:space="0" w:color="auto"/>
        <w:left w:val="none" w:sz="0" w:space="0" w:color="auto"/>
        <w:bottom w:val="none" w:sz="0" w:space="0" w:color="auto"/>
        <w:right w:val="none" w:sz="0" w:space="0" w:color="auto"/>
      </w:divBdr>
    </w:div>
    <w:div w:id="1082944355">
      <w:bodyDiv w:val="1"/>
      <w:marLeft w:val="0"/>
      <w:marRight w:val="0"/>
      <w:marTop w:val="0"/>
      <w:marBottom w:val="0"/>
      <w:divBdr>
        <w:top w:val="none" w:sz="0" w:space="0" w:color="auto"/>
        <w:left w:val="none" w:sz="0" w:space="0" w:color="auto"/>
        <w:bottom w:val="none" w:sz="0" w:space="0" w:color="auto"/>
        <w:right w:val="none" w:sz="0" w:space="0" w:color="auto"/>
      </w:divBdr>
    </w:div>
    <w:div w:id="1256747570">
      <w:bodyDiv w:val="1"/>
      <w:marLeft w:val="0"/>
      <w:marRight w:val="0"/>
      <w:marTop w:val="0"/>
      <w:marBottom w:val="0"/>
      <w:divBdr>
        <w:top w:val="none" w:sz="0" w:space="0" w:color="auto"/>
        <w:left w:val="none" w:sz="0" w:space="0" w:color="auto"/>
        <w:bottom w:val="none" w:sz="0" w:space="0" w:color="auto"/>
        <w:right w:val="none" w:sz="0" w:space="0" w:color="auto"/>
      </w:divBdr>
    </w:div>
    <w:div w:id="1279990112">
      <w:bodyDiv w:val="1"/>
      <w:marLeft w:val="0"/>
      <w:marRight w:val="0"/>
      <w:marTop w:val="0"/>
      <w:marBottom w:val="0"/>
      <w:divBdr>
        <w:top w:val="none" w:sz="0" w:space="0" w:color="auto"/>
        <w:left w:val="none" w:sz="0" w:space="0" w:color="auto"/>
        <w:bottom w:val="none" w:sz="0" w:space="0" w:color="auto"/>
        <w:right w:val="none" w:sz="0" w:space="0" w:color="auto"/>
      </w:divBdr>
    </w:div>
    <w:div w:id="1312053381">
      <w:bodyDiv w:val="1"/>
      <w:marLeft w:val="0"/>
      <w:marRight w:val="0"/>
      <w:marTop w:val="0"/>
      <w:marBottom w:val="0"/>
      <w:divBdr>
        <w:top w:val="none" w:sz="0" w:space="0" w:color="auto"/>
        <w:left w:val="none" w:sz="0" w:space="0" w:color="auto"/>
        <w:bottom w:val="none" w:sz="0" w:space="0" w:color="auto"/>
        <w:right w:val="none" w:sz="0" w:space="0" w:color="auto"/>
      </w:divBdr>
    </w:div>
    <w:div w:id="1312103952">
      <w:bodyDiv w:val="1"/>
      <w:marLeft w:val="0"/>
      <w:marRight w:val="0"/>
      <w:marTop w:val="0"/>
      <w:marBottom w:val="0"/>
      <w:divBdr>
        <w:top w:val="none" w:sz="0" w:space="0" w:color="auto"/>
        <w:left w:val="none" w:sz="0" w:space="0" w:color="auto"/>
        <w:bottom w:val="none" w:sz="0" w:space="0" w:color="auto"/>
        <w:right w:val="none" w:sz="0" w:space="0" w:color="auto"/>
      </w:divBdr>
    </w:div>
    <w:div w:id="1341468705">
      <w:bodyDiv w:val="1"/>
      <w:marLeft w:val="0"/>
      <w:marRight w:val="0"/>
      <w:marTop w:val="0"/>
      <w:marBottom w:val="0"/>
      <w:divBdr>
        <w:top w:val="none" w:sz="0" w:space="0" w:color="auto"/>
        <w:left w:val="none" w:sz="0" w:space="0" w:color="auto"/>
        <w:bottom w:val="none" w:sz="0" w:space="0" w:color="auto"/>
        <w:right w:val="none" w:sz="0" w:space="0" w:color="auto"/>
      </w:divBdr>
      <w:divsChild>
        <w:div w:id="471362515">
          <w:marLeft w:val="0"/>
          <w:marRight w:val="0"/>
          <w:marTop w:val="0"/>
          <w:marBottom w:val="0"/>
          <w:divBdr>
            <w:top w:val="none" w:sz="0" w:space="0" w:color="auto"/>
            <w:left w:val="none" w:sz="0" w:space="0" w:color="auto"/>
            <w:bottom w:val="none" w:sz="0" w:space="0" w:color="auto"/>
            <w:right w:val="none" w:sz="0" w:space="0" w:color="auto"/>
          </w:divBdr>
        </w:div>
        <w:div w:id="571158281">
          <w:marLeft w:val="0"/>
          <w:marRight w:val="0"/>
          <w:marTop w:val="0"/>
          <w:marBottom w:val="0"/>
          <w:divBdr>
            <w:top w:val="none" w:sz="0" w:space="0" w:color="auto"/>
            <w:left w:val="none" w:sz="0" w:space="0" w:color="auto"/>
            <w:bottom w:val="none" w:sz="0" w:space="0" w:color="auto"/>
            <w:right w:val="none" w:sz="0" w:space="0" w:color="auto"/>
          </w:divBdr>
        </w:div>
        <w:div w:id="273250798">
          <w:marLeft w:val="0"/>
          <w:marRight w:val="0"/>
          <w:marTop w:val="0"/>
          <w:marBottom w:val="0"/>
          <w:divBdr>
            <w:top w:val="none" w:sz="0" w:space="0" w:color="auto"/>
            <w:left w:val="none" w:sz="0" w:space="0" w:color="auto"/>
            <w:bottom w:val="none" w:sz="0" w:space="0" w:color="auto"/>
            <w:right w:val="none" w:sz="0" w:space="0" w:color="auto"/>
          </w:divBdr>
        </w:div>
        <w:div w:id="1118526936">
          <w:marLeft w:val="0"/>
          <w:marRight w:val="0"/>
          <w:marTop w:val="0"/>
          <w:marBottom w:val="0"/>
          <w:divBdr>
            <w:top w:val="none" w:sz="0" w:space="0" w:color="auto"/>
            <w:left w:val="none" w:sz="0" w:space="0" w:color="auto"/>
            <w:bottom w:val="none" w:sz="0" w:space="0" w:color="auto"/>
            <w:right w:val="none" w:sz="0" w:space="0" w:color="auto"/>
          </w:divBdr>
        </w:div>
        <w:div w:id="974259009">
          <w:marLeft w:val="0"/>
          <w:marRight w:val="0"/>
          <w:marTop w:val="0"/>
          <w:marBottom w:val="0"/>
          <w:divBdr>
            <w:top w:val="none" w:sz="0" w:space="0" w:color="auto"/>
            <w:left w:val="none" w:sz="0" w:space="0" w:color="auto"/>
            <w:bottom w:val="none" w:sz="0" w:space="0" w:color="auto"/>
            <w:right w:val="none" w:sz="0" w:space="0" w:color="auto"/>
          </w:divBdr>
        </w:div>
        <w:div w:id="1848398579">
          <w:marLeft w:val="0"/>
          <w:marRight w:val="0"/>
          <w:marTop w:val="0"/>
          <w:marBottom w:val="0"/>
          <w:divBdr>
            <w:top w:val="none" w:sz="0" w:space="0" w:color="auto"/>
            <w:left w:val="none" w:sz="0" w:space="0" w:color="auto"/>
            <w:bottom w:val="none" w:sz="0" w:space="0" w:color="auto"/>
            <w:right w:val="none" w:sz="0" w:space="0" w:color="auto"/>
          </w:divBdr>
        </w:div>
        <w:div w:id="1609047273">
          <w:marLeft w:val="0"/>
          <w:marRight w:val="0"/>
          <w:marTop w:val="0"/>
          <w:marBottom w:val="0"/>
          <w:divBdr>
            <w:top w:val="none" w:sz="0" w:space="0" w:color="auto"/>
            <w:left w:val="none" w:sz="0" w:space="0" w:color="auto"/>
            <w:bottom w:val="none" w:sz="0" w:space="0" w:color="auto"/>
            <w:right w:val="none" w:sz="0" w:space="0" w:color="auto"/>
          </w:divBdr>
        </w:div>
        <w:div w:id="578442798">
          <w:marLeft w:val="0"/>
          <w:marRight w:val="0"/>
          <w:marTop w:val="0"/>
          <w:marBottom w:val="0"/>
          <w:divBdr>
            <w:top w:val="none" w:sz="0" w:space="0" w:color="auto"/>
            <w:left w:val="none" w:sz="0" w:space="0" w:color="auto"/>
            <w:bottom w:val="none" w:sz="0" w:space="0" w:color="auto"/>
            <w:right w:val="none" w:sz="0" w:space="0" w:color="auto"/>
          </w:divBdr>
        </w:div>
      </w:divsChild>
    </w:div>
    <w:div w:id="1352609704">
      <w:bodyDiv w:val="1"/>
      <w:marLeft w:val="0"/>
      <w:marRight w:val="0"/>
      <w:marTop w:val="0"/>
      <w:marBottom w:val="0"/>
      <w:divBdr>
        <w:top w:val="none" w:sz="0" w:space="0" w:color="auto"/>
        <w:left w:val="none" w:sz="0" w:space="0" w:color="auto"/>
        <w:bottom w:val="none" w:sz="0" w:space="0" w:color="auto"/>
        <w:right w:val="none" w:sz="0" w:space="0" w:color="auto"/>
      </w:divBdr>
    </w:div>
    <w:div w:id="1411536589">
      <w:bodyDiv w:val="1"/>
      <w:marLeft w:val="0"/>
      <w:marRight w:val="0"/>
      <w:marTop w:val="0"/>
      <w:marBottom w:val="0"/>
      <w:divBdr>
        <w:top w:val="none" w:sz="0" w:space="0" w:color="auto"/>
        <w:left w:val="none" w:sz="0" w:space="0" w:color="auto"/>
        <w:bottom w:val="none" w:sz="0" w:space="0" w:color="auto"/>
        <w:right w:val="none" w:sz="0" w:space="0" w:color="auto"/>
      </w:divBdr>
    </w:div>
    <w:div w:id="1510177505">
      <w:bodyDiv w:val="1"/>
      <w:marLeft w:val="0"/>
      <w:marRight w:val="0"/>
      <w:marTop w:val="0"/>
      <w:marBottom w:val="0"/>
      <w:divBdr>
        <w:top w:val="none" w:sz="0" w:space="0" w:color="auto"/>
        <w:left w:val="none" w:sz="0" w:space="0" w:color="auto"/>
        <w:bottom w:val="none" w:sz="0" w:space="0" w:color="auto"/>
        <w:right w:val="none" w:sz="0" w:space="0" w:color="auto"/>
      </w:divBdr>
      <w:divsChild>
        <w:div w:id="1385447934">
          <w:marLeft w:val="0"/>
          <w:marRight w:val="0"/>
          <w:marTop w:val="0"/>
          <w:marBottom w:val="0"/>
          <w:divBdr>
            <w:top w:val="none" w:sz="0" w:space="0" w:color="auto"/>
            <w:left w:val="none" w:sz="0" w:space="0" w:color="auto"/>
            <w:bottom w:val="none" w:sz="0" w:space="0" w:color="auto"/>
            <w:right w:val="none" w:sz="0" w:space="0" w:color="auto"/>
          </w:divBdr>
        </w:div>
        <w:div w:id="977150905">
          <w:marLeft w:val="0"/>
          <w:marRight w:val="0"/>
          <w:marTop w:val="0"/>
          <w:marBottom w:val="0"/>
          <w:divBdr>
            <w:top w:val="none" w:sz="0" w:space="0" w:color="auto"/>
            <w:left w:val="none" w:sz="0" w:space="0" w:color="auto"/>
            <w:bottom w:val="none" w:sz="0" w:space="0" w:color="auto"/>
            <w:right w:val="none" w:sz="0" w:space="0" w:color="auto"/>
          </w:divBdr>
        </w:div>
        <w:div w:id="327055530">
          <w:marLeft w:val="0"/>
          <w:marRight w:val="0"/>
          <w:marTop w:val="0"/>
          <w:marBottom w:val="0"/>
          <w:divBdr>
            <w:top w:val="none" w:sz="0" w:space="0" w:color="auto"/>
            <w:left w:val="none" w:sz="0" w:space="0" w:color="auto"/>
            <w:bottom w:val="none" w:sz="0" w:space="0" w:color="auto"/>
            <w:right w:val="none" w:sz="0" w:space="0" w:color="auto"/>
          </w:divBdr>
        </w:div>
        <w:div w:id="1010525242">
          <w:marLeft w:val="0"/>
          <w:marRight w:val="0"/>
          <w:marTop w:val="0"/>
          <w:marBottom w:val="0"/>
          <w:divBdr>
            <w:top w:val="none" w:sz="0" w:space="0" w:color="auto"/>
            <w:left w:val="none" w:sz="0" w:space="0" w:color="auto"/>
            <w:bottom w:val="none" w:sz="0" w:space="0" w:color="auto"/>
            <w:right w:val="none" w:sz="0" w:space="0" w:color="auto"/>
          </w:divBdr>
        </w:div>
        <w:div w:id="899442207">
          <w:marLeft w:val="0"/>
          <w:marRight w:val="0"/>
          <w:marTop w:val="0"/>
          <w:marBottom w:val="0"/>
          <w:divBdr>
            <w:top w:val="none" w:sz="0" w:space="0" w:color="auto"/>
            <w:left w:val="none" w:sz="0" w:space="0" w:color="auto"/>
            <w:bottom w:val="none" w:sz="0" w:space="0" w:color="auto"/>
            <w:right w:val="none" w:sz="0" w:space="0" w:color="auto"/>
          </w:divBdr>
        </w:div>
        <w:div w:id="1748260895">
          <w:marLeft w:val="0"/>
          <w:marRight w:val="0"/>
          <w:marTop w:val="0"/>
          <w:marBottom w:val="0"/>
          <w:divBdr>
            <w:top w:val="none" w:sz="0" w:space="0" w:color="auto"/>
            <w:left w:val="none" w:sz="0" w:space="0" w:color="auto"/>
            <w:bottom w:val="none" w:sz="0" w:space="0" w:color="auto"/>
            <w:right w:val="none" w:sz="0" w:space="0" w:color="auto"/>
          </w:divBdr>
        </w:div>
        <w:div w:id="1069042112">
          <w:marLeft w:val="0"/>
          <w:marRight w:val="0"/>
          <w:marTop w:val="0"/>
          <w:marBottom w:val="0"/>
          <w:divBdr>
            <w:top w:val="none" w:sz="0" w:space="0" w:color="auto"/>
            <w:left w:val="none" w:sz="0" w:space="0" w:color="auto"/>
            <w:bottom w:val="none" w:sz="0" w:space="0" w:color="auto"/>
            <w:right w:val="none" w:sz="0" w:space="0" w:color="auto"/>
          </w:divBdr>
        </w:div>
      </w:divsChild>
    </w:div>
    <w:div w:id="1564951125">
      <w:bodyDiv w:val="1"/>
      <w:marLeft w:val="0"/>
      <w:marRight w:val="0"/>
      <w:marTop w:val="0"/>
      <w:marBottom w:val="0"/>
      <w:divBdr>
        <w:top w:val="none" w:sz="0" w:space="0" w:color="auto"/>
        <w:left w:val="none" w:sz="0" w:space="0" w:color="auto"/>
        <w:bottom w:val="none" w:sz="0" w:space="0" w:color="auto"/>
        <w:right w:val="none" w:sz="0" w:space="0" w:color="auto"/>
      </w:divBdr>
      <w:divsChild>
        <w:div w:id="352341323">
          <w:marLeft w:val="0"/>
          <w:marRight w:val="0"/>
          <w:marTop w:val="0"/>
          <w:marBottom w:val="0"/>
          <w:divBdr>
            <w:top w:val="none" w:sz="0" w:space="0" w:color="auto"/>
            <w:left w:val="none" w:sz="0" w:space="0" w:color="auto"/>
            <w:bottom w:val="none" w:sz="0" w:space="0" w:color="auto"/>
            <w:right w:val="none" w:sz="0" w:space="0" w:color="auto"/>
          </w:divBdr>
          <w:divsChild>
            <w:div w:id="1126700245">
              <w:marLeft w:val="0"/>
              <w:marRight w:val="0"/>
              <w:marTop w:val="0"/>
              <w:marBottom w:val="0"/>
              <w:divBdr>
                <w:top w:val="none" w:sz="0" w:space="0" w:color="auto"/>
                <w:left w:val="none" w:sz="0" w:space="0" w:color="auto"/>
                <w:bottom w:val="none" w:sz="0" w:space="0" w:color="auto"/>
                <w:right w:val="none" w:sz="0" w:space="0" w:color="auto"/>
              </w:divBdr>
            </w:div>
            <w:div w:id="1163012572">
              <w:marLeft w:val="0"/>
              <w:marRight w:val="0"/>
              <w:marTop w:val="0"/>
              <w:marBottom w:val="0"/>
              <w:divBdr>
                <w:top w:val="none" w:sz="0" w:space="0" w:color="auto"/>
                <w:left w:val="none" w:sz="0" w:space="0" w:color="auto"/>
                <w:bottom w:val="none" w:sz="0" w:space="0" w:color="auto"/>
                <w:right w:val="none" w:sz="0" w:space="0" w:color="auto"/>
              </w:divBdr>
            </w:div>
            <w:div w:id="25761524">
              <w:marLeft w:val="0"/>
              <w:marRight w:val="0"/>
              <w:marTop w:val="0"/>
              <w:marBottom w:val="0"/>
              <w:divBdr>
                <w:top w:val="none" w:sz="0" w:space="0" w:color="auto"/>
                <w:left w:val="none" w:sz="0" w:space="0" w:color="auto"/>
                <w:bottom w:val="none" w:sz="0" w:space="0" w:color="auto"/>
                <w:right w:val="none" w:sz="0" w:space="0" w:color="auto"/>
              </w:divBdr>
            </w:div>
          </w:divsChild>
        </w:div>
        <w:div w:id="90899922">
          <w:marLeft w:val="0"/>
          <w:marRight w:val="0"/>
          <w:marTop w:val="0"/>
          <w:marBottom w:val="0"/>
          <w:divBdr>
            <w:top w:val="none" w:sz="0" w:space="0" w:color="auto"/>
            <w:left w:val="none" w:sz="0" w:space="0" w:color="auto"/>
            <w:bottom w:val="none" w:sz="0" w:space="0" w:color="auto"/>
            <w:right w:val="none" w:sz="0" w:space="0" w:color="auto"/>
          </w:divBdr>
          <w:divsChild>
            <w:div w:id="1591884984">
              <w:marLeft w:val="0"/>
              <w:marRight w:val="0"/>
              <w:marTop w:val="0"/>
              <w:marBottom w:val="0"/>
              <w:divBdr>
                <w:top w:val="none" w:sz="0" w:space="0" w:color="auto"/>
                <w:left w:val="none" w:sz="0" w:space="0" w:color="auto"/>
                <w:bottom w:val="none" w:sz="0" w:space="0" w:color="auto"/>
                <w:right w:val="none" w:sz="0" w:space="0" w:color="auto"/>
              </w:divBdr>
            </w:div>
            <w:div w:id="2018118943">
              <w:marLeft w:val="0"/>
              <w:marRight w:val="0"/>
              <w:marTop w:val="0"/>
              <w:marBottom w:val="0"/>
              <w:divBdr>
                <w:top w:val="none" w:sz="0" w:space="0" w:color="auto"/>
                <w:left w:val="none" w:sz="0" w:space="0" w:color="auto"/>
                <w:bottom w:val="none" w:sz="0" w:space="0" w:color="auto"/>
                <w:right w:val="none" w:sz="0" w:space="0" w:color="auto"/>
              </w:divBdr>
            </w:div>
            <w:div w:id="1535927912">
              <w:marLeft w:val="0"/>
              <w:marRight w:val="0"/>
              <w:marTop w:val="0"/>
              <w:marBottom w:val="0"/>
              <w:divBdr>
                <w:top w:val="none" w:sz="0" w:space="0" w:color="auto"/>
                <w:left w:val="none" w:sz="0" w:space="0" w:color="auto"/>
                <w:bottom w:val="none" w:sz="0" w:space="0" w:color="auto"/>
                <w:right w:val="none" w:sz="0" w:space="0" w:color="auto"/>
              </w:divBdr>
            </w:div>
            <w:div w:id="1537039956">
              <w:marLeft w:val="0"/>
              <w:marRight w:val="0"/>
              <w:marTop w:val="0"/>
              <w:marBottom w:val="0"/>
              <w:divBdr>
                <w:top w:val="none" w:sz="0" w:space="0" w:color="auto"/>
                <w:left w:val="none" w:sz="0" w:space="0" w:color="auto"/>
                <w:bottom w:val="none" w:sz="0" w:space="0" w:color="auto"/>
                <w:right w:val="none" w:sz="0" w:space="0" w:color="auto"/>
              </w:divBdr>
            </w:div>
            <w:div w:id="1593854757">
              <w:marLeft w:val="0"/>
              <w:marRight w:val="0"/>
              <w:marTop w:val="0"/>
              <w:marBottom w:val="0"/>
              <w:divBdr>
                <w:top w:val="none" w:sz="0" w:space="0" w:color="auto"/>
                <w:left w:val="none" w:sz="0" w:space="0" w:color="auto"/>
                <w:bottom w:val="none" w:sz="0" w:space="0" w:color="auto"/>
                <w:right w:val="none" w:sz="0" w:space="0" w:color="auto"/>
              </w:divBdr>
            </w:div>
            <w:div w:id="2034138975">
              <w:marLeft w:val="0"/>
              <w:marRight w:val="0"/>
              <w:marTop w:val="0"/>
              <w:marBottom w:val="0"/>
              <w:divBdr>
                <w:top w:val="none" w:sz="0" w:space="0" w:color="auto"/>
                <w:left w:val="none" w:sz="0" w:space="0" w:color="auto"/>
                <w:bottom w:val="none" w:sz="0" w:space="0" w:color="auto"/>
                <w:right w:val="none" w:sz="0" w:space="0" w:color="auto"/>
              </w:divBdr>
            </w:div>
            <w:div w:id="27880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687192">
      <w:bodyDiv w:val="1"/>
      <w:marLeft w:val="0"/>
      <w:marRight w:val="0"/>
      <w:marTop w:val="0"/>
      <w:marBottom w:val="0"/>
      <w:divBdr>
        <w:top w:val="none" w:sz="0" w:space="0" w:color="auto"/>
        <w:left w:val="none" w:sz="0" w:space="0" w:color="auto"/>
        <w:bottom w:val="none" w:sz="0" w:space="0" w:color="auto"/>
        <w:right w:val="none" w:sz="0" w:space="0" w:color="auto"/>
      </w:divBdr>
      <w:divsChild>
        <w:div w:id="536939400">
          <w:marLeft w:val="0"/>
          <w:marRight w:val="0"/>
          <w:marTop w:val="0"/>
          <w:marBottom w:val="0"/>
          <w:divBdr>
            <w:top w:val="none" w:sz="0" w:space="0" w:color="auto"/>
            <w:left w:val="none" w:sz="0" w:space="0" w:color="auto"/>
            <w:bottom w:val="none" w:sz="0" w:space="0" w:color="auto"/>
            <w:right w:val="none" w:sz="0" w:space="0" w:color="auto"/>
          </w:divBdr>
        </w:div>
        <w:div w:id="1760325969">
          <w:marLeft w:val="0"/>
          <w:marRight w:val="0"/>
          <w:marTop w:val="0"/>
          <w:marBottom w:val="0"/>
          <w:divBdr>
            <w:top w:val="none" w:sz="0" w:space="0" w:color="auto"/>
            <w:left w:val="none" w:sz="0" w:space="0" w:color="auto"/>
            <w:bottom w:val="none" w:sz="0" w:space="0" w:color="auto"/>
            <w:right w:val="none" w:sz="0" w:space="0" w:color="auto"/>
          </w:divBdr>
        </w:div>
        <w:div w:id="1525054061">
          <w:marLeft w:val="0"/>
          <w:marRight w:val="0"/>
          <w:marTop w:val="0"/>
          <w:marBottom w:val="0"/>
          <w:divBdr>
            <w:top w:val="none" w:sz="0" w:space="0" w:color="auto"/>
            <w:left w:val="none" w:sz="0" w:space="0" w:color="auto"/>
            <w:bottom w:val="none" w:sz="0" w:space="0" w:color="auto"/>
            <w:right w:val="none" w:sz="0" w:space="0" w:color="auto"/>
          </w:divBdr>
        </w:div>
      </w:divsChild>
    </w:div>
    <w:div w:id="1699040906">
      <w:bodyDiv w:val="1"/>
      <w:marLeft w:val="0"/>
      <w:marRight w:val="0"/>
      <w:marTop w:val="0"/>
      <w:marBottom w:val="0"/>
      <w:divBdr>
        <w:top w:val="none" w:sz="0" w:space="0" w:color="auto"/>
        <w:left w:val="none" w:sz="0" w:space="0" w:color="auto"/>
        <w:bottom w:val="none" w:sz="0" w:space="0" w:color="auto"/>
        <w:right w:val="none" w:sz="0" w:space="0" w:color="auto"/>
      </w:divBdr>
      <w:divsChild>
        <w:div w:id="768962123">
          <w:marLeft w:val="0"/>
          <w:marRight w:val="0"/>
          <w:marTop w:val="0"/>
          <w:marBottom w:val="0"/>
          <w:divBdr>
            <w:top w:val="none" w:sz="0" w:space="0" w:color="auto"/>
            <w:left w:val="none" w:sz="0" w:space="0" w:color="auto"/>
            <w:bottom w:val="none" w:sz="0" w:space="0" w:color="auto"/>
            <w:right w:val="none" w:sz="0" w:space="0" w:color="auto"/>
          </w:divBdr>
        </w:div>
        <w:div w:id="1693602281">
          <w:marLeft w:val="0"/>
          <w:marRight w:val="0"/>
          <w:marTop w:val="0"/>
          <w:marBottom w:val="0"/>
          <w:divBdr>
            <w:top w:val="none" w:sz="0" w:space="0" w:color="auto"/>
            <w:left w:val="none" w:sz="0" w:space="0" w:color="auto"/>
            <w:bottom w:val="none" w:sz="0" w:space="0" w:color="auto"/>
            <w:right w:val="none" w:sz="0" w:space="0" w:color="auto"/>
          </w:divBdr>
        </w:div>
      </w:divsChild>
    </w:div>
    <w:div w:id="1737824651">
      <w:bodyDiv w:val="1"/>
      <w:marLeft w:val="0"/>
      <w:marRight w:val="0"/>
      <w:marTop w:val="0"/>
      <w:marBottom w:val="0"/>
      <w:divBdr>
        <w:top w:val="none" w:sz="0" w:space="0" w:color="auto"/>
        <w:left w:val="none" w:sz="0" w:space="0" w:color="auto"/>
        <w:bottom w:val="none" w:sz="0" w:space="0" w:color="auto"/>
        <w:right w:val="none" w:sz="0" w:space="0" w:color="auto"/>
      </w:divBdr>
    </w:div>
    <w:div w:id="1797022461">
      <w:bodyDiv w:val="1"/>
      <w:marLeft w:val="0"/>
      <w:marRight w:val="0"/>
      <w:marTop w:val="0"/>
      <w:marBottom w:val="0"/>
      <w:divBdr>
        <w:top w:val="none" w:sz="0" w:space="0" w:color="auto"/>
        <w:left w:val="none" w:sz="0" w:space="0" w:color="auto"/>
        <w:bottom w:val="none" w:sz="0" w:space="0" w:color="auto"/>
        <w:right w:val="none" w:sz="0" w:space="0" w:color="auto"/>
      </w:divBdr>
      <w:divsChild>
        <w:div w:id="892618413">
          <w:marLeft w:val="0"/>
          <w:marRight w:val="0"/>
          <w:marTop w:val="0"/>
          <w:marBottom w:val="0"/>
          <w:divBdr>
            <w:top w:val="none" w:sz="0" w:space="0" w:color="auto"/>
            <w:left w:val="none" w:sz="0" w:space="0" w:color="auto"/>
            <w:bottom w:val="none" w:sz="0" w:space="0" w:color="auto"/>
            <w:right w:val="none" w:sz="0" w:space="0" w:color="auto"/>
          </w:divBdr>
        </w:div>
        <w:div w:id="1783257912">
          <w:marLeft w:val="0"/>
          <w:marRight w:val="0"/>
          <w:marTop w:val="0"/>
          <w:marBottom w:val="0"/>
          <w:divBdr>
            <w:top w:val="none" w:sz="0" w:space="0" w:color="auto"/>
            <w:left w:val="none" w:sz="0" w:space="0" w:color="auto"/>
            <w:bottom w:val="none" w:sz="0" w:space="0" w:color="auto"/>
            <w:right w:val="none" w:sz="0" w:space="0" w:color="auto"/>
          </w:divBdr>
        </w:div>
        <w:div w:id="565459229">
          <w:marLeft w:val="0"/>
          <w:marRight w:val="0"/>
          <w:marTop w:val="0"/>
          <w:marBottom w:val="0"/>
          <w:divBdr>
            <w:top w:val="none" w:sz="0" w:space="0" w:color="auto"/>
            <w:left w:val="none" w:sz="0" w:space="0" w:color="auto"/>
            <w:bottom w:val="none" w:sz="0" w:space="0" w:color="auto"/>
            <w:right w:val="none" w:sz="0" w:space="0" w:color="auto"/>
          </w:divBdr>
        </w:div>
        <w:div w:id="670063681">
          <w:marLeft w:val="0"/>
          <w:marRight w:val="0"/>
          <w:marTop w:val="0"/>
          <w:marBottom w:val="0"/>
          <w:divBdr>
            <w:top w:val="none" w:sz="0" w:space="0" w:color="auto"/>
            <w:left w:val="none" w:sz="0" w:space="0" w:color="auto"/>
            <w:bottom w:val="none" w:sz="0" w:space="0" w:color="auto"/>
            <w:right w:val="none" w:sz="0" w:space="0" w:color="auto"/>
          </w:divBdr>
        </w:div>
        <w:div w:id="1301688923">
          <w:marLeft w:val="0"/>
          <w:marRight w:val="0"/>
          <w:marTop w:val="0"/>
          <w:marBottom w:val="0"/>
          <w:divBdr>
            <w:top w:val="none" w:sz="0" w:space="0" w:color="auto"/>
            <w:left w:val="none" w:sz="0" w:space="0" w:color="auto"/>
            <w:bottom w:val="none" w:sz="0" w:space="0" w:color="auto"/>
            <w:right w:val="none" w:sz="0" w:space="0" w:color="auto"/>
          </w:divBdr>
        </w:div>
      </w:divsChild>
    </w:div>
    <w:div w:id="1891064592">
      <w:bodyDiv w:val="1"/>
      <w:marLeft w:val="0"/>
      <w:marRight w:val="0"/>
      <w:marTop w:val="0"/>
      <w:marBottom w:val="0"/>
      <w:divBdr>
        <w:top w:val="none" w:sz="0" w:space="0" w:color="auto"/>
        <w:left w:val="none" w:sz="0" w:space="0" w:color="auto"/>
        <w:bottom w:val="none" w:sz="0" w:space="0" w:color="auto"/>
        <w:right w:val="none" w:sz="0" w:space="0" w:color="auto"/>
      </w:divBdr>
    </w:div>
    <w:div w:id="1894585497">
      <w:bodyDiv w:val="1"/>
      <w:marLeft w:val="0"/>
      <w:marRight w:val="0"/>
      <w:marTop w:val="0"/>
      <w:marBottom w:val="0"/>
      <w:divBdr>
        <w:top w:val="none" w:sz="0" w:space="0" w:color="auto"/>
        <w:left w:val="none" w:sz="0" w:space="0" w:color="auto"/>
        <w:bottom w:val="none" w:sz="0" w:space="0" w:color="auto"/>
        <w:right w:val="none" w:sz="0" w:space="0" w:color="auto"/>
      </w:divBdr>
    </w:div>
    <w:div w:id="1904364401">
      <w:bodyDiv w:val="1"/>
      <w:marLeft w:val="0"/>
      <w:marRight w:val="0"/>
      <w:marTop w:val="0"/>
      <w:marBottom w:val="0"/>
      <w:divBdr>
        <w:top w:val="none" w:sz="0" w:space="0" w:color="auto"/>
        <w:left w:val="none" w:sz="0" w:space="0" w:color="auto"/>
        <w:bottom w:val="none" w:sz="0" w:space="0" w:color="auto"/>
        <w:right w:val="none" w:sz="0" w:space="0" w:color="auto"/>
      </w:divBdr>
    </w:div>
    <w:div w:id="1950428583">
      <w:bodyDiv w:val="1"/>
      <w:marLeft w:val="0"/>
      <w:marRight w:val="0"/>
      <w:marTop w:val="0"/>
      <w:marBottom w:val="0"/>
      <w:divBdr>
        <w:top w:val="none" w:sz="0" w:space="0" w:color="auto"/>
        <w:left w:val="none" w:sz="0" w:space="0" w:color="auto"/>
        <w:bottom w:val="none" w:sz="0" w:space="0" w:color="auto"/>
        <w:right w:val="none" w:sz="0" w:space="0" w:color="auto"/>
      </w:divBdr>
    </w:div>
    <w:div w:id="1969361105">
      <w:bodyDiv w:val="1"/>
      <w:marLeft w:val="0"/>
      <w:marRight w:val="0"/>
      <w:marTop w:val="0"/>
      <w:marBottom w:val="0"/>
      <w:divBdr>
        <w:top w:val="none" w:sz="0" w:space="0" w:color="auto"/>
        <w:left w:val="none" w:sz="0" w:space="0" w:color="auto"/>
        <w:bottom w:val="none" w:sz="0" w:space="0" w:color="auto"/>
        <w:right w:val="none" w:sz="0" w:space="0" w:color="auto"/>
      </w:divBdr>
    </w:div>
    <w:div w:id="1999729307">
      <w:bodyDiv w:val="1"/>
      <w:marLeft w:val="0"/>
      <w:marRight w:val="0"/>
      <w:marTop w:val="0"/>
      <w:marBottom w:val="0"/>
      <w:divBdr>
        <w:top w:val="none" w:sz="0" w:space="0" w:color="auto"/>
        <w:left w:val="none" w:sz="0" w:space="0" w:color="auto"/>
        <w:bottom w:val="none" w:sz="0" w:space="0" w:color="auto"/>
        <w:right w:val="none" w:sz="0" w:space="0" w:color="auto"/>
      </w:divBdr>
    </w:div>
    <w:div w:id="2028173689">
      <w:bodyDiv w:val="1"/>
      <w:marLeft w:val="0"/>
      <w:marRight w:val="0"/>
      <w:marTop w:val="0"/>
      <w:marBottom w:val="0"/>
      <w:divBdr>
        <w:top w:val="none" w:sz="0" w:space="0" w:color="auto"/>
        <w:left w:val="none" w:sz="0" w:space="0" w:color="auto"/>
        <w:bottom w:val="none" w:sz="0" w:space="0" w:color="auto"/>
        <w:right w:val="none" w:sz="0" w:space="0" w:color="auto"/>
      </w:divBdr>
    </w:div>
    <w:div w:id="2093157725">
      <w:bodyDiv w:val="1"/>
      <w:marLeft w:val="0"/>
      <w:marRight w:val="0"/>
      <w:marTop w:val="0"/>
      <w:marBottom w:val="0"/>
      <w:divBdr>
        <w:top w:val="none" w:sz="0" w:space="0" w:color="auto"/>
        <w:left w:val="none" w:sz="0" w:space="0" w:color="auto"/>
        <w:bottom w:val="none" w:sz="0" w:space="0" w:color="auto"/>
        <w:right w:val="none" w:sz="0" w:space="0" w:color="auto"/>
      </w:divBdr>
    </w:div>
    <w:div w:id="2139257891">
      <w:bodyDiv w:val="1"/>
      <w:marLeft w:val="0"/>
      <w:marRight w:val="0"/>
      <w:marTop w:val="0"/>
      <w:marBottom w:val="0"/>
      <w:divBdr>
        <w:top w:val="none" w:sz="0" w:space="0" w:color="auto"/>
        <w:left w:val="none" w:sz="0" w:space="0" w:color="auto"/>
        <w:bottom w:val="none" w:sz="0" w:space="0" w:color="auto"/>
        <w:right w:val="none" w:sz="0" w:space="0" w:color="auto"/>
      </w:divBdr>
      <w:divsChild>
        <w:div w:id="873618141">
          <w:marLeft w:val="0"/>
          <w:marRight w:val="0"/>
          <w:marTop w:val="0"/>
          <w:marBottom w:val="0"/>
          <w:divBdr>
            <w:top w:val="none" w:sz="0" w:space="0" w:color="auto"/>
            <w:left w:val="none" w:sz="0" w:space="0" w:color="auto"/>
            <w:bottom w:val="none" w:sz="0" w:space="0" w:color="auto"/>
            <w:right w:val="none" w:sz="0" w:space="0" w:color="auto"/>
          </w:divBdr>
        </w:div>
        <w:div w:id="16512455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35ccc9244e04732b7eba81403d5d59d" PartId="daf8ca59e79046ada0553e1aa9e4ac6a">
    <Part Type="pastraipa" DocPartId="c146f81459284c9ab93053f01a4fdb51" PartId="774cd0ed4acc4e929975fa60b3a81dd4">
      <Part Type="citata" DocPartId="02cbfdbff0134312826c8a97b826b772" PartId="66694bc3804b4d76950dd911213de249">
        <Part Type="pagrindine" DocPartId="10a50984f66843d0ad9ab983470f0a1e" PartId="c704c3974abf414a927ef1046ec1a13f">
          <Part Type="preambule" DocPartId="4bbf7f6733804963adbd3ed7b8cd6ce0" PartId="0b66b011770044ad91137914b6471372"/>
          <Part Type="punktas" Nr="1" Abbr="1 p." DocPartId="b540ca14050a4b1fa005462185d36b02" PartId="5c4cc2d46bb64887ad0c9a6a155f34d0"/>
          <Part Type="punktas" Nr="2" Abbr="2 p." DocPartId="cd4f894095104f139b34b7be7051b31c" PartId="2c9a7a637f664f07b0e29348b1e927c9"/>
          <Part Type="punktas" Nr="3" Abbr="3 p." DocPartId="f2543bdd8f8e4ee396f4acadf6a5fdfc" PartId="92047d202bcb4990a6ff9d073e69139d"/>
        </Part>
      </Part>
    </Part>
    <Part Type="signatura" DocPartId="391c82ec475546c5aab0602f4c326913" PartId="723d05f55af343ea90cadb23899b2ef0"/>
  </Part>
  <Part Type="patvirtinta" Title="LIETUVOS HIGIENOS NORMA HN 125:2019 „ SUAUGUSIŲ ASMENŲ SOCIALINĖS GLOBOS ĮSTAIGOS: BENDRIEJI SVEIKATOS SAUGOS REIKALAVIMAI“" DocPartId="dbae55afe9a24d439b9d5da881ad81c0" PartId="82afdab7430540598425821d095ad89f">
    <Part Type="skyrius" Nr="1" Title="BENDROSIOS NUOSTATOS" DocPartId="35a620593942491489b00b880d0178df" PartId="cfe240ec15e24674beac65705beedeab">
      <Part Type="punktas" Nr="1" Abbr="1 p." DocPartId="2d7e77a14abf4b51804ec89ab1730c25" PartId="88757c9396c14f77b05ecb223d0f2161"/>
      <Part Type="punktas" Nr="2" Abbr="2 p." DocPartId="f610d0b7e0aa4e9c9ef347cf496dfd06" PartId="0257daecaa5840aeb92ccbb5479f9fd2"/>
      <Part Type="punktas" Nr="3" Abbr="3 p." DocPartId="c7cdddfe35584d9b80370bcf59b32e35" PartId="6425ea791a1b4beeaaefdb31477e941f"/>
      <Part Type="punktas" Nr="4" Abbr="4 p." DocPartId="f4f6f51a12ef4890a8525009ee4e5aab" PartId="bde843f382b343c386d4a0447cc71c59"/>
      <Part Type="punktas" Nr="5" Abbr="5 p." DocPartId="6ecb42b257ce45d08bb60cdc078c8032" PartId="88da362546554ae0a432db8646ee0b74"/>
      <Part Type="punktas" Nr="6" Abbr="6 p." DocPartId="df1fbdd3c8eb450480aaaac0d3a68def" PartId="b79e52038eeb4ebbbdf7f09813eea323"/>
      <Part Type="punktas" Nr="7" Abbr="7 p." DocPartId="f4cfeb057b6744c4ae7b87fb326ee43e" PartId="383bb40b147a44e3b4e00ca504b0ced3">
        <Part Type="papunktis" Nr="7.1" Abbr="7.1 pp." DocPartId="2b9a8b574dca4d228d4c145285536336" PartId="447d101e7a164c09b11686dc9d3bccfa"/>
        <Part Type="papunktis" Nr="7.2" Abbr="7.2 pp." DocPartId="a49896778761417794408aa4af56eed1" PartId="a4a5b8096a7f434d84e3fd09d258432e"/>
      </Part>
      <Part Type="punktas" Nr="8" Abbr="8 p." DocPartId="340edd5fa1d745efa34c6e3f3f8499f8" PartId="493689e0234f4d64b399134ccc565e52"/>
      <Part Type="punktas" Nr="9" Abbr="9 p." DocPartId="3ef03f21a09d4847af06fd399b472a4b" PartId="6f2da66caac340a59a1ae88fa3630ac5"/>
    </Part>
    <Part Type="skyrius" Nr="2" Title="SĄVOKOS IR JŲ APIBRĖŽTYS" DocPartId="7e1627da02d5407ea71a56e2528c056b" PartId="c4ebe31700b14fe6be948fe156e209bd">
      <Part Type="punktas" Nr="10" Abbr="10 p." DocPartId="02535cbda3ea4f59a9b940ab6109381d" PartId="3577fcb1cb4343349123fcadb5dfd0df">
        <Part Type="papunktis" Nr="10.1" Abbr="10.1 pp." DocPartId="98f445f8c281497aa02a6ec4e381fd00" PartId="51a9cad48fd643f3826d02a359b21778"/>
        <Part Type="papunktis" Nr="10.2" Abbr="10.2 pp." DocPartId="466f345474c841f4bdc1e630c810ceac" PartId="31d54c83a6de4d80b09430c9d78993d6"/>
        <Part Type="papunktis" Nr="10.3" Abbr="10.3 pp." DocPartId="7ec158b9d2874430b9d33d006173d0e5" PartId="759385bbb6d3468ba54555be5c40bf7d"/>
        <Part Type="papunktis" Nr="10.4" Abbr="10.4 pp." DocPartId="fc126f1c6f374c1e9e7c39f7b8d0ff44" PartId="48c80bdd7a1f49f3ac421606268a3025"/>
      </Part>
    </Part>
    <Part Type="skyrius" Nr="3" Title="PATALPŲ ĮRENGIMO REIKALAVIMAI" DocPartId="becf918ad78e4f929b7027d7a4d9a794" PartId="e3ff9b934a5b4b5ab6764900fdb92c0f">
      <Part Type="punktas" Nr="11" Abbr="11 p." DocPartId="76ceddfabf344737862bc3888b52e059" PartId="1e41a80622af4af29d18d7c52be83107"/>
      <Part Type="punktas" Nr="12" Abbr="12 p." DocPartId="8066ac22e33b44bfa0948ad46a18cba0" PartId="3d5572964901468ea19322645636afaa">
        <Part Type="papunktis" Nr="12.1" Abbr="12.1 pp." DocPartId="cdeb45ce7fc94434aafa047b53ee8d87" PartId="632663f03e294d7bb9510abccfbab50d"/>
        <Part Type="papunktis" Nr="12.2" Abbr="12.2 pp." DocPartId="89c037d22ba946c28bf93136816c89bb" PartId="683e826b2a764494a8bdefbc56e9169a"/>
        <Part Type="papunktis" Nr="12.3" Abbr="12.3 pp." DocPartId="793919dbdb5342069ad53a7700a5991b" PartId="f0cdccfc26a447f7ba0c3e8204e5866d"/>
        <Part Type="papunktis" Nr="12.4" Abbr="12.4 pp." DocPartId="57f767bd4bea40918488ca304da2cab5" PartId="1b68cd1749a845f98ac40fa8b5453328"/>
        <Part Type="papunktis" Nr="12.5" Abbr="12.5 pp." DocPartId="98c7c964ee0b4662b30ae90eef70ea8e" PartId="41edb778c057414c8096f3d4a8909ed0"/>
        <Part Type="papunktis" Nr="12.6" Abbr="12.6 pp." DocPartId="d20e1e59b16f422991b6d9c335af9a2a" PartId="9e556a5da537489a99ded0ce66f93ad0"/>
      </Part>
      <Part Type="punktas" Nr="13" Abbr="13 p." DocPartId="f7a3f92e178a46e0b9e539670c9b518c" PartId="04309205b1c448e0be4b93b1463c30a6">
        <Part Type="papunktis" Nr="13.1" Abbr="13.1 pp." DocPartId="ccd9f00975fd4f25a9c4d765254d6cdd" PartId="cc88017dfa2a4915a65a17814357a9cb"/>
        <Part Type="papunktis" Nr="13.2" Abbr="13.2 pp." DocPartId="e923367e64494cfdb3f077ba01debfb7" PartId="9c0a15c77fa849f6bc0699f1bf8f38f2"/>
      </Part>
      <Part Type="punktas" Nr="14" Abbr="14 p." DocPartId="78ed6003eb6a4475a733e47203a3e097" PartId="f30bb734372945b485f24ab53ec93c5d">
        <Part Type="papunktis" Nr="14.1" Abbr="14.1 pp." DocPartId="c9ed4023acb34f69bc2a3b14cf005ae2" PartId="7e074e38e4cb4d3099cb048141bc7975"/>
        <Part Type="papunktis" Nr="14.2" Abbr="14.2 pp." DocPartId="21d1c8f18a734d0e8c1ec1eff315cb62" PartId="ca01e0dcf49841e5aaf6dd15c00b9b13"/>
      </Part>
      <Part Type="punktas" Nr="15" Abbr="15 p." DocPartId="1f421659b58546ddae7ccc08b3ad031c" PartId="8fb8e93c6057491899ed8347caa09651">
        <Part Type="papunktis" Nr="15.1" Abbr="15.1 pp." DocPartId="7951d1905de541ecaf3784a7b42211d2" PartId="3e8f82ad024e495ea730aece9ba472d6"/>
        <Part Type="papunktis" Nr="15.2" Abbr="15.2 pp." DocPartId="be24de663920426288d28735b3e39d1a" PartId="f2192200b9bf490cbadb9aa64eda4982"/>
        <Part Type="papunktis" Nr="15.3" Abbr="15.3 pp." DocPartId="808c2d8adb3c4e11be1f544506b615da" PartId="8cbfe7532d66436f8f63a122d8dce7df"/>
        <Part Type="papunktis" Nr="15.4" Abbr="15.4 pp." DocPartId="2bad5bf899f442fd9d3d109ececa08e8" PartId="9309763a33544875a30b4595f99f21a6"/>
        <Part Type="papunktis" Nr="15.5" Abbr="15.5 pp." DocPartId="e972063bcf0e4b9fb3f0b9d972ab1f6b" PartId="860df5aec75b46af9d839cc52be63ed7"/>
        <Part Type="papunktis" Nr="15.6" Abbr="15.6 pp." DocPartId="bf3e69e424b1402d83e0efc952ead474" PartId="93d21286b03a4514ae9a79e7b2f4aa58"/>
        <Part Type="papunktis" Nr="15.7" Abbr="15.7 pp." DocPartId="48f20eab97e94cc9b24cd9c90220a518" PartId="c1545a721a4d4392a584caaf1349c82c"/>
        <Part Type="papunktis" Nr="15.8" Abbr="15.8 pp." DocPartId="01ae05156a6442089fffff1e76c08714" PartId="0068a97019574750b4acff6cdc0d0286"/>
      </Part>
      <Part Type="punktas" Nr="16" Abbr="16 p." DocPartId="1d66b9d1f8c24142b1373dc54514aeda" PartId="a1997995299b4a67921795dec3dedabe">
        <Part Type="papunktis" Nr="16.1" Abbr="16.1 pp." DocPartId="cbb04b3ea7ed417ebad7499f1821ed7b" PartId="9e116ba53f6643b287dd1f390c9256d2"/>
        <Part Type="papunktis" Nr="16.2" Abbr="16.2 pp." DocPartId="8132f6d00a6c479cb22f36ed471fcf51" PartId="0c135aa3bdc74e1b890a47c520ba8eaa"/>
        <Part Type="papunktis" Nr="16.3" Abbr="16.3 pp." DocPartId="b6716f13e3bf4496ad81e6de262994fa" PartId="e1f5fe855edd4cf9b5cdb37cc28fe8d7"/>
      </Part>
    </Part>
    <Part Type="skyrius" Nr="4" Title="APŠVIETIMO REIKALAVIMAI" DocPartId="f496d01bdcf8426ab04063d12bab9e75" PartId="7b061df29880435ca69019e8058c93a3">
      <Part Type="punktas" Nr="17" Abbr="17 p." DocPartId="30a2b91c7cce42fc880b6f95ca9d54d2" PartId="342f471158944c1d91e22585d0f0c3d7"/>
      <Part Type="punktas" Nr="18" Abbr="18 p." DocPartId="56af8943777a483297be7c11be7e738b" PartId="d138bb59024c4e31b1ac77f265598370"/>
      <Part Type="punktas" Nr="19" Abbr="19 p." DocPartId="d321fbf986cc43a9ac9006ea39e17eaa" PartId="a278047002424b1b9997e379f77d5649"/>
      <Part Type="punktas" Nr="20" Abbr="20 p." DocPartId="02f46e458bd24b81ab8b8d4b6209bd3d" PartId="ef2945916144447e9226e25d7acada83"/>
    </Part>
    <Part Type="skyrius" Nr="5" Title="MIKROKLIMATO, VĖDINIMO, TRIUKŠMO REIKALAVIMAI" DocPartId="05e8f6d72aea46c5aa84c93ddfb4a11a" PartId="606f2e7d44664db5a92e4adfa414ff07">
      <Part Type="punktas" Nr="21" Abbr="21 p." DocPartId="1b0cb809709449bb9cb4d8c86ebaa4e5" PartId="edb718d446ea4d9ab17c506803171730"/>
      <Part Type="punktas" Nr="22" Abbr="22 p." DocPartId="49cfa66b07b74f14a40b8941c102ba0b" PartId="ed709ace77c944799a6086c6ef8a88ce"/>
      <Part Type="punktas" Nr="23" Abbr="23 p." DocPartId="605e979a52e94df18bf44d73fc8baf2d" PartId="368e0102acd841fd924d534ef5c46fd6"/>
      <Part Type="punktas" Nr="24" Abbr="24 p." DocPartId="0f2957b55d324c76be2b486b187998b5" PartId="8b6285e332aa49fa81891060db9e9543"/>
    </Part>
    <Part Type="skyrius" Nr="6" Title="VANDENS TIEKIMO REIKALAVIMAI" DocPartId="f7293b00c4984c14b31f2ade3ade0d86" PartId="4ae80f6ea10f4c5ebcaf310deaf27257">
      <Part Type="punktas" Nr="25" Abbr="25 p." DocPartId="211f0fd1b9924083b9a9eb3aeecc63ce" PartId="d248953133b54909908e75ee3e12cc62"/>
      <Part Type="punktas" Nr="26" Abbr="26 p." DocPartId="172e6757847f47eb9d68b93e30c0032f" PartId="3008fdb856e849d1a39a2291da0697a9"/>
      <Part Type="punktas" Nr="27" Abbr="27 p." DocPartId="937f61e496c7406a82a930f64830735b" PartId="64ebfd74b74044f9b6f6eb52484cce0a"/>
      <Part Type="punktas" Nr="28" Abbr="28 p." DocPartId="b4e62df8e31f402cb11826e4106f93a3" PartId="86b2594882764efbb12538bb5f1286e2"/>
      <Part Type="punktas" Nr="29" Abbr="29 p." DocPartId="87f0033614d3411185a0a9c82f6992a6" PartId="4bc1e3339130423d83414764d7deb4ec"/>
      <Part Type="punktas" Nr="30" Abbr="30 p." DocPartId="7442ec7646ec4a8fb368dd3f59b1e646" PartId="383f6ae28b6d40c98c0a95378ec860ed"/>
    </Part>
    <Part Type="skyrius" Nr="7" Title="TERITORIJOS, PATALPŲ, ĮRENGINIŲ, INVENTORIAUS PRIEŽIŪROS REIKALAVIMAI" DocPartId="c21a68abff5a4d1ba83cb55f07e47877" PartId="3d717353e18b497fb1e28be52e882473">
      <Part Type="punktas" Nr="31" Abbr="31 p." DocPartId="1b410b65e02741e692f9ded2820af556" PartId="0c1f8540d13e4c9aa355733324a7a439"/>
      <Part Type="punktas" Nr="32" Abbr="32 p." DocPartId="dc79d6f87d6a48e9be6af5a28985ccea" PartId="0f4952d85cab4de3ab7e95390a0ee1ba"/>
      <Part Type="punktas" Nr="33" Abbr="33 p." DocPartId="8d0a8c2548ea47699611f4ebf7c0ed5f" PartId="e47c43ad9dd74c2099c6c8a4f5458aad"/>
      <Part Type="punktas" Nr="34" Abbr="34 p." DocPartId="694bb50dd32d451fbe26adbe85e8c485" PartId="0040002201554f46ae8c2fe06eef10b4"/>
      <Part Type="punktas" Nr="35" Abbr="35 p." DocPartId="ab287069bf7249649155441644a25619" PartId="e77dc7acbe8b4166b2abcfc4e6ddca53"/>
      <Part Type="punktas" Nr="36" Abbr="36 p." DocPartId="9071e6cb3f86412e85ef82fd4afa0b53" PartId="bc59cbe98c5140a987357e7892f5c4e1"/>
      <Part Type="punktas" Nr="37" Abbr="37 p." DocPartId="dca11cc452c0480aafd0835918a73263" PartId="0cbde308550042e896cd74b84ac4edc9"/>
      <Part Type="punktas" Nr="38" Abbr="38 p." DocPartId="fca97d04c80f41e49bffdc6c716d13d2" PartId="e4ac5aa46b844adf962172f62dd0e6ac"/>
      <Part Type="punktas" Nr="39" Abbr="39 p." DocPartId="22b684c2f082422a9cd7e0c1682d004b" PartId="20c44ddaaa9b406b9c6391505af10142"/>
      <Part Type="punktas" Nr="40" Abbr="40 p." DocPartId="f5891fbb8c0d4e3d99318aeded8cfb3d" PartId="11632f23872848b0899e56b9911a7fe4"/>
      <Part Type="punktas" Nr="41" Abbr="41 p." DocPartId="8be4c1d4711045ab805d5b7fe490b573" PartId="f2269cad05994344b49d3e1fb6c13bb9"/>
      <Part Type="punktas" Nr="42" Abbr="42 p." DocPartId="3cba5aa00d6c4aa2b42503f499aed876" PartId="115fcfd955d64bb69693eda3a6a0f29e"/>
    </Part>
    <Part Type="skyrius" Nr="8" Title="MAITINIMO IR PAGALBOS PASLAUGŲ GAVĖJAMS ORGANIZAVIMO REIKALAVIMAI" DocPartId="accef866846f4e969910bb88c308fa38" PartId="1aa028f430e84248b49af2e6a7ce7e8a">
      <Part Type="punktas" Nr="43" Abbr="43 p." DocPartId="20f1be3734d14a0496d72aa885e462d5" PartId="5a16d5ab4a1b4589aa08929348da0384"/>
      <Part Type="punktas" Nr="44" Abbr="44 p." DocPartId="cb666a341f3945b9ac93c0353f9860ee" PartId="961d1c3c08414e4fa9b4da9719a2c665"/>
      <Part Type="punktas" Nr="45" Abbr="45 p." DocPartId="74b5de94aa404a6ca584afc982ff5c1a" PartId="400e9164811d42fa956155cbe046b67f"/>
    </Part>
    <Part Type="pabaiga" DocPartId="f0755c6fde2f43a2aff2b6bc927dabf0" PartId="ee7cd8e0f47e48a6878fef643bc9a751"/>
  </Part>
  <Part Type="priedas" Abbr="pr." DocPartId="0ca7e644ecbb4874bf40ee3a1a14cb7c" PartId="073652777f9541fd86026edf20622d5e">
    <Part Type="skirsnis" Title="PROFILAKTINIŲ (TECHNINIŲ) PRIEMONIŲ (DARBŲ) REGISTRACIJOS ŽURNALAS" DocPartId="f382fbbbc81b4f0d855b6d62f3a04b4c" PartId="c999ae9566304b2f9b3e98cc07df6740"/>
    <Part Type="pabaiga" DocPartId="fe300f9fc89c4bf1a96dcc62ca12b88e" PartId="16ed97c154a24e76a8a310f727c4f575"/>
  </Part>
</Parts>
</file>

<file path=customXml/itemProps1.xml><?xml version="1.0" encoding="utf-8"?>
<ds:datastoreItem xmlns:ds="http://schemas.openxmlformats.org/officeDocument/2006/customXml" ds:itemID="{3BFFBDD2-62B8-4A66-876D-78B378DD56A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3004</Words>
  <Characters>21330</Characters>
  <Application>Microsoft Office Word</Application>
  <DocSecurity>4</DocSecurity>
  <Lines>484</Lines>
  <Paragraphs>178</Paragraphs>
  <ScaleCrop>false</ScaleCrop>
  <HeadingPairs>
    <vt:vector size="2" baseType="variant">
      <vt:variant>
        <vt:lpstr>Pavadinimas</vt:lpstr>
      </vt:variant>
      <vt:variant>
        <vt:i4>1</vt:i4>
      </vt:variant>
    </vt:vector>
  </HeadingPairs>
  <TitlesOfParts>
    <vt:vector size="1" baseType="lpstr">
      <vt:lpstr>LIETUVOS RESPUBLIKOS SVEIKATOS APSAUGOS MINISTRO,</vt:lpstr>
    </vt:vector>
  </TitlesOfParts>
  <Company>LR Seimas</Company>
  <LinksUpToDate>false</LinksUpToDate>
  <CharactersWithSpaces>24156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2019-05-09T11:56:00Z</dcterms:created>
  <dc:creator>daskai</dc:creator>
  <lastModifiedBy>adlibuser</lastModifiedBy>
  <lastPrinted>2019-02-14T12:40:00Z</lastPrinted>
  <dcterms:modified xsi:type="dcterms:W3CDTF">2019-05-09T11:56:00Z</dcterms:modified>
  <revision>2</revision>
  <dc:title>LIETUVOS RESPUBLIKOS SVEIKATOS APSAUGOS MINISTRO,</dc:title>
</coreProperties>
</file>