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1df6c01f1f3b4d11868927be959be145"/>
        <w:lock w:val="sdtLocked"/>
        <w:richText/>
      </w:sdtPr>
      <w:sdtContent>
        <w:tbl>
          <w:tblPr>
            <w:tblW w:w="9403" w:type="dxa"/>
            <w:jc w:val="center"/>
            <w:tblLayout w:type="fixed"/>
            <w:tblLook w:val="0000" w:firstRow="0" w:lastRow="0" w:firstColumn="0" w:lastColumn="0" w:noHBand="0" w:noVBand="0"/>
          </w:tblPr>
          <w:tblGrid>
            <w:gridCol w:w="2835"/>
            <w:gridCol w:w="4253"/>
            <w:gridCol w:w="2315"/>
          </w:tblGrid>
          <w:tr>
            <w:trPr>
              <w:jc w:val="center"/>
            </w:trPr>
            <w:tc>
              <w:tcPr>
                <w:tcW w:w="2835" w:type="dxa"/>
              </w:tcPr>
              <w:p>
                <w:pPr>
                  <w:tabs>
                    <w:tab w:val="center" w:pos="4153"/>
                    <w:tab w:val="right" w:pos="8306"/>
                  </w:tabs>
                  <w:rPr>
                    <w:sz w:val="20"/>
                    <w:lang w:eastAsia="lt-LT"/>
                  </w:rPr>
                </w:pPr>
              </w:p>
              <w:p>
                <w:pPr>
                  <w:rPr>
                    <w:sz w:val="20"/>
                    <w:lang w:eastAsia="lt-LT"/>
                  </w:rPr>
                </w:pPr>
              </w:p>
            </w:tc>
            <w:tc>
              <w:tcPr>
                <w:tcW w:w="4253" w:type="dxa"/>
              </w:tcPr>
              <w:p>
                <w:pPr>
                  <w:jc w:val="center"/>
                  <w:rPr>
                    <w:sz w:val="20"/>
                    <w:lang w:eastAsia="lt-LT"/>
                  </w:rPr>
                </w:pPr>
              </w:p>
              <w:p>
                <w:pPr>
                  <w:jc w:val="center"/>
                  <w:rPr>
                    <w:sz w:val="20"/>
                    <w:lang w:eastAsia="lt-LT"/>
                  </w:rPr>
                </w:pPr>
              </w:p>
            </w:tc>
            <w:tc>
              <w:tcPr>
                <w:tcW w:w="2315" w:type="dxa"/>
              </w:tcPr>
              <w:p>
                <w:pPr>
                  <w:tabs>
                    <w:tab w:val="center" w:pos="4153"/>
                    <w:tab w:val="right" w:pos="8306"/>
                  </w:tabs>
                  <w:rPr>
                    <w:b/>
                    <w:szCs w:val="24"/>
                    <w:lang w:eastAsia="lt-LT"/>
                  </w:rPr>
                </w:pPr>
                <w:r>
                  <w:rPr>
                    <w:b/>
                    <w:szCs w:val="24"/>
                    <w:lang w:eastAsia="lt-LT"/>
                  </w:rPr>
                  <w:t>Projektas</w:t>
                </w:r>
              </w:p>
            </w:tc>
          </w:tr>
        </w:tbl>
        <w:sdt>
          <w:sdtPr>
            <w:alias w:val="skirsnis"/>
            <w:tag w:val="part_bcdae0528f834ccb9c9771aae9440cb9"/>
            <w:lock w:val="sdtLocked"/>
            <w:richText/>
          </w:sdtPr>
          <w:sdtContent>
            <w:p>
              <w:pPr>
                <w:jc w:val="center"/>
                <w:rPr>
                  <w:b/>
                  <w:szCs w:val="24"/>
                  <w:lang w:eastAsia="lt-LT"/>
                </w:rPr>
              </w:pPr>
              <w:sdt>
                <w:sdtPr>
                  <w:alias w:val="Pavadinimas"/>
                  <w:tag w:val="title_bcdae0528f834ccb9c9771aae9440cb9"/>
                  <w:lock w:val="sdtLocked"/>
                  <w:richText/>
                </w:sdtPr>
                <w:sdtContent>
                  <w:r>
                    <w:rPr>
                      <w:b/>
                      <w:szCs w:val="24"/>
                      <w:lang w:eastAsia="lt-LT"/>
                    </w:rPr>
                    <w:t>LIETUVOS RESPUBLIKOS SUSISIEKIMO MINISTRAS</w:t>
                  </w:r>
                </w:sdtContent>
              </w:sdt>
            </w:p>
            <w:p>
              <w:pPr>
                <w:jc w:val="center"/>
                <w:rPr>
                  <w:b/>
                  <w:szCs w:val="24"/>
                  <w:lang w:eastAsia="lt-LT"/>
                </w:rPr>
              </w:pPr>
            </w:p>
          </w:sdtContent>
        </w:sdt>
        <w:sdt>
          <w:sdtPr>
            <w:alias w:val="skirsnis"/>
            <w:tag w:val="part_c96e4db9aad34de3a72f2c671ef84c59"/>
            <w:lock w:val="sdtLocked"/>
            <w:richText/>
          </w:sdtPr>
          <w:sdtContent>
            <w:sdt>
              <w:sdtPr>
                <w:alias w:val="Pavadinimas"/>
                <w:tag w:val="title_c96e4db9aad34de3a72f2c671ef84c59"/>
                <w:lock w:val="sdtLocked"/>
                <w:richText/>
              </w:sdtPr>
              <w:sdtContent>
                <w:p>
                  <w:pPr>
                    <w:jc w:val="center"/>
                    <w:rPr>
                      <w:b/>
                      <w:szCs w:val="24"/>
                      <w:lang w:eastAsia="lt-LT"/>
                    </w:rPr>
                  </w:pPr>
                  <w:r>
                    <w:rPr>
                      <w:b/>
                      <w:szCs w:val="24"/>
                      <w:lang w:eastAsia="lt-LT"/>
                    </w:rPr>
                    <w:t>ĮSAKYMAS</w:t>
                  </w:r>
                </w:p>
                <w:p>
                  <w:pPr>
                    <w:jc w:val="center"/>
                    <w:rPr>
                      <w:b/>
                      <w:szCs w:val="24"/>
                      <w:lang w:eastAsia="lt-LT"/>
                    </w:rPr>
                  </w:pPr>
                  <w:r>
                    <w:rPr>
                      <w:b/>
                      <w:szCs w:val="24"/>
                      <w:lang w:eastAsia="lt-LT"/>
                    </w:rPr>
                    <w:t xml:space="preserve">DĖL LIETUVOS RESPUBLIKOS SUSISIEKIMO MINISTRO 2016 M. LAPKRIČIO 11 D. ĮSAKYMO NR. 3-379(1.5 E) „DĖL 2014–2020 METŲ EUROPOS SĄJUNGOS FONDŲ INVESTICIJŲ VEIKSMŲ PROGRAMOS 2 PRIORITETO „INFORMACINĖS VISUOMENĖS SKATINIMAS“ </w:t>
                  </w:r>
                  <w:r>
                    <w:rPr>
                      <w:b/>
                      <w:bCs/>
                      <w:szCs w:val="24"/>
                      <w:lang w:eastAsia="lt-LT"/>
                    </w:rPr>
                    <w:t>J06-CPVA-V PRIEMONĖS „IRT INFRASTRUKTŪROS OPTIMIZAVIMAS IR SAUGA“ PROJEKTŲ FINANSAVIMO SĄLYGŲ APRAŠO NR. 1 PATVIRTINIMO</w:t>
                  </w:r>
                  <w:r>
                    <w:rPr>
                      <w:b/>
                      <w:szCs w:val="24"/>
                      <w:lang w:eastAsia="lt-LT"/>
                    </w:rPr>
                    <w:t>“ PAKEITIMO</w:t>
                  </w:r>
                </w:p>
              </w:sdtContent>
            </w:sdt>
            <w:p>
              <w:pPr>
                <w:jc w:val="center"/>
                <w:rPr>
                  <w:szCs w:val="24"/>
                  <w:lang w:eastAsia="lt-LT"/>
                </w:rPr>
              </w:pPr>
            </w:p>
            <w:p>
              <w:pPr>
                <w:jc w:val="center"/>
                <w:rPr>
                  <w:szCs w:val="24"/>
                  <w:lang w:eastAsia="lt-LT"/>
                </w:rPr>
              </w:pPr>
              <w:r>
                <w:rPr>
                  <w:szCs w:val="24"/>
                  <w:lang w:eastAsia="lt-LT"/>
                </w:rPr>
                <w:t xml:space="preserve">_____________ Nr. </w:t>
              </w:r>
            </w:p>
            <w:p>
              <w:pPr>
                <w:spacing w:line="360" w:lineRule="auto"/>
                <w:jc w:val="center"/>
                <w:rPr>
                  <w:szCs w:val="24"/>
                  <w:lang w:eastAsia="lt-LT"/>
                </w:rPr>
              </w:pPr>
              <w:r>
                <w:rPr>
                  <w:szCs w:val="24"/>
                  <w:lang w:eastAsia="lt-LT"/>
                </w:rPr>
                <w:t>Vilnius</w:t>
              </w:r>
            </w:p>
            <w:p>
              <w:pPr>
                <w:tabs>
                  <w:tab w:val="left" w:pos="720"/>
                </w:tabs>
                <w:ind w:firstLine="709"/>
                <w:jc w:val="both"/>
                <w:rPr>
                  <w:szCs w:val="24"/>
                  <w:lang w:eastAsia="lt-LT"/>
                </w:rPr>
              </w:pPr>
              <w:r>
                <w:rPr>
                  <w:szCs w:val="24"/>
                  <w:lang w:eastAsia="lt-LT"/>
                </w:rPr>
                <w:t xml:space="preserve">P a k e i č i u 2014–2020 metų Europos Sąjungos fondų investicijų veiksmų programos 2 prioriteto „Informacinės visuomenės skatinimas“ J06-CPVA-V priemonės „IRT infrastruktūros optimizavimas ir sauga“ projektų finansavimo sąlygų aprašą Nr. 1, patvirtintą Lietuvos Respublikos susisiekimo ministro 2016 m. lapkričio 11 d. įsakymu Nr. 3-379(1.5 E) „Dėl 2014–2020 metų Europos Sąjungos fondų investicijų veiksmų programos 2 prioriteto „Informacinės visuomenės skatinimas“ J06-CPVA-V priemonės „IRT infrastruktūros optimizavimas ir sauga“ projektų finansavimo sąlygų aprašo Nr. 1 patvirtinimo“: </w:t>
              </w:r>
            </w:p>
            <w:sdt>
              <w:sdtPr>
                <w:alias w:val="1 p."/>
                <w:tag w:val="part_23098ca92eb341c8a58706090a74a4ff"/>
                <w:lock w:val="sdtLocked"/>
                <w:richText/>
              </w:sdtPr>
              <w:sdtContent>
                <w:p>
                  <w:pPr>
                    <w:tabs>
                      <w:tab w:val="left" w:pos="720"/>
                    </w:tabs>
                    <w:ind w:firstLine="709"/>
                    <w:jc w:val="both"/>
                    <w:rPr>
                      <w:szCs w:val="24"/>
                      <w:lang w:eastAsia="lt-LT"/>
                    </w:rPr>
                  </w:pPr>
                  <w:sdt>
                    <w:sdtPr>
                      <w:alias w:val="Numeris"/>
                      <w:tag w:val="nr_23098ca92eb341c8a58706090a74a4ff"/>
                      <w:lock w:val="sdtLocked"/>
                      <w:richText/>
                    </w:sdtPr>
                    <w:sdtContent>
                      <w:r>
                        <w:rPr>
                          <w:szCs w:val="24"/>
                          <w:lang w:eastAsia="lt-LT"/>
                        </w:rPr>
                        <w:t>1</w:t>
                      </w:r>
                    </w:sdtContent>
                  </w:sdt>
                  <w:r>
                    <w:rPr>
                      <w:szCs w:val="24"/>
                      <w:lang w:eastAsia="lt-LT"/>
                    </w:rPr>
                    <w:t>. Pakeičiu 8 punktą ir jį išdėstau taip:</w:t>
                  </w:r>
                </w:p>
                <w:sdt>
                  <w:sdtPr>
                    <w:alias w:val="citata"/>
                    <w:tag w:val="part_0cfa35fbd9ee417b9ca7b32d8ef2d8db"/>
                    <w:lock w:val="sdtLocked"/>
                    <w:richText/>
                  </w:sdtPr>
                  <w:sdtContent>
                    <w:sdt>
                      <w:sdtPr>
                        <w:alias w:val="8 p."/>
                        <w:tag w:val="part_69984fd8d748473c873d36abf6ad983e"/>
                        <w:lock w:val="sdtLocked"/>
                        <w:richText/>
                      </w:sdtPr>
                      <w:sdtContent>
                        <w:p>
                          <w:pPr>
                            <w:tabs>
                              <w:tab w:val="left" w:pos="709"/>
                              <w:tab w:val="left" w:pos="1276"/>
                            </w:tabs>
                            <w:ind w:firstLine="709"/>
                            <w:jc w:val="both"/>
                            <w:rPr>
                              <w:szCs w:val="24"/>
                              <w:lang w:eastAsia="lt-LT"/>
                            </w:rPr>
                          </w:pPr>
                          <w:r>
                            <w:rPr>
                              <w:szCs w:val="24"/>
                              <w:lang w:eastAsia="lt-LT"/>
                            </w:rPr>
                            <w:t>„</w:t>
                          </w:r>
                          <w:sdt>
                            <w:sdtPr>
                              <w:alias w:val="Numeris"/>
                              <w:tag w:val="nr_69984fd8d748473c873d36abf6ad983e"/>
                              <w:lock w:val="sdtLocked"/>
                              <w:richText/>
                            </w:sdtPr>
                            <w:sdtContent>
                              <w:r>
                                <w:rPr>
                                  <w:szCs w:val="24"/>
                                  <w:lang w:eastAsia="lt-LT"/>
                                </w:rPr>
                                <w:t>8</w:t>
                              </w:r>
                            </w:sdtContent>
                          </w:sdt>
                          <w:r>
                            <w:rPr>
                              <w:szCs w:val="24"/>
                              <w:lang w:eastAsia="lt-LT"/>
                            </w:rPr>
                            <w:t>. Pagal Aprašą projektams įgyvendinti numatoma skirti iki 35 720 605 (trisdešimt penkių milijonų septynių šimtų dvidešimt tūkstančių šešių šimtų penkių) eurų, iš kurių iki 30 362 514 (trisdešimt milijonų trijų šimtų šešiasdešimt dviejų tūkstančių penkių šimtų keturiolikos) eurų – Europos Sąjungos (toliau – ES) Europos regioninės plėtros fondo lėšos, iki 5 358 091 (penkių milijonų trijų šimtų penkiasdešimt aštuonių tūkstančių devyniasdešimt vieno) euro – Lietuvos Respublikos valstybės biudžeto lėšos (taikoma Aprašo 10.1 papunktyje numatytai veiklai); iki 2 546 990 (dviejų milijonų penkių šimtų keturiasdešimt šešių tūkstančių devynių šimtų devyniasdešimt) eurų, iš kurių iki 2 164 941 (dviejų milijonų vieno šimto šešiasdešimt keturių tūkstančių devynių šimtų keturiasdešimt vieno) euro – ES Europos regioninės plėtros fondo lėšos, iki 382 049 (trijų šimtų aštuoniasdešimt dviejų tūkstančių keturiasdešimt devynių) eurų – Lietuvos Respublikos valstybės biudžeto lėšos (taikoma Aprašo 10.2 papunktyje numatytai veiklai); iki 8 895 665 (aštuonių milijonų aštuonių šimtų devyniasdešimt penkių tūkstančių šešių šimtų šešiasdešimt penkių) eurų, iš kurių iki 7 561 315 (septynių milijonų penkių šimtų šešiasdešimt vieno tūkstančio trijų šimtų penkiolikos) eurų – ES Europos regioninės plėtros fondo lėšos, iki 1 334 350 (vieno milijono trijų šimtų trisdešimt keturių tūkstančių trijų šimtų penkiasdešimt) eurų – Lietuvos Respublikos valstybės biudžeto lėšos (taikoma Aprašo 10.3 papunktyje numatytai veiklai). Iki 32 527 455 (trisdešimt dviejų milijonų penkių šimtų dvidešimt septynių tūkstančių keturių šimtų penkiasdešimt penkių) eurų ES Europos regioninės plėtros fondo lėšų ir iki 5 740 140 (penkių milijonų septynių šimtų keturiasdešimt tūkstančių vieno šimto keturiasdešimt) eurų Lietuvos Respublikos valstybės biudžeto lėšų skiriama pagal priemonę Nr. 02.3.1-CPVA-V-530 „IRT infrastruktūros optimizavimas ir sauga“. Iki 7 561 315 (septynių milijonų penkių šimtų šešiasdešimt vieno tūkstančio trijų šimtų penkiolikos) eurų ES Europos regioninės plėtros fondo lėšų ir iki 1 334 350 (vieno milijono trijų šimtų trisdešimt keturių tūkstančių trijų šimtų penkiasdešimt) eurų Lietuvos Respublikos valstybės biudžeto lėšų skiriama pagal priemonę Nr. 02.1.2-CPVA-V-522 „IRT infrastruktūros optimizavimas ir sauga“.“</w:t>
                          </w:r>
                        </w:p>
                      </w:sdtContent>
                    </w:sdt>
                  </w:sdtContent>
                </w:sdt>
              </w:sdtContent>
            </w:sdt>
            <w:sdt>
              <w:sdtPr>
                <w:alias w:val="2 p."/>
                <w:tag w:val="part_adb45446faf043c6a85f515059ea6fcd"/>
                <w:lock w:val="sdtLocked"/>
                <w:richText/>
              </w:sdtPr>
              <w:sdtContent>
                <w:p>
                  <w:pPr>
                    <w:tabs>
                      <w:tab w:val="left" w:pos="709"/>
                      <w:tab w:val="left" w:pos="1276"/>
                    </w:tabs>
                    <w:ind w:firstLine="709"/>
                    <w:jc w:val="both"/>
                    <w:rPr>
                      <w:szCs w:val="24"/>
                      <w:lang w:eastAsia="lt-LT"/>
                    </w:rPr>
                  </w:pPr>
                  <w:sdt>
                    <w:sdtPr>
                      <w:alias w:val="Numeris"/>
                      <w:tag w:val="nr_adb45446faf043c6a85f515059ea6fcd"/>
                      <w:lock w:val="sdtLocked"/>
                      <w:richText/>
                    </w:sdtPr>
                    <w:sdtContent>
                      <w:r>
                        <w:rPr>
                          <w:szCs w:val="24"/>
                          <w:lang w:eastAsia="lt-LT"/>
                        </w:rPr>
                        <w:t>2</w:t>
                      </w:r>
                    </w:sdtContent>
                  </w:sdt>
                  <w:r>
                    <w:rPr>
                      <w:szCs w:val="24"/>
                      <w:lang w:eastAsia="lt-LT"/>
                    </w:rPr>
                    <w:t>. Papildau 10.3 papunkčiu:</w:t>
                  </w:r>
                </w:p>
                <w:sdt>
                  <w:sdtPr>
                    <w:alias w:val="citata"/>
                    <w:tag w:val="part_50f5cca373854a7c9c3f53d6ca5e0e06"/>
                    <w:lock w:val="sdtLocked"/>
                    <w:richText/>
                  </w:sdtPr>
                  <w:sdtContent>
                    <w:sdt>
                      <w:sdtPr>
                        <w:alias w:val="10.3 pp."/>
                        <w:tag w:val="part_f5747325bbdb467d80eeaf83b4fd6500"/>
                        <w:lock w:val="sdtLocked"/>
                        <w:richText/>
                      </w:sdtPr>
                      <w:sdtContent>
                        <w:p>
                          <w:pPr>
                            <w:tabs>
                              <w:tab w:val="left" w:pos="709"/>
                              <w:tab w:val="left" w:pos="1276"/>
                            </w:tabs>
                            <w:ind w:firstLine="709"/>
                            <w:jc w:val="both"/>
                            <w:rPr>
                              <w:szCs w:val="24"/>
                              <w:lang w:eastAsia="lt-LT"/>
                            </w:rPr>
                          </w:pPr>
                          <w:r>
                            <w:rPr>
                              <w:szCs w:val="24"/>
                              <w:lang w:eastAsia="lt-LT"/>
                            </w:rPr>
                            <w:t>„</w:t>
                          </w:r>
                          <w:sdt>
                            <w:sdtPr>
                              <w:alias w:val="Numeris"/>
                              <w:tag w:val="nr_f5747325bbdb467d80eeaf83b4fd6500"/>
                              <w:lock w:val="sdtLocked"/>
                              <w:richText/>
                            </w:sdtPr>
                            <w:sdtContent>
                              <w:r>
                                <w:rPr>
                                  <w:szCs w:val="24"/>
                                  <w:lang w:eastAsia="lt-LT"/>
                                </w:rPr>
                                <w:t>10.3</w:t>
                              </w:r>
                            </w:sdtContent>
                          </w:sdt>
                          <w:r>
                            <w:rPr>
                              <w:szCs w:val="24"/>
                              <w:lang w:eastAsia="lt-LT"/>
                            </w:rPr>
                            <w:t>.</w:t>
                            <w:tab/>
                            <w:t xml:space="preserve">Pagal priemonę Nr. 02.1.2-CPVA-V-522 „IRT infrastruktūros optimizavimas ir sauga“  – ypatingos svarbos valstybės IRT infrastruktūros apsaugos priemonių diegimas (ypatingai svarbios informacinės infrastruktūros objektų identifikavimas; šių objektų stebėsenos metodikos ir priemonių jai vykdyti sukūrimas ir įdiegimas; ypatingos svarbos informacinės infrastruktūros ir valstybės informacinių išteklių apsaugos technologinių priemonių ir sprendimų kūrimas ir diegimas (toliau – III veiklų grupė; galima veiklos vykdytoja yra Lietuvos Respublikos krašto apsaugos ministerija).“</w:t>
                          </w:r>
                        </w:p>
                      </w:sdtContent>
                    </w:sdt>
                  </w:sdtContent>
                </w:sdt>
              </w:sdtContent>
            </w:sdt>
            <w:sdt>
              <w:sdtPr>
                <w:alias w:val="3 p."/>
                <w:tag w:val="part_d1b21d49fdce47169dc0f059edc62947"/>
                <w:lock w:val="sdtLocked"/>
                <w:richText/>
              </w:sdtPr>
              <w:sdtContent>
                <w:p>
                  <w:pPr>
                    <w:tabs>
                      <w:tab w:val="left" w:pos="709"/>
                      <w:tab w:val="left" w:pos="1276"/>
                    </w:tabs>
                    <w:ind w:firstLine="709"/>
                    <w:jc w:val="both"/>
                    <w:rPr>
                      <w:szCs w:val="24"/>
                      <w:lang w:eastAsia="lt-LT"/>
                    </w:rPr>
                  </w:pPr>
                  <w:sdt>
                    <w:sdtPr>
                      <w:alias w:val="Numeris"/>
                      <w:tag w:val="nr_d1b21d49fdce47169dc0f059edc62947"/>
                      <w:lock w:val="sdtLocked"/>
                      <w:richText/>
                    </w:sdtPr>
                    <w:sdtContent>
                      <w:r>
                        <w:rPr>
                          <w:szCs w:val="24"/>
                          <w:lang w:eastAsia="lt-LT"/>
                        </w:rPr>
                        <w:t>3</w:t>
                      </w:r>
                    </w:sdtContent>
                  </w:sdt>
                  <w:r>
                    <w:rPr>
                      <w:szCs w:val="24"/>
                      <w:lang w:eastAsia="lt-LT"/>
                    </w:rPr>
                    <w:t>. Pakeičiu 12 punktą ir jį išdėstau taip:</w:t>
                  </w:r>
                </w:p>
                <w:sdt>
                  <w:sdtPr>
                    <w:alias w:val="citata"/>
                    <w:tag w:val="part_1e985534bb664aaf9f5d6aed3b82f8eb"/>
                    <w:lock w:val="sdtLocked"/>
                    <w:richText/>
                  </w:sdtPr>
                  <w:sdtContent>
                    <w:sdt>
                      <w:sdtPr>
                        <w:alias w:val="12 p."/>
                        <w:tag w:val="part_baa29db4254747c18a14050b5da61269"/>
                        <w:lock w:val="sdtLocked"/>
                        <w:richText/>
                      </w:sdtPr>
                      <w:sdtContent>
                        <w:p>
                          <w:pPr>
                            <w:tabs>
                              <w:tab w:val="left" w:pos="709"/>
                              <w:tab w:val="left" w:pos="1276"/>
                            </w:tabs>
                            <w:ind w:firstLine="709"/>
                            <w:jc w:val="both"/>
                            <w:rPr>
                              <w:szCs w:val="24"/>
                              <w:lang w:eastAsia="lt-LT"/>
                            </w:rPr>
                          </w:pPr>
                          <w:r>
                            <w:rPr>
                              <w:szCs w:val="24"/>
                              <w:lang w:eastAsia="lt-LT"/>
                            </w:rPr>
                            <w:t>„</w:t>
                          </w:r>
                          <w:sdt>
                            <w:sdtPr>
                              <w:alias w:val="Numeris"/>
                              <w:tag w:val="nr_baa29db4254747c18a14050b5da61269"/>
                              <w:lock w:val="sdtLocked"/>
                              <w:richText/>
                            </w:sdtPr>
                            <w:sdtContent>
                              <w:r>
                                <w:rPr>
                                  <w:szCs w:val="24"/>
                                  <w:lang w:eastAsia="lt-LT"/>
                                </w:rPr>
                                <w:t>12</w:t>
                              </w:r>
                            </w:sdtContent>
                          </w:sdt>
                          <w:r>
                            <w:rPr>
                              <w:szCs w:val="24"/>
                              <w:lang w:eastAsia="lt-LT"/>
                            </w:rPr>
                            <w:t>. Pagal Aprašą galimi pareiškėjai yra Informacinės visuomenės plėtros komitetas prie Susisiekimo ministerijos (vykdant I veiklų grupėje nurodytas veiklas), Valstybinė mokesčių inspekcija prie Lietuvos Respublikos finansų ministerijos (vykdant II veiklų grupėje nurodytas veiklas), Lietuvos Respublikos krašto apsaugos ministerija (vykdant III veiklų grupėje nurodytas veiklas), galima partnerė vykdant III veiklų grupėje nurodytas veiklas yra valstybės įmonė „Infostruktūra“.“</w:t>
                          </w:r>
                        </w:p>
                      </w:sdtContent>
                    </w:sdt>
                  </w:sdtContent>
                </w:sdt>
              </w:sdtContent>
            </w:sdt>
            <w:sdt>
              <w:sdtPr>
                <w:alias w:val="4 p."/>
                <w:tag w:val="part_7644787be8f644d1859b926e3bd5310c"/>
                <w:lock w:val="sdtLocked"/>
                <w:richText/>
              </w:sdtPr>
              <w:sdtContent>
                <w:p>
                  <w:pPr>
                    <w:tabs>
                      <w:tab w:val="left" w:pos="709"/>
                      <w:tab w:val="left" w:pos="1276"/>
                    </w:tabs>
                    <w:ind w:firstLine="709"/>
                    <w:jc w:val="both"/>
                    <w:rPr>
                      <w:szCs w:val="24"/>
                      <w:lang w:eastAsia="lt-LT"/>
                    </w:rPr>
                  </w:pPr>
                  <w:sdt>
                    <w:sdtPr>
                      <w:alias w:val="Numeris"/>
                      <w:tag w:val="nr_7644787be8f644d1859b926e3bd5310c"/>
                      <w:lock w:val="sdtLocked"/>
                      <w:richText/>
                    </w:sdtPr>
                    <w:sdtContent>
                      <w:r>
                        <w:rPr>
                          <w:szCs w:val="24"/>
                          <w:lang w:eastAsia="lt-LT"/>
                        </w:rPr>
                        <w:t>4</w:t>
                      </w:r>
                    </w:sdtContent>
                  </w:sdt>
                  <w:r>
                    <w:rPr>
                      <w:szCs w:val="24"/>
                      <w:lang w:eastAsia="lt-LT"/>
                    </w:rPr>
                    <w:t>. Pakeičiu 14 punktą ir jį išdėstau taip:</w:t>
                  </w:r>
                </w:p>
                <w:sdt>
                  <w:sdtPr>
                    <w:alias w:val="citata"/>
                    <w:tag w:val="part_5e9f0f8214954dd5bde5e6928078aad5"/>
                    <w:lock w:val="sdtLocked"/>
                    <w:richText/>
                  </w:sdtPr>
                  <w:sdtContent>
                    <w:sdt>
                      <w:sdtPr>
                        <w:alias w:val="14 p."/>
                        <w:tag w:val="part_ffdaff7337c240d9908d078a4770cea7"/>
                        <w:lock w:val="sdtLocked"/>
                        <w:richText/>
                      </w:sdtPr>
                      <w:sdtContent>
                        <w:p>
                          <w:pPr>
                            <w:tabs>
                              <w:tab w:val="left" w:pos="709"/>
                              <w:tab w:val="left" w:pos="1276"/>
                            </w:tabs>
                            <w:ind w:firstLine="709"/>
                            <w:jc w:val="both"/>
                            <w:rPr>
                              <w:szCs w:val="24"/>
                              <w:lang w:eastAsia="lt-LT"/>
                            </w:rPr>
                          </w:pPr>
                          <w:r>
                            <w:rPr>
                              <w:szCs w:val="24"/>
                              <w:lang w:eastAsia="lt-LT"/>
                            </w:rPr>
                            <w:t>„</w:t>
                          </w:r>
                          <w:sdt>
                            <w:sdtPr>
                              <w:alias w:val="Numeris"/>
                              <w:tag w:val="nr_ffdaff7337c240d9908d078a4770cea7"/>
                              <w:lock w:val="sdtLocked"/>
                              <w:richText/>
                            </w:sdtPr>
                            <w:sdtContent>
                              <w:r>
                                <w:rPr>
                                  <w:szCs w:val="24"/>
                                  <w:lang w:eastAsia="lt-LT"/>
                                </w:rPr>
                                <w:t>14</w:t>
                              </w:r>
                            </w:sdtContent>
                          </w:sdt>
                          <w:r>
                            <w:rPr>
                              <w:szCs w:val="24"/>
                              <w:lang w:eastAsia="lt-LT"/>
                            </w:rPr>
                            <w:t>. Projektas turi atitikti šiuos specialiuosius projektų atrankos kriterijus, patvirtintus Veiksmų programos stebėsenos komiteto 2018 m. vasario 22 d. posėdžio nutarimu Nr. 44P-1 (31) ir 2018 m. birželio 14 d. posėdžio nutarimu Nr. 44P-1 (33):</w:t>
                          </w:r>
                        </w:p>
                        <w:sdt>
                          <w:sdtPr>
                            <w:alias w:val="14.1 pp."/>
                            <w:tag w:val="part_0dae5d504335422ba38d9229a564f479"/>
                            <w:lock w:val="sdtLocked"/>
                            <w:richText/>
                          </w:sdtPr>
                          <w:sdtContent>
                            <w:p>
                              <w:pPr>
                                <w:tabs>
                                  <w:tab w:val="left" w:pos="709"/>
                                  <w:tab w:val="left" w:pos="1276"/>
                                </w:tabs>
                                <w:ind w:firstLine="709"/>
                                <w:jc w:val="both"/>
                                <w:rPr>
                                  <w:szCs w:val="24"/>
                                  <w:lang w:eastAsia="lt-LT"/>
                                </w:rPr>
                              </w:pPr>
                              <w:sdt>
                                <w:sdtPr>
                                  <w:alias w:val="Numeris"/>
                                  <w:tag w:val="nr_0dae5d504335422ba38d9229a564f479"/>
                                  <w:lock w:val="sdtLocked"/>
                                  <w:richText/>
                                </w:sdtPr>
                                <w:sdtContent>
                                  <w:r>
                                    <w:rPr>
                                      <w:szCs w:val="24"/>
                                      <w:lang w:eastAsia="lt-LT"/>
                                    </w:rPr>
                                    <w:t>14.1</w:t>
                                  </w:r>
                                </w:sdtContent>
                              </w:sdt>
                              <w:r>
                                <w:rPr>
                                  <w:szCs w:val="24"/>
                                  <w:lang w:eastAsia="lt-LT"/>
                                </w:rPr>
                                <w:t>.</w:t>
                                <w:tab/>
                                <w:t>Projektas turi atitikti Programos 6 tikslo „Užtikrinti saugios, patikimos</w:t>
                              </w:r>
                              <w:r>
                                <w:rPr>
                                  <w:bCs/>
                                  <w:szCs w:val="24"/>
                                </w:rPr>
                                <w:t xml:space="preserve"> ir</w:t>
                              </w:r>
                              <w:r>
                                <w:rPr>
                                  <w:szCs w:val="24"/>
                                  <w:lang w:eastAsia="lt-LT"/>
                                </w:rPr>
                                <w:t xml:space="preserve"> sąveikios IRT infrastruktūros plėtrą“ (toliau – 6 tikslas) 1 uždavinį „Skatinti gyventojus naudotis </w:t>
                              </w:r>
                              <w:r>
                                <w:rPr>
                                  <w:bCs/>
                                  <w:szCs w:val="24"/>
                                </w:rPr>
                                <w:t>elektroninės atpažinties priemonėmis</w:t>
                              </w:r>
                              <w:r>
                                <w:rPr>
                                  <w:szCs w:val="24"/>
                                </w:rPr>
                                <w:t xml:space="preserve"> </w:t>
                              </w:r>
                              <w:r>
                                <w:rPr>
                                  <w:bCs/>
                                  <w:szCs w:val="24"/>
                                </w:rPr>
                                <w:t>ir elektroninių operacijų patikimumo užtikrinimo paslaugomis</w:t>
                              </w:r>
                              <w:r>
                                <w:rPr>
                                  <w:szCs w:val="24"/>
                                  <w:lang w:eastAsia="lt-LT"/>
                                </w:rPr>
                                <w:t>“ arba 2 uždavinį „Užtikrinti valstybės institucijų bendro naudojimo IRT infrastruktūros optimizavimą, valstybės informacinių sistemų ir registrų automatinę sąveiką</w:t>
                              </w:r>
                              <w:r>
                                <w:rPr>
                                  <w:szCs w:val="24"/>
                                </w:rPr>
                                <w:t xml:space="preserve"> ir integralumą</w:t>
                              </w:r>
                              <w:r>
                                <w:rPr>
                                  <w:szCs w:val="24"/>
                                  <w:lang w:eastAsia="lt-LT"/>
                                </w:rPr>
                                <w:t xml:space="preserve">“ (toliau – 2 uždavinys) ir (arba) 3 uždavinį „Užtikrinti </w:t>
                              </w:r>
                              <w:r>
                                <w:rPr>
                                  <w:bCs/>
                                  <w:szCs w:val="24"/>
                                </w:rPr>
                                <w:t>ypatingos svarbos informacinės infrastruktūros ir valstybės informacinių išteklių kibernetinį saugumą</w:t>
                              </w:r>
                              <w:r>
                                <w:rPr>
                                  <w:szCs w:val="24"/>
                                  <w:lang w:eastAsia="lt-LT"/>
                                </w:rPr>
                                <w:t>“ (toliau – 3 uždavinys); laikoma, kad projektas atitinka šį kriterijų, jeigu kreipiantis dėl finansavimo pagal priemonės Nr. 02.3.1-CPVA-V-530 „IRT infrastruktūros optimizavimas ir sauga“ veiklas įsitikinama, kad projektas prisideda prie Programos 6 tikslo 2 uždavinio įgyvendinimo, arba jeigu kreipiantis dėl finansavimo pagal priemonės Nr. 02.1.2-CPVA-V-522 „IRT infrastruktūros optimizavimas ir sauga“ veiklas įsitikinama, kad projektas prisideda prie Programos 6 tikslo 3 uždavinio ir (arba) 2 uždavinio įgyvendinimo.</w:t>
                              </w:r>
                            </w:p>
                          </w:sdtContent>
                        </w:sdt>
                        <w:sdt>
                          <w:sdtPr>
                            <w:alias w:val="14.2 pp."/>
                            <w:tag w:val="part_797847d3c9514d2abb31a92e0c1b1bef"/>
                            <w:lock w:val="sdtLocked"/>
                            <w:richText/>
                          </w:sdtPr>
                          <w:sdtContent>
                            <w:p>
                              <w:pPr>
                                <w:tabs>
                                  <w:tab w:val="left" w:pos="709"/>
                                  <w:tab w:val="left" w:pos="1276"/>
                                </w:tabs>
                                <w:ind w:firstLine="709"/>
                                <w:jc w:val="both"/>
                                <w:rPr>
                                  <w:szCs w:val="24"/>
                                  <w:lang w:eastAsia="lt-LT"/>
                                </w:rPr>
                              </w:pPr>
                              <w:sdt>
                                <w:sdtPr>
                                  <w:alias w:val="Numeris"/>
                                  <w:tag w:val="nr_797847d3c9514d2abb31a92e0c1b1bef"/>
                                  <w:lock w:val="sdtLocked"/>
                                  <w:richText/>
                                </w:sdtPr>
                                <w:sdtContent>
                                  <w:r>
                                    <w:rPr>
                                      <w:szCs w:val="24"/>
                                      <w:lang w:eastAsia="lt-LT"/>
                                    </w:rPr>
                                    <w:t>14.2</w:t>
                                  </w:r>
                                </w:sdtContent>
                              </w:sdt>
                              <w:r>
                                <w:rPr>
                                  <w:szCs w:val="24"/>
                                  <w:lang w:eastAsia="lt-LT"/>
                                </w:rPr>
                                <w:t>.</w:t>
                                <w:tab/>
                                <w:t>Projektas turi atitikti Nutarimo Nr. 498 2.1 ir (arba) 2.3 papunkčius (taikoma I veiklų grupei) arba Informacinės visuomenės plėtros 2014–2020 metų programos „Lietuvos Respublikos skaitmeninė darbotvarkė“ įgyvendinimo tarpinstitucinio veiklos plano, patvirtinto Lietuvos Respublikos Vyriausybės 2015 m. balandžio 27 d. nutarimu Nr. 478 „Dėl Informacinės visuomenės plėtros 2014–2020 metų programos „Lietuvos Respublikos skaitmeninė darbotvarkė“ įgyvendinimo tarpinstitucinio veiklos plano patvirtinimo“ (toliau – Tarpinstitucinis veiklos planas),</w:t>
                              </w:r>
                              <w:r>
                                <w:rPr>
                                  <w:sz w:val="20"/>
                                  <w:lang w:eastAsia="lt-LT"/>
                                </w:rPr>
                                <w:t xml:space="preserve"> </w:t>
                              </w:r>
                              <w:r>
                                <w:rPr>
                                  <w:szCs w:val="24"/>
                                  <w:lang w:eastAsia="lt-LT"/>
                                </w:rPr>
                                <w:t>1 priedo „Informacinės visuomenės plėtros 2014–2020 metų programos „Lietuvos Respublikos skaitmeninė darbotvarkė“ įgyvendinimo tarpinstitucinio veiklos plano tikslų, uždavinių, priemonių, asignavimų ir įgyvendinančių institucijų sąrašas“ (toliau – 1 priedas) priemonę „Sukurti Išmaniosios mokesčių administravimo informacinės sistemos (i. MAS) posistemių infrastruktūrą, kuri bus integruota į Finansų ministerijos paskirto IT paslaugų teikėjo infrastruktūrą“ (toliau – 6.1.2 priemonė) (taikoma II veiklų grupei) ir (arba) priemonę „Stiprinti ypatingos svarbos valstybės informacinių išteklių infrastruktūros ir valstybės informacinių išteklių kibernetinį saugumą“ (toliau – 6.2.1 priemonė)</w:t>
                              </w:r>
                              <w:r>
                                <w:rPr>
                                  <w:sz w:val="20"/>
                                  <w:lang w:eastAsia="lt-LT"/>
                                </w:rPr>
                                <w:t xml:space="preserve"> </w:t>
                              </w:r>
                              <w:r>
                                <w:rPr>
                                  <w:szCs w:val="24"/>
                                  <w:lang w:eastAsia="lt-LT"/>
                                </w:rPr>
                                <w:t xml:space="preserve">(taikoma III veiklų grupei); laikoma, kad projektas atitinka šį kriterijų, jeigu kreipiantis dėl finansavimo pagal priemonės Nr. 02.3.1-CPVA-V-530 „IRT infrastruktūros optimizavimas ir sauga“ veiklas įsitikinama, kad projektas, jo veiklos ir projektų vykdytojas atitinka </w:t>
                              </w:r>
                              <w:r>
                                <w:rPr>
                                  <w:bCs/>
                                  <w:szCs w:val="24"/>
                                  <w:lang w:eastAsia="lt-LT"/>
                                </w:rPr>
                                <w:t>Nutarimo Nr. 498 2 punkte ir 2.1 ir (arba) 2.3 papunkčiuose arba</w:t>
                              </w:r>
                              <w:r>
                                <w:rPr>
                                  <w:bCs/>
                                  <w:sz w:val="20"/>
                                  <w:lang w:eastAsia="lt-LT"/>
                                </w:rPr>
                                <w:t xml:space="preserve"> </w:t>
                              </w:r>
                              <w:r>
                                <w:rPr>
                                  <w:szCs w:val="24"/>
                                  <w:lang w:eastAsia="lt-LT"/>
                                </w:rPr>
                                <w:t>Tarpinstitucinio veiklos plano 1 priedo 6.1.2 priemonėje nurodytą projektą, jo veiklas ir projekto vykdytoją, arba jeigu kreipiantis dėl finansavimo pagal priemonės Nr. 02.1.2-CPVA-V-522 „IRT infrastruktūros optimizavimas ir sauga“ veiklas įsitikinama, kad projektas, jo veiklos ir projektų vykdytojas atitinka Tarpinstitucinio veiklos plano 1 priedo 6.2.1 priemonėje ir (arba) Nutarimo Nr. 498 2 punkte ir 2.1 ir (arba) 2.3 papunkčiuose nurodytą projektą, jo veiklas ir projekto vykdytoją.“</w:t>
                              </w:r>
                            </w:p>
                          </w:sdtContent>
                        </w:sdt>
                      </w:sdtContent>
                    </w:sdt>
                  </w:sdtContent>
                </w:sdt>
              </w:sdtContent>
            </w:sdt>
            <w:sdt>
              <w:sdtPr>
                <w:alias w:val="5 p."/>
                <w:tag w:val="part_42842c0c079f434a87210f11165dc770"/>
                <w:lock w:val="sdtLocked"/>
                <w:richText/>
              </w:sdtPr>
              <w:sdtContent>
                <w:p>
                  <w:pPr>
                    <w:tabs>
                      <w:tab w:val="left" w:pos="709"/>
                      <w:tab w:val="left" w:pos="1276"/>
                    </w:tabs>
                    <w:ind w:firstLine="709"/>
                    <w:jc w:val="both"/>
                    <w:rPr>
                      <w:szCs w:val="24"/>
                      <w:lang w:eastAsia="lt-LT"/>
                    </w:rPr>
                  </w:pPr>
                  <w:sdt>
                    <w:sdtPr>
                      <w:alias w:val="Numeris"/>
                      <w:tag w:val="nr_42842c0c079f434a87210f11165dc770"/>
                      <w:lock w:val="sdtLocked"/>
                      <w:richText/>
                    </w:sdtPr>
                    <w:sdtContent>
                      <w:r>
                        <w:rPr>
                          <w:szCs w:val="24"/>
                          <w:lang w:eastAsia="lt-LT"/>
                        </w:rPr>
                        <w:t>5</w:t>
                      </w:r>
                    </w:sdtContent>
                  </w:sdt>
                  <w:r>
                    <w:rPr>
                      <w:szCs w:val="24"/>
                      <w:lang w:eastAsia="lt-LT"/>
                    </w:rPr>
                    <w:t>. Papildau 16.3 papunkčiu:</w:t>
                  </w:r>
                </w:p>
                <w:sdt>
                  <w:sdtPr>
                    <w:alias w:val="citata"/>
                    <w:tag w:val="part_82789ce9da3841fbb697aa4814848610"/>
                    <w:lock w:val="sdtLocked"/>
                    <w:richText/>
                  </w:sdtPr>
                  <w:sdtContent>
                    <w:sdt>
                      <w:sdtPr>
                        <w:alias w:val="16.3 pp."/>
                        <w:tag w:val="part_35f7c601284542a4b503bb8be3758e89"/>
                        <w:lock w:val="sdtLocked"/>
                        <w:richText/>
                      </w:sdtPr>
                      <w:sdtContent>
                        <w:p>
                          <w:pPr>
                            <w:tabs>
                              <w:tab w:val="left" w:pos="709"/>
                              <w:tab w:val="left" w:pos="1276"/>
                            </w:tabs>
                            <w:ind w:firstLine="709"/>
                            <w:jc w:val="both"/>
                            <w:rPr>
                              <w:szCs w:val="24"/>
                              <w:lang w:eastAsia="lt-LT"/>
                            </w:rPr>
                          </w:pPr>
                          <w:r>
                            <w:rPr>
                              <w:szCs w:val="24"/>
                              <w:lang w:eastAsia="lt-LT"/>
                            </w:rPr>
                            <w:t>„</w:t>
                          </w:r>
                          <w:sdt>
                            <w:sdtPr>
                              <w:alias w:val="Numeris"/>
                              <w:tag w:val="nr_35f7c601284542a4b503bb8be3758e89"/>
                              <w:lock w:val="sdtLocked"/>
                              <w:richText/>
                            </w:sdtPr>
                            <w:sdtContent>
                              <w:r>
                                <w:rPr>
                                  <w:szCs w:val="24"/>
                                  <w:lang w:eastAsia="lt-LT"/>
                                </w:rPr>
                                <w:t>16.3</w:t>
                              </w:r>
                            </w:sdtContent>
                          </w:sdt>
                          <w:r>
                            <w:rPr>
                              <w:szCs w:val="24"/>
                              <w:lang w:eastAsia="lt-LT"/>
                            </w:rPr>
                            <w:t>.</w:t>
                            <w:tab/>
                            <w:t>Pagal III veiklų grupę projektų veiklos turi būti baigtos ne vėliau kaip iki 2021 m. gruodžio 31 d.“</w:t>
                          </w:r>
                        </w:p>
                      </w:sdtContent>
                    </w:sdt>
                  </w:sdtContent>
                </w:sdt>
              </w:sdtContent>
            </w:sdt>
            <w:sdt>
              <w:sdtPr>
                <w:alias w:val="6 p."/>
                <w:tag w:val="part_6c439d3d868c420bac08fdf33a033a67"/>
                <w:lock w:val="sdtLocked"/>
                <w:richText/>
              </w:sdtPr>
              <w:sdtContent>
                <w:p>
                  <w:pPr>
                    <w:tabs>
                      <w:tab w:val="left" w:pos="709"/>
                      <w:tab w:val="left" w:pos="1276"/>
                    </w:tabs>
                    <w:ind w:firstLine="709"/>
                    <w:jc w:val="both"/>
                    <w:rPr>
                      <w:szCs w:val="24"/>
                      <w:lang w:eastAsia="lt-LT"/>
                    </w:rPr>
                  </w:pPr>
                  <w:sdt>
                    <w:sdtPr>
                      <w:alias w:val="Numeris"/>
                      <w:tag w:val="nr_6c439d3d868c420bac08fdf33a033a67"/>
                      <w:lock w:val="sdtLocked"/>
                      <w:richText/>
                    </w:sdtPr>
                    <w:sdtContent>
                      <w:r>
                        <w:rPr>
                          <w:szCs w:val="24"/>
                          <w:lang w:eastAsia="lt-LT"/>
                        </w:rPr>
                        <w:t>6</w:t>
                      </w:r>
                    </w:sdtContent>
                  </w:sdt>
                  <w:r>
                    <w:rPr>
                      <w:szCs w:val="24"/>
                      <w:lang w:eastAsia="lt-LT"/>
                    </w:rPr>
                    <w:t>. Pakeičiu 19 punktą ir jį išdėstau taip:</w:t>
                  </w:r>
                </w:p>
                <w:sdt>
                  <w:sdtPr>
                    <w:alias w:val="citata"/>
                    <w:tag w:val="part_97b75c088f934b578889d7974c64331e"/>
                    <w:lock w:val="sdtLocked"/>
                    <w:richText/>
                  </w:sdtPr>
                  <w:sdtContent>
                    <w:sdt>
                      <w:sdtPr>
                        <w:alias w:val="19 p."/>
                        <w:tag w:val="part_c9ae8f3e54184e81a1bf8fb980e9b9ad"/>
                        <w:lock w:val="sdtLocked"/>
                        <w:richText/>
                      </w:sdtPr>
                      <w:sdtContent>
                        <w:p>
                          <w:pPr>
                            <w:tabs>
                              <w:tab w:val="left" w:pos="709"/>
                              <w:tab w:val="left" w:pos="1276"/>
                            </w:tabs>
                            <w:ind w:firstLine="709"/>
                            <w:jc w:val="both"/>
                            <w:rPr>
                              <w:szCs w:val="24"/>
                              <w:lang w:eastAsia="lt-LT"/>
                            </w:rPr>
                          </w:pPr>
                          <w:r>
                            <w:rPr>
                              <w:szCs w:val="24"/>
                              <w:lang w:eastAsia="lt-LT"/>
                            </w:rPr>
                            <w:t>„</w:t>
                          </w:r>
                          <w:sdt>
                            <w:sdtPr>
                              <w:alias w:val="Numeris"/>
                              <w:tag w:val="nr_c9ae8f3e54184e81a1bf8fb980e9b9ad"/>
                              <w:lock w:val="sdtLocked"/>
                              <w:richText/>
                            </w:sdtPr>
                            <w:sdtContent>
                              <w:r>
                                <w:rPr>
                                  <w:szCs w:val="24"/>
                                  <w:lang w:eastAsia="lt-LT"/>
                                </w:rPr>
                                <w:t>19</w:t>
                              </w:r>
                            </w:sdtContent>
                          </w:sdt>
                          <w:r>
                            <w:rPr>
                              <w:szCs w:val="24"/>
                              <w:lang w:eastAsia="lt-LT"/>
                            </w:rPr>
                            <w:t xml:space="preserve">. Projektais, įgyvendinamais pagal I ir II veiklų grupes, turi būti siekiama stebėsenos rodiklio „Įgyvendinti sprendimai, skirti viešojo sektoriaus bendro naudojimo </w:t>
                          </w:r>
                          <w:r>
                            <w:rPr>
                              <w:iCs/>
                              <w:szCs w:val="24"/>
                              <w:lang w:eastAsia="lt-LT"/>
                            </w:rPr>
                            <w:t xml:space="preserve">informacinių ir ryšių technologijų </w:t>
                          </w:r>
                          <w:r>
                            <w:rPr>
                              <w:szCs w:val="24"/>
                              <w:lang w:eastAsia="lt-LT"/>
                            </w:rPr>
                            <w:t xml:space="preserve">infrastruktūros optimizavimui, sąveikumo ir saugos užtikrinimui“, kodas P.S.311, kurio skaičiavimo aprašas numatytas Veiksmų programos stebėsenos rodiklių skaičiavimo apraše (minimali projektu siektina reikšmė – 1 vnt.; įgyvendinus priemonę turi būti įgyvendinti ne mažiau kaip 3 sprendimai, skirti viešojo sektoriaus bendro naudojimo </w:t>
                          </w:r>
                          <w:r>
                            <w:rPr>
                              <w:iCs/>
                              <w:szCs w:val="24"/>
                              <w:lang w:eastAsia="lt-LT"/>
                            </w:rPr>
                            <w:t xml:space="preserve">IRT </w:t>
                          </w:r>
                          <w:r>
                            <w:rPr>
                              <w:szCs w:val="24"/>
                              <w:lang w:eastAsia="lt-LT"/>
                            </w:rPr>
                            <w:t>infrastruktūrai optimizuoti, sąveikumui ir saugai užtikrinti). Projektais, įgyvendinamais pagal III veiklų grupę, turi būti siekiama stebėsenos rodiklio „Įgyvendinti sprendimai, skirti kibernetinio saugumo didinimui“, kodas P.S.307, kurio skaičiavimo aprašas numatytas Veiksmų programos stebėsenos rodiklių skaičiavimo apraše (minimali projektu siektina reikšmė – 1 vnt.; įgyvendinus priemonę turi būti įgyvendintas ne mažiau kaip 1 sprendimas, skirtas kibernetiniam saugumui didinti).“</w:t>
                          </w:r>
                        </w:p>
                      </w:sdtContent>
                    </w:sdt>
                  </w:sdtContent>
                </w:sdt>
              </w:sdtContent>
            </w:sdt>
            <w:sdt>
              <w:sdtPr>
                <w:alias w:val="7 p."/>
                <w:tag w:val="part_8e7d5476ad714cf78d8230a0e9203793"/>
                <w:lock w:val="sdtLocked"/>
                <w:richText/>
              </w:sdtPr>
              <w:sdtContent>
                <w:p>
                  <w:pPr>
                    <w:tabs>
                      <w:tab w:val="left" w:pos="709"/>
                      <w:tab w:val="left" w:pos="1276"/>
                    </w:tabs>
                    <w:ind w:firstLine="709"/>
                    <w:jc w:val="both"/>
                    <w:rPr>
                      <w:szCs w:val="24"/>
                      <w:lang w:eastAsia="lt-LT"/>
                    </w:rPr>
                  </w:pPr>
                  <w:sdt>
                    <w:sdtPr>
                      <w:alias w:val="Numeris"/>
                      <w:tag w:val="nr_8e7d5476ad714cf78d8230a0e9203793"/>
                      <w:lock w:val="sdtLocked"/>
                      <w:richText/>
                    </w:sdtPr>
                    <w:sdtContent>
                      <w:r>
                        <w:rPr>
                          <w:szCs w:val="24"/>
                          <w:lang w:eastAsia="lt-LT"/>
                        </w:rPr>
                        <w:t>7</w:t>
                      </w:r>
                    </w:sdtContent>
                  </w:sdt>
                  <w:r>
                    <w:rPr>
                      <w:szCs w:val="24"/>
                      <w:lang w:eastAsia="lt-LT"/>
                    </w:rPr>
                    <w:t>. Papildau 26.3 papunkčiu:</w:t>
                  </w:r>
                </w:p>
                <w:sdt>
                  <w:sdtPr>
                    <w:alias w:val="citata"/>
                    <w:tag w:val="part_83452c95075a4c38a4b4a6da84a35ef0"/>
                    <w:lock w:val="sdtLocked"/>
                    <w:richText/>
                  </w:sdtPr>
                  <w:sdtContent>
                    <w:sdt>
                      <w:sdtPr>
                        <w:alias w:val="26.3 pp."/>
                        <w:tag w:val="part_d0783d0a68844948b5e2ae44598fd9df"/>
                        <w:lock w:val="sdtLocked"/>
                        <w:richText/>
                      </w:sdtPr>
                      <w:sdtContent>
                        <w:p>
                          <w:pPr>
                            <w:tabs>
                              <w:tab w:val="left" w:pos="709"/>
                              <w:tab w:val="left" w:pos="1276"/>
                            </w:tabs>
                            <w:ind w:firstLine="709"/>
                            <w:jc w:val="both"/>
                            <w:rPr>
                              <w:szCs w:val="24"/>
                              <w:lang w:eastAsia="lt-LT"/>
                            </w:rPr>
                          </w:pPr>
                          <w:r>
                            <w:rPr>
                              <w:szCs w:val="24"/>
                              <w:lang w:eastAsia="lt-LT"/>
                            </w:rPr>
                            <w:t>„</w:t>
                          </w:r>
                          <w:sdt>
                            <w:sdtPr>
                              <w:alias w:val="Numeris"/>
                              <w:tag w:val="nr_d0783d0a68844948b5e2ae44598fd9df"/>
                              <w:lock w:val="sdtLocked"/>
                              <w:richText/>
                            </w:sdtPr>
                            <w:sdtContent>
                              <w:r>
                                <w:rPr>
                                  <w:szCs w:val="24"/>
                                  <w:lang w:eastAsia="lt-LT"/>
                                </w:rPr>
                                <w:t>26.3</w:t>
                              </w:r>
                            </w:sdtContent>
                          </w:sdt>
                          <w:r>
                            <w:rPr>
                              <w:szCs w:val="24"/>
                              <w:lang w:eastAsia="lt-LT"/>
                            </w:rPr>
                            <w:t>.</w:t>
                            <w:tab/>
                            <w:t>iki 8 895 665 (aštuonių milijonų aštuonių šimtų devyniasdešimt penkių tūkstančių šešių šimtų šešiasdešimt penkių) eurų (taikoma III veiklų grupei).“</w:t>
                          </w:r>
                        </w:p>
                      </w:sdtContent>
                    </w:sdt>
                  </w:sdtContent>
                </w:sdt>
              </w:sdtContent>
            </w:sdt>
            <w:sdt>
              <w:sdtPr>
                <w:alias w:val="8 p."/>
                <w:tag w:val="part_e486cec5d90c418490b2c37d4db1bb9c"/>
                <w:lock w:val="sdtLocked"/>
                <w:richText/>
              </w:sdtPr>
              <w:sdtContent>
                <w:p>
                  <w:pPr>
                    <w:tabs>
                      <w:tab w:val="left" w:pos="709"/>
                      <w:tab w:val="left" w:pos="1276"/>
                    </w:tabs>
                    <w:ind w:firstLine="709"/>
                    <w:jc w:val="both"/>
                    <w:rPr>
                      <w:szCs w:val="24"/>
                      <w:lang w:eastAsia="lt-LT"/>
                    </w:rPr>
                  </w:pPr>
                  <w:sdt>
                    <w:sdtPr>
                      <w:alias w:val="Numeris"/>
                      <w:tag w:val="nr_e486cec5d90c418490b2c37d4db1bb9c"/>
                      <w:lock w:val="sdtLocked"/>
                      <w:richText/>
                    </w:sdtPr>
                    <w:sdtContent>
                      <w:r>
                        <w:rPr>
                          <w:szCs w:val="24"/>
                          <w:lang w:eastAsia="lt-LT"/>
                        </w:rPr>
                        <w:t>8</w:t>
                      </w:r>
                    </w:sdtContent>
                  </w:sdt>
                  <w:r>
                    <w:rPr>
                      <w:szCs w:val="24"/>
                      <w:lang w:eastAsia="lt-LT"/>
                    </w:rPr>
                    <w:t>. Pakeičiu 30 punkto lentelės 4 punktą ir jį išdėstau taip:</w:t>
                  </w:r>
                </w:p>
              </w:sdtContent>
            </w:sdt>
          </w:sdtContent>
        </w:sdt>
      </w:sdtContent>
    </w:sdt>
    <w:sdt>
      <w:sdtPr>
        <w:alias w:val="lentele"/>
        <w:tag w:val="part_3125d72460dd4915be1b6b93d23b008a"/>
        <w:lock w:val="sdtLocked"/>
        <w:richText/>
      </w:sdtPr>
      <w:sdtContent>
        <w:tbl>
          <w:tblPr>
            <w:tblW w:w="9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562"/>
            <w:gridCol w:w="1842"/>
            <w:gridCol w:w="7104"/>
          </w:tblGrid>
          <w:tr>
            <w:trPr>
              <w:jc w:val="center"/>
            </w:trPr>
            <w:tc>
              <w:tcPr>
                <w:tcW w:w="56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b/>
                    <w:bCs/>
                    <w:szCs w:val="24"/>
                    <w:lang w:eastAsia="lt-LT"/>
                  </w:rPr>
                </w:pPr>
                <w:r>
                  <w:rPr>
                    <w:b/>
                    <w:bCs/>
                    <w:szCs w:val="24"/>
                    <w:lang w:eastAsia="lt-LT"/>
                  </w:rPr>
                  <w:t>„4.</w:t>
                </w:r>
              </w:p>
            </w:tc>
            <w:tc>
              <w:tcPr>
                <w:tcW w:w="184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b/>
                    <w:szCs w:val="24"/>
                    <w:lang w:eastAsia="lt-LT"/>
                  </w:rPr>
                </w:pPr>
                <w:r>
                  <w:rPr>
                    <w:b/>
                    <w:bCs/>
                    <w:szCs w:val="24"/>
                    <w:lang w:eastAsia="lt-LT"/>
                  </w:rPr>
                  <w:t>Įranga, įrenginiai ir kitas turtas</w:t>
                </w:r>
              </w:p>
            </w:tc>
            <w:tc>
              <w:tcPr>
                <w:tcW w:w="7104" w:type="dxa"/>
                <w:tcBorders>
                  <w:top w:val="single" w:sz="4" w:space="0" w:color="auto"/>
                  <w:left w:val="single" w:sz="4" w:space="0" w:color="auto"/>
                  <w:bottom w:val="single" w:sz="4" w:space="0" w:color="auto"/>
                  <w:right w:val="single" w:sz="4" w:space="0" w:color="auto"/>
                </w:tcBorders>
                <w:shd w:val="clear" w:color="auto" w:fill="FFFFFF"/>
                <w:vAlign w:val="center"/>
              </w:tcPr>
              <w:p>
                <w:pPr>
                  <w:keepLines/>
                  <w:suppressAutoHyphens/>
                  <w:jc w:val="both"/>
                  <w:rPr>
                    <w:szCs w:val="24"/>
                    <w:lang w:eastAsia="lt-LT"/>
                  </w:rPr>
                </w:pPr>
                <w:r>
                  <w:rPr>
                    <w:szCs w:val="24"/>
                    <w:lang w:eastAsia="lt-LT"/>
                  </w:rPr>
                  <w:t>Šiai kategorijai priskiriamos tinkamos finansuoti išlaidos yra:</w:t>
                </w:r>
              </w:p>
              <w:p>
                <w:pPr>
                  <w:tabs>
                    <w:tab w:val="left" w:pos="318"/>
                  </w:tabs>
                  <w:jc w:val="both"/>
                  <w:rPr>
                    <w:szCs w:val="24"/>
                    <w:lang w:eastAsia="lt-LT"/>
                  </w:rPr>
                </w:pPr>
                <w:r>
                  <w:rPr>
                    <w:szCs w:val="24"/>
                    <w:lang w:eastAsia="lt-LT"/>
                  </w:rPr>
                  <w:t>1.</w:t>
                  <w:tab/>
                  <w:t>Techninės ir programinės įrangos įsigijimo išlaidos (įskaitant specifikavimo, projektavimo, priežiūros, įdiegimo, paruošimo naudoti, išbandymo, mokymo naudotis ir kitas susijusias išlaidas), skirtos debesijos paslaugoms teikti, taip pat ir pagal Laikinosios tvarkos aprašą. Ši išlaidų kategorija taikoma I veiklų grupei.</w:t>
                </w:r>
              </w:p>
              <w:p>
                <w:pPr>
                  <w:tabs>
                    <w:tab w:val="left" w:pos="176"/>
                    <w:tab w:val="left" w:pos="329"/>
                  </w:tabs>
                  <w:ind w:left="34"/>
                  <w:jc w:val="both"/>
                  <w:rPr>
                    <w:szCs w:val="24"/>
                    <w:lang w:eastAsia="lt-LT"/>
                  </w:rPr>
                </w:pPr>
                <w:r>
                  <w:rPr>
                    <w:szCs w:val="24"/>
                    <w:lang w:eastAsia="lt-LT"/>
                  </w:rPr>
                  <w:t>2.</w:t>
                  <w:tab/>
                  <w:t>Techninės ir programinės įrangos įsigijimo išlaidos (įskaitant specifikavimo, projektavimo, priežiūros, įdiegimo, paruošimo naudoti, išbandymo, mokymo naudotis ir kitas susijusias išlaidas), skirtos Išmaniosios mokesčių administravimo informacinės sistemos (i. MAS) 1 etapo posistemių infrastruktūrai. Ši išlaidų kategorija taikoma II veiklų grupei.</w:t>
                </w:r>
              </w:p>
              <w:p>
                <w:pPr>
                  <w:jc w:val="both"/>
                  <w:rPr>
                    <w:szCs w:val="24"/>
                    <w:lang w:eastAsia="lt-LT"/>
                  </w:rPr>
                </w:pPr>
                <w:r>
                  <w:rPr>
                    <w:szCs w:val="24"/>
                    <w:lang w:eastAsia="lt-LT"/>
                  </w:rPr>
                  <w:t>3. Materialiojo turto draudimo išlaidos projekto įgyvendinimo laikotarpiu. Ši išlaidų kategorija taikoma visoms veiklų grupėms.</w:t>
                </w:r>
              </w:p>
              <w:p>
                <w:pPr>
                  <w:jc w:val="both"/>
                  <w:rPr>
                    <w:szCs w:val="24"/>
                    <w:lang w:eastAsia="lt-LT"/>
                  </w:rPr>
                </w:pPr>
                <w:r>
                  <w:rPr>
                    <w:rFonts w:eastAsia="Calibri"/>
                    <w:szCs w:val="24"/>
                    <w:lang w:eastAsia="lt-LT"/>
                  </w:rPr>
                  <w:t xml:space="preserve">4. Projekto valdymo (IT projekto vadovo ir (arba) eksperto) paslaugų įsigijimo išlaidos (iš fizinių arba juridinių asmenų). </w:t>
                </w:r>
                <w:r>
                  <w:rPr>
                    <w:szCs w:val="24"/>
                    <w:lang w:eastAsia="lt-LT"/>
                  </w:rPr>
                  <w:t>Ši išlaidų kategorija taikoma visoms veiklų grupėms.</w:t>
                </w:r>
              </w:p>
              <w:p>
                <w:pPr>
                  <w:jc w:val="both"/>
                  <w:rPr>
                    <w:szCs w:val="24"/>
                    <w:lang w:eastAsia="lt-LT"/>
                  </w:rPr>
                </w:pPr>
                <w:r>
                  <w:rPr>
                    <w:szCs w:val="24"/>
                    <w:lang w:eastAsia="lt-LT"/>
                  </w:rPr>
                  <w:t>5. Su šioje kategorijoje nurodytų veiklų vykdymu susijusio projektą vykdančio personalo darbo užmokesčio išlaidos. Ši išlaidų kategorija taikoma visoms veiklų grupėms.</w:t>
                </w:r>
              </w:p>
              <w:p>
                <w:pPr>
                  <w:keepLines/>
                  <w:suppressAutoHyphens/>
                  <w:jc w:val="both"/>
                  <w:rPr>
                    <w:szCs w:val="24"/>
                    <w:lang w:eastAsia="lt-LT"/>
                  </w:rPr>
                </w:pPr>
                <w:r>
                  <w:rPr>
                    <w:szCs w:val="24"/>
                    <w:lang w:eastAsia="lt-LT"/>
                  </w:rPr>
                  <w:t>6. Techninės priežiūros paslaugų teikimo išlaidos projekto įgyvendinimo laikotarpiu. Ši išlaidų kategorija taikoma visoms veiklų grupėms.</w:t>
                </w:r>
              </w:p>
              <w:p>
                <w:pPr>
                  <w:keepLines/>
                  <w:suppressAutoHyphens/>
                  <w:jc w:val="both"/>
                  <w:rPr>
                    <w:szCs w:val="24"/>
                    <w:lang w:eastAsia="lt-LT"/>
                  </w:rPr>
                </w:pPr>
                <w:r>
                  <w:rPr>
                    <w:szCs w:val="24"/>
                    <w:lang w:eastAsia="lt-LT"/>
                  </w:rPr>
                  <w:t>7. Pareiškėjo ir (arba) partnerio institucijos veiklos modelių, veiklos procesų ir procedūrų, susijusių su debesijos paslaugų teikimu, parengimo išlaidos, jeigu šios išlaidos yra patirtos ne anksčiau kaip 2014 m. sausio 1 d. Ši išlaidų kategorija taikoma I veiklų grupei.</w:t>
                </w:r>
              </w:p>
              <w:p>
                <w:pPr>
                  <w:keepLines/>
                  <w:suppressAutoHyphens/>
                  <w:jc w:val="both"/>
                  <w:rPr>
                    <w:szCs w:val="24"/>
                    <w:lang w:eastAsia="lt-LT"/>
                  </w:rPr>
                </w:pPr>
                <w:r>
                  <w:rPr>
                    <w:szCs w:val="24"/>
                    <w:lang w:eastAsia="lt-LT"/>
                  </w:rPr>
                  <w:t>8. Valstybės debesijos paslaugų teikėjo sertifikavimo informacijos saugos sertifikatų (ISO 27001) ir IT paslaugų valdymo sertifikatų (ISO 20000) išlaidos. Ši išlaidų kategorija taikoma I veiklų grupei.</w:t>
                </w:r>
              </w:p>
              <w:p>
                <w:pPr>
                  <w:keepLines/>
                  <w:suppressAutoHyphens/>
                  <w:jc w:val="both"/>
                  <w:rPr>
                    <w:szCs w:val="24"/>
                    <w:lang w:eastAsia="lt-LT"/>
                  </w:rPr>
                </w:pPr>
                <w:r>
                  <w:rPr>
                    <w:szCs w:val="24"/>
                    <w:lang w:eastAsia="lt-LT"/>
                  </w:rPr>
                  <w:t>9. Techninės ir programinės įrangos, kuri būtina duomenų perdavim</w:t>
                </w:r>
                <w:r>
                  <w:rPr>
                    <w:bCs/>
                    <w:szCs w:val="24"/>
                    <w:lang w:eastAsia="lt-LT"/>
                  </w:rPr>
                  <w:t>ui</w:t>
                </w:r>
                <w:r>
                  <w:rPr>
                    <w:szCs w:val="24"/>
                    <w:lang w:eastAsia="lt-LT"/>
                  </w:rPr>
                  <w:t xml:space="preserve"> į debesijos paslaugų teikėjo infrastruktūrą </w:t>
                </w:r>
                <w:r>
                  <w:rPr>
                    <w:bCs/>
                    <w:szCs w:val="24"/>
                    <w:lang w:eastAsia="lt-LT"/>
                  </w:rPr>
                  <w:t>užtikrinti</w:t>
                </w:r>
                <w:r>
                  <w:rPr>
                    <w:szCs w:val="24"/>
                    <w:lang w:eastAsia="lt-LT"/>
                  </w:rPr>
                  <w:t>, įsigijimo išlaidos. Ši išlaidų kategorija taikoma I ir II veiklų grupėms.</w:t>
                </w:r>
              </w:p>
              <w:p>
                <w:pPr>
                  <w:keepLines/>
                  <w:suppressAutoHyphens/>
                  <w:jc w:val="both"/>
                  <w:rPr>
                    <w:szCs w:val="24"/>
                    <w:lang w:eastAsia="lt-LT"/>
                  </w:rPr>
                </w:pPr>
                <w:r>
                  <w:rPr>
                    <w:szCs w:val="24"/>
                    <w:lang w:eastAsia="lt-LT"/>
                  </w:rPr>
                  <w:t>10. Techninės ir programinės įrangos priemonių, kurių visuma sudaro sąlygas didinti kibernetinį saugumą, sukūrimo, įsigijimo išlaidos (įskaitant specifikavimo, projektavimo, priežiūros, įdiegimo, paruošimo naudoti, išbandymo, mokymo naudotis ir kitas susijusias išlaidas). Ši išlaidų kategorija taikoma III veiklų grupei.</w:t>
                </w:r>
              </w:p>
              <w:p>
                <w:pPr>
                  <w:keepLines/>
                  <w:suppressAutoHyphens/>
                  <w:jc w:val="both"/>
                  <w:rPr>
                    <w:szCs w:val="24"/>
                    <w:lang w:eastAsia="lt-LT"/>
                  </w:rPr>
                </w:pPr>
                <w:r>
                  <w:rPr>
                    <w:szCs w:val="24"/>
                    <w:lang w:eastAsia="lt-LT"/>
                  </w:rPr>
                  <w:t>11. Sukurtų technologinių priemonių ir (arba) sprendimų, skirtų ypatingos svarbos informacinės infrastruktūros ir valstybės informacinių išteklių apsaugai, atitikties Europos kibernetinio saugumo agentūros parengtai sertifikavimo sistemai išlaidos.</w:t>
                </w:r>
                <w:r>
                  <w:rPr>
                    <w:sz w:val="20"/>
                    <w:lang w:eastAsia="lt-LT"/>
                  </w:rPr>
                  <w:t xml:space="preserve"> </w:t>
                </w:r>
                <w:r>
                  <w:rPr>
                    <w:szCs w:val="24"/>
                    <w:lang w:eastAsia="lt-LT"/>
                  </w:rPr>
                  <w:t>Ši išlaidų kategorija taikoma III veiklų grupei.</w:t>
                </w:r>
              </w:p>
              <w:p>
                <w:pPr>
                  <w:keepLines/>
                  <w:suppressAutoHyphens/>
                  <w:jc w:val="both"/>
                  <w:rPr>
                    <w:szCs w:val="24"/>
                    <w:lang w:eastAsia="lt-LT"/>
                  </w:rPr>
                </w:pPr>
              </w:p>
              <w:p>
                <w:pPr>
                  <w:keepLines/>
                  <w:suppressAutoHyphens/>
                  <w:jc w:val="both"/>
                  <w:rPr>
                    <w:rFonts w:eastAsia="Calibri"/>
                    <w:szCs w:val="24"/>
                    <w:lang w:eastAsia="lt-LT"/>
                  </w:rPr>
                </w:pPr>
                <w:r>
                  <w:rPr>
                    <w:rFonts w:eastAsia="Calibri"/>
                    <w:szCs w:val="24"/>
                    <w:lang w:eastAsia="lt-LT"/>
                  </w:rPr>
                  <w:t>Šiai kategorijai priskiriamos netinkamos finansuoti išlaidos yra:</w:t>
                </w:r>
              </w:p>
              <w:p>
                <w:pPr>
                  <w:keepLines/>
                  <w:suppressAutoHyphens/>
                  <w:jc w:val="both"/>
                  <w:rPr>
                    <w:szCs w:val="24"/>
                    <w:lang w:eastAsia="lt-LT"/>
                  </w:rPr>
                </w:pPr>
                <w:r>
                  <w:rPr>
                    <w:rFonts w:eastAsia="Calibri"/>
                    <w:szCs w:val="24"/>
                    <w:lang w:eastAsia="lt-LT"/>
                  </w:rPr>
                  <w:t xml:space="preserve">1. Pareiškėjo ir (arba) partnerio institucijos veiklos modelių, veiklos procesų ir procedūrų, nesusijusių su debesijos paslaugų teikimu, parengimo išlaidos. </w:t>
                </w:r>
              </w:p>
              <w:p>
                <w:pPr>
                  <w:keepLines/>
                  <w:tabs>
                    <w:tab w:val="left" w:pos="318"/>
                  </w:tabs>
                  <w:suppressAutoHyphens/>
                  <w:jc w:val="both"/>
                  <w:rPr>
                    <w:sz w:val="20"/>
                    <w:lang w:eastAsia="lt-LT"/>
                  </w:rPr>
                </w:pPr>
                <w:r>
                  <w:rPr>
                    <w:rFonts w:eastAsia="Calibri"/>
                    <w:szCs w:val="24"/>
                  </w:rPr>
                  <w:t>2. Mokėjimo už debesijos paslaugų teikėjo teikiamas IT paslaugas, numatytas Nutarime Nr. 498, išlaidos.“</w:t>
                </w:r>
                <w:r>
                  <w:rPr>
                    <w:sz w:val="20"/>
                    <w:lang w:eastAsia="lt-LT"/>
                  </w:rPr>
                  <w:t xml:space="preserve"> </w:t>
                </w:r>
              </w:p>
            </w:tc>
          </w:tr>
        </w:tbl>
        <w:sdt>
          <w:sdtPr>
            <w:alias w:val="9 p."/>
            <w:tag w:val="part_ea2cb0ba0b5a47329eb924395a46325d"/>
            <w:lock w:val="sdtLocked"/>
            <w:richText/>
          </w:sdtPr>
          <w:sdtContent>
            <w:p>
              <w:pPr>
                <w:tabs>
                  <w:tab w:val="left" w:pos="709"/>
                  <w:tab w:val="left" w:pos="1276"/>
                </w:tabs>
                <w:ind w:firstLine="709"/>
                <w:jc w:val="both"/>
                <w:rPr>
                  <w:szCs w:val="24"/>
                  <w:lang w:eastAsia="lt-LT"/>
                </w:rPr>
              </w:pPr>
              <w:sdt>
                <w:sdtPr>
                  <w:alias w:val="Numeris"/>
                  <w:tag w:val="nr_ea2cb0ba0b5a47329eb924395a46325d"/>
                  <w:lock w:val="sdtLocked"/>
                  <w:richText/>
                </w:sdtPr>
                <w:sdtContent>
                  <w:r>
                    <w:rPr>
                      <w:szCs w:val="24"/>
                      <w:lang w:eastAsia="lt-LT"/>
                    </w:rPr>
                    <w:t>9</w:t>
                  </w:r>
                </w:sdtContent>
              </w:sdt>
              <w:r>
                <w:rPr>
                  <w:szCs w:val="24"/>
                  <w:lang w:eastAsia="lt-LT"/>
                </w:rPr>
                <w:t>. Papildau 64.6 papunkčiu:</w:t>
              </w:r>
            </w:p>
            <w:sdt>
              <w:sdtPr>
                <w:alias w:val="citata"/>
                <w:tag w:val="part_feda4884763344f1af506d7649a5d239"/>
                <w:lock w:val="sdtLocked"/>
                <w:richText/>
              </w:sdtPr>
              <w:sdtContent>
                <w:sdt>
                  <w:sdtPr>
                    <w:alias w:val="64.4 pp."/>
                    <w:tag w:val="part_697ee09dfee44435b594e524ffdbf3e9"/>
                    <w:lock w:val="sdtLocked"/>
                    <w:richText/>
                  </w:sdtPr>
                  <w:sdtContent>
                    <w:p>
                      <w:pPr>
                        <w:tabs>
                          <w:tab w:val="left" w:pos="709"/>
                          <w:tab w:val="left" w:pos="1276"/>
                        </w:tabs>
                        <w:ind w:firstLine="709"/>
                        <w:jc w:val="both"/>
                        <w:rPr>
                          <w:szCs w:val="24"/>
                          <w:lang w:eastAsia="lt-LT"/>
                        </w:rPr>
                      </w:pPr>
                      <w:r>
                        <w:rPr>
                          <w:szCs w:val="24"/>
                          <w:lang w:eastAsia="lt-LT"/>
                        </w:rPr>
                        <w:t>„</w:t>
                      </w:r>
                      <w:sdt>
                        <w:sdtPr>
                          <w:alias w:val="Numeris"/>
                          <w:tag w:val="nr_697ee09dfee44435b594e524ffdbf3e9"/>
                          <w:lock w:val="sdtLocked"/>
                          <w:richText/>
                        </w:sdtPr>
                        <w:sdtContent>
                          <w:r>
                            <w:rPr>
                              <w:szCs w:val="24"/>
                              <w:lang w:eastAsia="lt-LT"/>
                            </w:rPr>
                            <w:t>64.4</w:t>
                          </w:r>
                        </w:sdtContent>
                      </w:sdt>
                      <w:r>
                        <w:rPr>
                          <w:szCs w:val="24"/>
                          <w:lang w:eastAsia="lt-LT"/>
                        </w:rPr>
                        <w:t>. užtikrinti, kad iki projekto veiklų įgyvendinimo pabaigos sukurtos technologinės priemonės ir (arba) sprendimai, skirti ypatingos svarbos informacinės infrastruktūros ir valstybės informacinių išteklių apsaugai, atitiks Europos kibernetinio saugumo agentūros parengtą sertifikavimo sistemą; šis reikalavimas taikomas III veiklų grupei.“</w:t>
                      </w:r>
                    </w:p>
                    <w:p>
                      <w:pPr>
                        <w:tabs>
                          <w:tab w:val="left" w:pos="6946"/>
                        </w:tabs>
                        <w:rPr>
                          <w:lang w:eastAsia="lt-LT"/>
                        </w:rPr>
                      </w:pPr>
                    </w:p>
                    <w:p>
                      <w:pPr>
                        <w:tabs>
                          <w:tab w:val="left" w:pos="6946"/>
                        </w:tabs>
                        <w:rPr>
                          <w:lang w:eastAsia="lt-LT"/>
                        </w:rPr>
                      </w:pPr>
                    </w:p>
                  </w:sdtContent>
                </w:sdt>
              </w:sdtContent>
            </w:sdt>
            <w:sdt>
              <w:sdtPr>
                <w:alias w:val="pastraipa"/>
                <w:tag w:val="part_5efc02620a984c9bbf30e1a08606b70d"/>
                <w:lock w:val="sdtLocked"/>
                <w:richText/>
              </w:sdtPr>
              <w:sdtContent>
                <w:p>
                  <w:pPr>
                    <w:tabs>
                      <w:tab w:val="left" w:pos="6946"/>
                    </w:tabs>
                    <w:rPr>
                      <w:lang w:eastAsia="lt-LT"/>
                    </w:rPr>
                  </w:pPr>
                  <w:r>
                    <w:rPr>
                      <w:lang w:eastAsia="lt-LT"/>
                    </w:rPr>
                    <w:t xml:space="preserve">Susisiekimo ministras </w:t>
                    <w:tab/>
                  </w:r>
                </w:p>
                <w:p>
                  <w:pPr>
                    <w:rPr>
                      <w:lang w:eastAsia="lt-LT"/>
                    </w:rPr>
                  </w:pPr>
                </w:p>
                <w:p>
                  <w:pPr>
                    <w:rPr>
                      <w:lang w:eastAsia="lt-LT"/>
                    </w:rPr>
                  </w:pPr>
                </w:p>
              </w:sdtContent>
            </w:sdt>
          </w:sdtContent>
        </w:sdt>
      </w:sdtContent>
    </w:sdt>
    <w:sdt>
      <w:sdtPr>
        <w:alias w:val="lentele"/>
        <w:tag w:val="part_19b50b9a62154632be30c4e8fea6434b"/>
        <w:lock w:val="sdtLocked"/>
        <w:richText/>
      </w:sdtPr>
      <w:sdtContent>
        <w:tbl>
          <w:tblPr>
            <w:tblW w:w="0" w:type="auto"/>
            <w:tblCellMar>
              <w:left w:w="0" w:type="dxa"/>
              <w:right w:w="0" w:type="dxa"/>
            </w:tblCellMar>
            <w:tblLook w:val="04A0" w:firstRow="1" w:lastRow="0" w:firstColumn="1" w:lastColumn="0" w:noHBand="0" w:noVBand="1"/>
          </w:tblPr>
          <w:tblGrid>
            <w:gridCol w:w="4927"/>
            <w:gridCol w:w="4927"/>
          </w:tblGrid>
          <w:tr>
            <w:tc>
              <w:tcPr>
                <w:tcW w:w="4931" w:type="dxa"/>
                <w:tcMar>
                  <w:top w:w="0" w:type="dxa"/>
                  <w:left w:w="108" w:type="dxa"/>
                  <w:bottom w:w="0" w:type="dxa"/>
                  <w:right w:w="108" w:type="dxa"/>
                </w:tcMar>
                <w:hideMark/>
              </w:tcPr>
              <w:p>
                <w:pPr>
                  <w:overflowPunct w:val="0"/>
                  <w:jc w:val="both"/>
                  <w:textAlignment w:val="center"/>
                  <w:rPr>
                    <w:szCs w:val="24"/>
                    <w:lang w:eastAsia="lt-LT"/>
                  </w:rPr>
                </w:pPr>
                <w:r>
                  <w:rPr>
                    <w:color w:val="000000"/>
                    <w:szCs w:val="24"/>
                    <w:lang w:eastAsia="lt-LT"/>
                  </w:rPr>
                  <w:t>SUDERINTA</w:t>
                </w:r>
              </w:p>
              <w:p>
                <w:pPr>
                  <w:overflowPunct w:val="0"/>
                  <w:jc w:val="both"/>
                  <w:textAlignment w:val="center"/>
                  <w:rPr>
                    <w:szCs w:val="24"/>
                    <w:lang w:eastAsia="lt-LT"/>
                  </w:rPr>
                </w:pPr>
                <w:r>
                  <w:rPr>
                    <w:color w:val="000000"/>
                    <w:szCs w:val="24"/>
                    <w:lang w:eastAsia="lt-LT"/>
                  </w:rPr>
                  <w:t>Lietuvos Respublikos finansų ministerijos</w:t>
                </w:r>
              </w:p>
              <w:p>
                <w:pPr>
                  <w:overflowPunct w:val="0"/>
                  <w:jc w:val="both"/>
                  <w:textAlignment w:val="baseline"/>
                  <w:rPr>
                    <w:color w:val="000000"/>
                    <w:szCs w:val="24"/>
                    <w:lang w:eastAsia="lt-LT"/>
                  </w:rPr>
                </w:pPr>
                <w:r>
                  <w:rPr>
                    <w:color w:val="000000"/>
                    <w:szCs w:val="24"/>
                    <w:lang w:eastAsia="lt-LT"/>
                  </w:rPr>
                  <w:t xml:space="preserve">2018 m.                 raštu Nr. </w:t>
                </w:r>
              </w:p>
              <w:p>
                <w:pPr>
                  <w:overflowPunct w:val="0"/>
                  <w:jc w:val="both"/>
                  <w:textAlignment w:val="baseline"/>
                  <w:rPr>
                    <w:szCs w:val="24"/>
                    <w:lang w:eastAsia="lt-LT"/>
                  </w:rPr>
                </w:pPr>
              </w:p>
            </w:tc>
            <w:tc>
              <w:tcPr>
                <w:tcW w:w="4931" w:type="dxa"/>
                <w:tcMar>
                  <w:top w:w="0" w:type="dxa"/>
                  <w:left w:w="108" w:type="dxa"/>
                  <w:bottom w:w="0" w:type="dxa"/>
                  <w:right w:w="108" w:type="dxa"/>
                </w:tcMar>
                <w:hideMark/>
              </w:tcPr>
              <w:p>
                <w:pPr>
                  <w:overflowPunct w:val="0"/>
                  <w:jc w:val="both"/>
                  <w:textAlignment w:val="baseline"/>
                  <w:rPr>
                    <w:szCs w:val="24"/>
                    <w:lang w:eastAsia="lt-LT"/>
                  </w:rPr>
                </w:pPr>
                <w:r>
                  <w:rPr>
                    <w:color w:val="000000"/>
                    <w:szCs w:val="24"/>
                    <w:lang w:eastAsia="lt-LT"/>
                  </w:rPr>
                  <w:t>SUDERINTA</w:t>
                </w:r>
              </w:p>
              <w:p>
                <w:pPr>
                  <w:overflowPunct w:val="0"/>
                  <w:jc w:val="both"/>
                  <w:textAlignment w:val="baseline"/>
                  <w:rPr>
                    <w:szCs w:val="24"/>
                    <w:lang w:eastAsia="lt-LT"/>
                  </w:rPr>
                </w:pPr>
                <w:r>
                  <w:rPr>
                    <w:color w:val="000000"/>
                    <w:szCs w:val="24"/>
                    <w:lang w:eastAsia="lt-LT"/>
                  </w:rPr>
                  <w:t xml:space="preserve">VšĮ Centrinės projektų valdymo agentūros   </w:t>
                </w:r>
              </w:p>
              <w:p>
                <w:pPr>
                  <w:overflowPunct w:val="0"/>
                  <w:jc w:val="both"/>
                  <w:textAlignment w:val="baseline"/>
                  <w:rPr>
                    <w:szCs w:val="24"/>
                    <w:lang w:eastAsia="lt-LT"/>
                  </w:rPr>
                </w:pPr>
                <w:r>
                  <w:rPr>
                    <w:color w:val="000000"/>
                    <w:szCs w:val="24"/>
                    <w:lang w:eastAsia="lt-LT"/>
                  </w:rPr>
                  <w:t xml:space="preserve">2018 m.                     raštu Nr. </w:t>
                </w:r>
              </w:p>
            </w:tc>
          </w:tr>
        </w:tbl>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sdt>
          <w:sdtPr>
            <w:alias w:val="signatura"/>
            <w:tag w:val="part_80ef0ece9c37467a8957db8fc638f32d"/>
            <w:lock w:val="sdtLocked"/>
            <w:richText/>
          </w:sdtPr>
          <w:sdtContent>
            <w:p>
              <w:pPr>
                <w:rPr>
                  <w:sz w:val="20"/>
                  <w:lang w:eastAsia="lt-LT"/>
                </w:rPr>
              </w:pPr>
              <w:r>
                <w:rPr>
                  <w:sz w:val="20"/>
                  <w:lang w:eastAsia="lt-LT"/>
                </w:rPr>
                <w:t>Parengė</w:t>
              </w:r>
            </w:p>
            <w:p>
              <w:pPr>
                <w:rPr>
                  <w:sz w:val="20"/>
                  <w:lang w:eastAsia="lt-LT"/>
                </w:rPr>
              </w:pPr>
            </w:p>
            <w:p>
              <w:pPr>
                <w:rPr>
                  <w:sz w:val="20"/>
                  <w:lang w:eastAsia="lt-LT"/>
                </w:rPr>
              </w:pPr>
              <w:r>
                <w:rPr>
                  <w:sz w:val="20"/>
                  <w:lang w:eastAsia="lt-LT"/>
                </w:rPr>
                <w:t>E. Ramaškevičius</w:t>
              </w:r>
            </w:p>
            <w:p>
              <w:pPr>
                <w:rPr>
                  <w:sz w:val="20"/>
                  <w:lang w:eastAsia="lt-LT"/>
                </w:rPr>
              </w:pPr>
              <w:r>
                <w:rPr>
                  <w:sz w:val="20"/>
                  <w:lang w:eastAsia="lt-LT"/>
                </w:rPr>
                <w:t>2018-</w:t>
              </w:r>
            </w:p>
          </w:sdtContent>
        </w:sdt>
      </w:sdtContent>
    </w:sdt>
    <w:sectPr>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134" w:right="567" w:bottom="1134" w:left="1701" w:header="720" w:footer="720" w:gutter="0"/>
      <w:cols w:space="720"/>
      <w:titlePg/>
      <w:docGrid w:linePitch="272"/>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414E807" w16cid:durableId="1E8ACCEB"/>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right"/>
      <w:rPr>
        <w:sz w:val="20"/>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4516"/>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9591570">
      <w:bodyDiv w:val="1"/>
      <w:marLeft w:val="0"/>
      <w:marRight w:val="0"/>
      <w:marTop w:val="0"/>
      <w:marBottom w:val="0"/>
      <w:divBdr>
        <w:top w:val="none" w:sz="0" w:space="0" w:color="auto"/>
        <w:left w:val="none" w:sz="0" w:space="0" w:color="auto"/>
        <w:bottom w:val="none" w:sz="0" w:space="0" w:color="auto"/>
        <w:right w:val="none" w:sz="0" w:space="0" w:color="auto"/>
      </w:divBdr>
    </w:div>
    <w:div w:id="605965514">
      <w:bodyDiv w:val="1"/>
      <w:marLeft w:val="0"/>
      <w:marRight w:val="0"/>
      <w:marTop w:val="0"/>
      <w:marBottom w:val="0"/>
      <w:divBdr>
        <w:top w:val="none" w:sz="0" w:space="0" w:color="auto"/>
        <w:left w:val="none" w:sz="0" w:space="0" w:color="auto"/>
        <w:bottom w:val="none" w:sz="0" w:space="0" w:color="auto"/>
        <w:right w:val="none" w:sz="0" w:space="0" w:color="auto"/>
      </w:divBdr>
    </w:div>
    <w:div w:id="869689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7" Type="http://schemas.microsoft.com/office/2016/09/relationships/commentsIds" Target="commentsIds.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5d99047e809a4e80a64a5a67b681f540" PartId="1df6c01f1f3b4d11868927be959be145">
    <Part Type="skirsnis" Title="LIETUVOS RESPUBLIKOS SUSISIEKIMO MINISTRAS" DocPartId="271c22f980e844b691b086d932e3fff2" PartId="bcdae0528f834ccb9c9771aae9440cb9"/>
    <Part Type="skirsnis" Title="ĮSAKYMAS DĖL LIETUVOS RESPUBLIKOS SUSISIEKIMO MINISTRO 2016 M. LAPKRIČIO 11 D. ĮSAKYMO NR. 3-379(1.5 E) „DĖL 2014–2020 METŲ EUROPOS SĄJUNGOS FONDŲ INVESTICIJŲ VEIKSMŲ PROGRAMOS 2 PRIORITETO „INFORMACINĖS VISUOMENĖS SKATINIMAS“ J06-CPVA-V PRIEMONĖS „IRT INFRASTRUKTŪROS OPTIMIZAVIMAS IR SAUGA“ PROJEKTŲ FINANSAVIMO SĄLYGŲ APRAŠO NR. 1 PATVIRTINIMO“ PAKEITIMO" DocPartId="321144947d3e411b9d543ec6f2366303" PartId="c96e4db9aad34de3a72f2c671ef84c59">
      <Part Type="punktas" Nr="1" Abbr="1 p." DocPartId="19abe43ac9084a939d447181dd92c7c5" PartId="23098ca92eb341c8a58706090a74a4ff">
        <Part Type="citata" DocPartId="f4741ef1b5034663b2fcf61d9c325145" PartId="0cfa35fbd9ee417b9ca7b32d8ef2d8db">
          <Part Type="punktas" Nr="8" Abbr="8 p." DocPartId="39e2837620bb4e6abe88eb34f0b03603" PartId="69984fd8d748473c873d36abf6ad983e"/>
        </Part>
      </Part>
      <Part Type="punktas" Nr="2" Abbr="2 p." DocPartId="f76dcea3a1774c6293f5fae2b0194f27" PartId="adb45446faf043c6a85f515059ea6fcd">
        <Part Type="citata" DocPartId="e8f239921be24f5db665e8ed9f8792d1" PartId="50f5cca373854a7c9c3f53d6ca5e0e06">
          <Part Type="papunktis" Nr="10.3" Abbr="10.3 pp." DocPartId="eda8cb41ea4146b496de4ca58e3db269" PartId="f5747325bbdb467d80eeaf83b4fd6500"/>
        </Part>
      </Part>
      <Part Type="punktas" Nr="3" Abbr="3 p." DocPartId="be67ec62c98f40f786a264eb90b6cc67" PartId="d1b21d49fdce47169dc0f059edc62947">
        <Part Type="citata" DocPartId="3f57101110bd44e3b8e61c257c2ac1e6" PartId="1e985534bb664aaf9f5d6aed3b82f8eb">
          <Part Type="punktas" Nr="12" Abbr="12 p." DocPartId="1535f5df843a4ae49a20c390f0458e57" PartId="baa29db4254747c18a14050b5da61269"/>
        </Part>
      </Part>
      <Part Type="punktas" Nr="4" Abbr="4 p." DocPartId="e9582f1be0f747e092ced23b04873223" PartId="7644787be8f644d1859b926e3bd5310c">
        <Part Type="citata" DocPartId="729785497d2c469e8c41c91706e21b01" PartId="5e9f0f8214954dd5bde5e6928078aad5">
          <Part Type="punktas" Nr="14" Abbr="14 p." DocPartId="a492e23b83894239848a5e9a35dff601" PartId="ffdaff7337c240d9908d078a4770cea7">
            <Part Type="papunktis" Nr="14.1" Abbr="14.1 pp." DocPartId="b157b4e197b84f2e951c098cb66c72c5" PartId="0dae5d504335422ba38d9229a564f479"/>
            <Part Type="papunktis" Nr="14.2" Abbr="14.2 pp." DocPartId="62de1b90969c4e0b845ba9cc6e6ce9d3" PartId="797847d3c9514d2abb31a92e0c1b1bef"/>
          </Part>
        </Part>
      </Part>
      <Part Type="punktas" Nr="5" Abbr="5 p." DocPartId="5af24469dd2b4345b7e7dcbbf0bbc995" PartId="42842c0c079f434a87210f11165dc770">
        <Part Type="citata" DocPartId="9cb0d3a3f4e0409fa5b0942256f24c6d" PartId="82789ce9da3841fbb697aa4814848610">
          <Part Type="papunktis" Nr="16.3" Abbr="16.3 pp." DocPartId="18589f7cfb06434eadb8f50fab4bbbe8" PartId="35f7c601284542a4b503bb8be3758e89"/>
        </Part>
      </Part>
      <Part Type="punktas" Nr="6" Abbr="6 p." DocPartId="8cc6dc2d0deb45c9ae0cf2a8fe08c7b9" PartId="6c439d3d868c420bac08fdf33a033a67">
        <Part Type="citata" DocPartId="029217f32b174d08ad66025e2bf8b424" PartId="97b75c088f934b578889d7974c64331e">
          <Part Type="punktas" Nr="19" Abbr="19 p." DocPartId="5b79d197497943f8983b71961dcb4046" PartId="c9ae8f3e54184e81a1bf8fb980e9b9ad"/>
        </Part>
      </Part>
      <Part Type="punktas" Nr="7" Abbr="7 p." DocPartId="897e647ac47342cebf955478cd432bac" PartId="8e7d5476ad714cf78d8230a0e9203793">
        <Part Type="citata" DocPartId="69661430a84a47cdb9712afc3c9a29f0" PartId="83452c95075a4c38a4b4a6da84a35ef0">
          <Part Type="papunktis" Nr="26.3" Abbr="26.3 pp." DocPartId="2ffa20485abc42a587cc1a9e72a09eab" PartId="d0783d0a68844948b5e2ae44598fd9df"/>
        </Part>
      </Part>
      <Part Type="punktas" Nr="8" Abbr="8 p." DocPartId="3d4be8fa651c43638521737bedf013f9" PartId="e486cec5d90c418490b2c37d4db1bb9c"/>
    </Part>
  </Part>
  <Part Type="lentele" DocPartId="86aee91189d548399942b49802d837d8" PartId="3125d72460dd4915be1b6b93d23b008a">
    <Part Type="punktas" Nr="9" Abbr="9 p." DocPartId="4399a1f806be48d080efe07300d556dd" PartId="ea2cb0ba0b5a47329eb924395a46325d">
      <Part Type="citata" DocPartId="ea164fc4df7546c7ada4d664909daedc" PartId="feda4884763344f1af506d7649a5d239">
        <Part Type="papunktis" Nr="64.4" Abbr="64.4 pp." DocPartId="cb1729a7cc1c4aaf9403573a7193155f" PartId="697ee09dfee44435b594e524ffdbf3e9"/>
      </Part>
      <Part Type="pastraipa" DocPartId="5eb5583f3322491ebd3cf1a1a5ffe2db" PartId="5efc02620a984c9bbf30e1a08606b70d"/>
    </Part>
  </Part>
  <Part Type="lentele" DocPartId="f1804883cd5241b7a2a1f7826e2ba527" PartId="19b50b9a62154632be30c4e8fea6434b">
    <Part Type="signatura" DocPartId="893af8e49a2f4ff6bb8a9f986fb67509" PartId="80ef0ece9c37467a8957db8fc638f32d"/>
  </Part>
</Parts>
</file>

<file path=customXml/itemProps1.xml><?xml version="1.0" encoding="utf-8"?>
<ds:datastoreItem xmlns:ds="http://schemas.openxmlformats.org/officeDocument/2006/customXml" ds:itemID="{AD272336-05F8-4C92-8DAD-D5EDAAC230A3}">
  <ds:schemaRefs>
    <ds:schemaRef ds:uri="http://schemas.openxmlformats.org/officeDocument/2006/bibliography"/>
  </ds:schemaRefs>
</ds:datastoreItem>
</file>

<file path=customXml/itemProps2.xml><?xml version="1.0" encoding="utf-8"?>
<ds:datastoreItem xmlns:ds="http://schemas.openxmlformats.org/officeDocument/2006/customXml" ds:itemID="{7BD5EB05-740D-444C-A79E-D0F93AE337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1635</Words>
  <Characters>11496</Characters>
  <Application>Microsoft Office Word</Application>
  <DocSecurity>4</DocSecurity>
  <Lines>221</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Company>
  <LinksUpToDate>false</LinksUpToDate>
  <CharactersWithSpaces>13071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2018-04-26T12:54:00Z</dcterms:created>
  <dc:creator>Sm</dc:creator>
  <lastModifiedBy>adlibuser</lastModifiedBy>
  <lastPrinted>2017-02-07T11:09:00Z</lastPrinted>
  <dcterms:modified xsi:type="dcterms:W3CDTF">2018-04-26T12:54:00Z</dcterms:modified>
  <revision>2</revision>
</coreProperties>
</file>