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2a5b37ba6b5487bab7d52ec20d18186"/>
        <w:lock w:val="sdtLocked"/>
        <w:richText/>
      </w:sdtPr>
      <w:sdtContent>
        <w:p w14:paraId="0A0CB7A0" w14:textId="77777777">
          <w:pPr>
            <w:widowControl w:val="0"/>
            <w:tabs>
              <w:tab w:val="center" w:pos="4819"/>
              <w:tab w:val="right" w:pos="9638"/>
            </w:tabs>
            <w:suppressAutoHyphens/>
            <w:ind w:left="142"/>
            <w:rPr>
              <w:rFonts w:eastAsia="Andale Sans UI"/>
              <w:color w:val="FF0000"/>
              <w:kern w:val="2"/>
              <w:szCs w:val="24"/>
              <w:lang w:eastAsia="ar-SA"/>
            </w:rPr>
          </w:pPr>
        </w:p>
        <w:p w14:paraId="334BCCC4" w14:textId="1519C8C3">
          <w:pPr>
            <w:widowControl w:val="0"/>
            <w:suppressAutoHyphens/>
            <w:jc w:val="right"/>
            <w:rPr>
              <w:rFonts w:eastAsia="Andale Sans UI"/>
              <w:b/>
              <w:kern w:val="2"/>
              <w:szCs w:val="24"/>
              <w:lang w:eastAsia="ar-SA"/>
            </w:rPr>
          </w:pPr>
          <w:r>
            <w:rPr>
              <w:rFonts w:eastAsia="Andale Sans UI"/>
              <w:b/>
              <w:kern w:val="2"/>
              <w:szCs w:val="24"/>
              <w:lang w:eastAsia="ar-SA"/>
            </w:rPr>
            <w:t xml:space="preserve">Projektas </w:t>
          </w:r>
        </w:p>
        <w:p w14:paraId="66D31197" w14:textId="77777777">
          <w:pPr>
            <w:widowControl w:val="0"/>
            <w:suppressAutoHyphens/>
            <w:jc w:val="center"/>
            <w:rPr>
              <w:rFonts w:eastAsia="Andale Sans UI"/>
              <w:b/>
              <w:kern w:val="2"/>
              <w:szCs w:val="24"/>
              <w:lang w:eastAsia="ar-SA"/>
            </w:rPr>
          </w:pPr>
        </w:p>
        <w:p w14:paraId="7BE3C7AD" w14:textId="1FF3CB83">
          <w:pPr>
            <w:widowControl w:val="0"/>
            <w:suppressAutoHyphens/>
            <w:jc w:val="center"/>
            <w:rPr>
              <w:rFonts w:eastAsia="Andale Sans UI"/>
              <w:b/>
              <w:kern w:val="2"/>
              <w:szCs w:val="24"/>
              <w:lang w:eastAsia="ar-SA"/>
            </w:rPr>
          </w:pPr>
          <w:r>
            <w:rPr>
              <w:rFonts w:eastAsia="Andale Sans UI"/>
              <w:b/>
              <w:kern w:val="2"/>
              <w:szCs w:val="24"/>
              <w:lang w:eastAsia="ar-SA"/>
            </w:rPr>
            <w:t>ŠIAULIŲ MIESTO SAVIVALDYBĖS TARYBA</w:t>
          </w:r>
        </w:p>
        <w:p w14:paraId="6C703892" w14:textId="77777777">
          <w:pPr>
            <w:widowControl w:val="0"/>
            <w:suppressAutoHyphens/>
            <w:jc w:val="center"/>
            <w:rPr>
              <w:rFonts w:eastAsia="Andale Sans UI"/>
              <w:b/>
              <w:kern w:val="2"/>
              <w:szCs w:val="24"/>
              <w:lang w:eastAsia="ar-SA"/>
            </w:rPr>
          </w:pPr>
        </w:p>
        <w:p w14:paraId="28373BA4" w14:textId="77777777">
          <w:pPr>
            <w:widowControl w:val="0"/>
            <w:suppressAutoHyphens/>
            <w:jc w:val="center"/>
            <w:rPr>
              <w:rFonts w:eastAsia="Andale Sans UI"/>
              <w:b/>
              <w:kern w:val="2"/>
              <w:szCs w:val="24"/>
              <w:lang w:eastAsia="ar-SA"/>
            </w:rPr>
          </w:pPr>
          <w:r>
            <w:rPr>
              <w:rFonts w:eastAsia="Andale Sans UI"/>
              <w:b/>
              <w:kern w:val="2"/>
              <w:szCs w:val="24"/>
              <w:lang w:eastAsia="ar-SA"/>
            </w:rPr>
            <w:t>SPRENDIMAS</w:t>
          </w:r>
        </w:p>
        <w:p w14:paraId="69F7CD21" w14:textId="491B6ABB">
          <w:pPr>
            <w:widowControl w:val="0"/>
            <w:suppressAutoHyphens/>
            <w:jc w:val="center"/>
            <w:rPr>
              <w:rFonts w:eastAsia="Andale Sans UI"/>
              <w:b/>
              <w:kern w:val="2"/>
              <w:szCs w:val="24"/>
              <w:lang w:eastAsia="ar-SA"/>
            </w:rPr>
          </w:pPr>
          <w:r>
            <w:rPr>
              <w:rFonts w:eastAsia="Andale Sans UI"/>
              <w:b/>
              <w:kern w:val="2"/>
              <w:szCs w:val="24"/>
              <w:lang w:eastAsia="ar-SA"/>
            </w:rPr>
            <w:t>DĖL ŠIAULIŲ MIESTO SAVIVALDYBĖS TARYBOS 2023 M. VASARIO 2 D. SPRENDIMO NR. T-30 „DĖL ŠIAULIŲ MIESTO SAVIVALDYBĖS TARYBOS VEIKLOS REGLAMENTO PATVIRTINIMO“ PAKEITIMO</w:t>
          </w:r>
        </w:p>
        <w:p w14:paraId="628560EC" w14:textId="77777777">
          <w:pPr>
            <w:jc w:val="center"/>
            <w:rPr>
              <w:rFonts w:eastAsia="Arial Unicode MS"/>
              <w:bCs/>
              <w:szCs w:val="24"/>
            </w:rPr>
          </w:pPr>
        </w:p>
        <w:p w14:paraId="31E43A31" w14:textId="7CC059EF">
          <w:pPr>
            <w:widowControl w:val="0"/>
            <w:suppressAutoHyphens/>
            <w:jc w:val="center"/>
            <w:rPr>
              <w:rFonts w:eastAsia="Andale Sans UI"/>
              <w:bCs/>
              <w:kern w:val="2"/>
              <w:szCs w:val="24"/>
              <w:lang w:eastAsia="ar-SA"/>
            </w:rPr>
          </w:pPr>
          <w:r>
            <w:rPr>
              <w:rFonts w:eastAsia="Andale Sans UI"/>
              <w:bCs/>
              <w:kern w:val="2"/>
              <w:szCs w:val="24"/>
              <w:lang w:eastAsia="ar-SA"/>
            </w:rPr>
            <w:t xml:space="preserve">2023 m.      d. Nr. T-</w:t>
          </w:r>
        </w:p>
        <w:p w14:paraId="1B993854" w14:textId="77777777">
          <w:pPr>
            <w:widowControl w:val="0"/>
            <w:suppressAutoHyphens/>
            <w:jc w:val="center"/>
            <w:rPr>
              <w:rFonts w:eastAsia="Andale Sans UI"/>
              <w:bCs/>
              <w:kern w:val="2"/>
              <w:szCs w:val="24"/>
              <w:lang w:eastAsia="ar-SA"/>
            </w:rPr>
          </w:pPr>
          <w:r>
            <w:rPr>
              <w:rFonts w:eastAsia="Andale Sans UI"/>
              <w:bCs/>
              <w:kern w:val="2"/>
              <w:szCs w:val="24"/>
              <w:lang w:eastAsia="ar-SA"/>
            </w:rPr>
            <w:t>Šiauliai</w:t>
          </w:r>
        </w:p>
        <w:p w14:paraId="47EE4726" w14:textId="77777777">
          <w:pPr>
            <w:widowControl w:val="0"/>
            <w:suppressAutoHyphens/>
            <w:ind w:firstLine="709"/>
            <w:jc w:val="both"/>
            <w:rPr>
              <w:rFonts w:eastAsia="Andale Sans UI"/>
              <w:bCs/>
              <w:kern w:val="2"/>
              <w:szCs w:val="24"/>
              <w:lang w:eastAsia="ar-SA"/>
            </w:rPr>
          </w:pPr>
        </w:p>
        <w:sdt>
          <w:sdtPr>
            <w:alias w:val="preambule"/>
            <w:tag w:val="part_645d53aa083f420e98a7b70476811c40"/>
            <w:lock w:val="sdtLocked"/>
            <w:richText/>
          </w:sdtPr>
          <w:sdtContent>
            <w:p w14:paraId="1B2C5F30" w14:textId="30191026">
              <w:pPr>
                <w:widowControl w:val="0"/>
                <w:suppressAutoHyphens/>
                <w:ind w:firstLine="709"/>
                <w:jc w:val="both"/>
                <w:rPr>
                  <w:rFonts w:eastAsia="Andale Sans UI"/>
                  <w:bCs/>
                  <w:kern w:val="2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Andale Sans UI"/>
                  <w:bCs/>
                  <w:kern w:val="2"/>
                  <w:szCs w:val="24"/>
                  <w:lang w:eastAsia="ar-SA"/>
                </w:rPr>
                <w:t xml:space="preserve">Vadovaudamasi Lietuvos Respublikos vietos savivaldos įstatymo 15 straipsnio 2 dalies 1 punktu, Šiaulių miesto savivaldybės taryba  </w:t>
              </w:r>
              <w:r>
                <w:rPr>
                  <w:rFonts w:eastAsia="Andale Sans UI"/>
                  <w:bCs/>
                  <w:spacing w:val="80"/>
                  <w:kern w:val="2"/>
                  <w:szCs w:val="24"/>
                  <w:shd w:val="clear" w:color="auto" w:fill="FFFFFF"/>
                  <w:lang w:eastAsia="ar-SA"/>
                </w:rPr>
                <w:t>nusprendži</w:t>
              </w:r>
              <w:r>
                <w:rPr>
                  <w:rFonts w:eastAsia="Andale Sans UI"/>
                  <w:bCs/>
                  <w:kern w:val="2"/>
                  <w:szCs w:val="24"/>
                  <w:shd w:val="clear" w:color="auto" w:fill="FFFFFF"/>
                  <w:lang w:eastAsia="ar-SA"/>
                </w:rPr>
                <w:t>a:</w:t>
              </w:r>
            </w:p>
          </w:sdtContent>
        </w:sdt>
        <w:sdt>
          <w:sdtPr>
            <w:alias w:val="pastraipa"/>
            <w:tag w:val="part_10dbd46cb2464d59ad3bbca791ab5464"/>
            <w:lock w:val="sdtLocked"/>
            <w:richText/>
          </w:sdtPr>
          <w:sdtContent>
            <w:p w14:paraId="3DF3C385" w14:textId="14AB40EE">
              <w:pPr>
                <w:widowControl w:val="0"/>
                <w:suppressAutoHyphens/>
                <w:ind w:firstLine="709"/>
                <w:jc w:val="both"/>
                <w:rPr>
                  <w:rFonts w:eastAsia="Andale Sans UI"/>
                  <w:bCs/>
                  <w:kern w:val="2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Andale Sans UI"/>
                  <w:bCs/>
                  <w:kern w:val="2"/>
                  <w:szCs w:val="24"/>
                  <w:shd w:val="clear" w:color="auto" w:fill="FFFFFF"/>
                  <w:lang w:eastAsia="ar-SA"/>
                </w:rPr>
                <w:t>Pakeisti Šiaulių miesto savivaldybės tarybos veiklos reglamentą, patvirtintą Šiaulių miesto savivaldybės tarybos 2023 m. vasario 2 d. sprendimu Nr. T-30 „Dėl Šiaulių miesto savivaldybės tarybos veiklos reglamento patvirtinimo“:</w:t>
              </w:r>
            </w:p>
          </w:sdtContent>
        </w:sdt>
        <w:sdt>
          <w:sdtPr>
            <w:alias w:val="1 p."/>
            <w:tag w:val="part_bcf184dbc8e6448d9276682f4111976c"/>
            <w:lock w:val="sdtLocked"/>
            <w:richText/>
          </w:sdtPr>
          <w:sdtContent>
            <w:p w14:paraId="5414E701" w14:textId="235D2058">
              <w:pPr>
                <w:widowControl w:val="0"/>
                <w:suppressAutoHyphens/>
                <w:ind w:firstLine="709"/>
                <w:jc w:val="both"/>
                <w:rPr>
                  <w:rFonts w:eastAsia="Andale Sans UI"/>
                  <w:bCs/>
                  <w:kern w:val="2"/>
                  <w:szCs w:val="24"/>
                  <w:vertAlign w:val="superscript"/>
                  <w:lang w:eastAsia="ar-SA"/>
                </w:rPr>
              </w:pPr>
              <w:sdt>
                <w:sdtPr>
                  <w:alias w:val="Numeris"/>
                  <w:tag w:val="nr_bcf184dbc8e6448d9276682f4111976c"/>
                  <w:lock w:val="sdtLocked"/>
                  <w:richText/>
                </w:sdtPr>
                <w:sdtContent>
                  <w:r>
                    <w:rPr>
                      <w:rFonts w:eastAsia="Andale Sans UI"/>
                      <w:bCs/>
                      <w:kern w:val="2"/>
                      <w:szCs w:val="24"/>
                      <w:shd w:val="clear" w:color="auto" w:fill="FFFFFF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Andale Sans UI"/>
                  <w:bCs/>
                  <w:kern w:val="2"/>
                  <w:szCs w:val="24"/>
                  <w:shd w:val="clear" w:color="auto" w:fill="FFFFFF"/>
                  <w:lang w:eastAsia="ar-SA"/>
                </w:rPr>
                <w:t xml:space="preserve">. </w:t>
              </w:r>
              <w:r>
                <w:rPr>
                  <w:rFonts w:eastAsia="Andale Sans UI"/>
                  <w:bCs/>
                  <w:kern w:val="2"/>
                  <w:szCs w:val="24"/>
                  <w:lang w:eastAsia="ar-SA"/>
                </w:rPr>
                <w:t>Pakeisti 152 punktą ir jį išdėstyti taip:</w:t>
              </w:r>
            </w:p>
            <w:sdt>
              <w:sdtPr>
                <w:alias w:val="citata"/>
                <w:tag w:val="part_a66e9f41bf2849599eb32744805f769c"/>
                <w:lock w:val="sdtLocked"/>
                <w:richText/>
              </w:sdtPr>
              <w:sdtContent>
                <w:sdt>
                  <w:sdtPr>
                    <w:alias w:val="152 p."/>
                    <w:tag w:val="part_c539245b2ae94195816714cc5cc8a13d"/>
                    <w:lock w:val="sdtLocked"/>
                    <w:richText/>
                  </w:sdtPr>
                  <w:sdtContent>
                    <w:p w14:paraId="1715D18D" w14:textId="19379212">
                      <w:pPr>
                        <w:widowControl w:val="0"/>
                        <w:suppressAutoHyphens/>
                        <w:ind w:firstLine="600"/>
                        <w:jc w:val="both"/>
                        <w:rPr>
                          <w:rFonts w:eastAsia="Andale Sans UI"/>
                          <w:bCs/>
                          <w:strike/>
                          <w:color w:val="000000"/>
                          <w:kern w:val="2"/>
                          <w:szCs w:val="24"/>
                          <w:lang w:eastAsia="ar-SA"/>
                        </w:rPr>
                      </w:pPr>
                      <w:r>
                        <w:rPr>
                          <w:kern w:val="2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c539245b2ae94195816714cc5cc8a13d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2"/>
                              <w:szCs w:val="24"/>
                              <w:lang w:eastAsia="lt-LT"/>
                            </w:rPr>
                            <w:t>152</w:t>
                          </w:r>
                        </w:sdtContent>
                      </w:sdt>
                      <w:r>
                        <w:rPr>
                          <w:kern w:val="2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rFonts w:eastAsia="Andale Sans UI"/>
                          <w:bCs/>
                          <w:color w:val="000000"/>
                          <w:kern w:val="2"/>
                          <w:szCs w:val="24"/>
                          <w:lang w:eastAsia="ar-SA"/>
                        </w:rPr>
                        <w:t xml:space="preserve">Savivaldybės tarybos nario atlyginimas mažinamas proporcingai savivaldybės tarybos nario praleistų to mėnesio savivaldybės tarybos, komitetų, nuolatinių komisijų ir savivaldybės kolegijos, kurių narys savivaldybės tarybos narys yra, posėdžių skaičiui.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5735e073beff42b5a4cdf9805dd0fc92"/>
            <w:lock w:val="sdtLocked"/>
            <w:richText/>
          </w:sdtPr>
          <w:sdtContent>
            <w:p w14:paraId="661E3F14" w14:textId="3166D967">
              <w:pPr>
                <w:widowControl w:val="0"/>
                <w:suppressAutoHyphens/>
                <w:ind w:firstLine="600"/>
                <w:jc w:val="both"/>
                <w:rPr>
                  <w:kern w:val="2"/>
                  <w:szCs w:val="24"/>
                  <w:lang w:eastAsia="lt-LT"/>
                </w:rPr>
              </w:pPr>
              <w:sdt>
                <w:sdtPr>
                  <w:alias w:val="Numeris"/>
                  <w:tag w:val="nr_5735e073beff42b5a4cdf9805dd0fc92"/>
                  <w:lock w:val="sdtLocked"/>
                  <w:richText/>
                </w:sdtPr>
                <w:sdtContent>
                  <w:r>
                    <w:rPr>
                      <w:kern w:val="2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kern w:val="2"/>
                  <w:szCs w:val="24"/>
                  <w:lang w:eastAsia="lt-LT"/>
                </w:rPr>
                <w:t xml:space="preserve">. Pripažinti netekusiais galios 153 punktą su papunkčiais ir 154 –157 punktus. </w:t>
              </w:r>
            </w:p>
            <w:p w14:paraId="57D2DBFA" w14:textId="77777777">
              <w:pPr>
                <w:widowControl w:val="0"/>
                <w:suppressAutoHyphens/>
                <w:jc w:val="both"/>
                <w:rPr>
                  <w:rFonts w:eastAsia="Andale Sans UI"/>
                  <w:bCs/>
                  <w:kern w:val="2"/>
                  <w:szCs w:val="24"/>
                  <w:lang w:eastAsia="ar-SA"/>
                </w:rPr>
              </w:pPr>
            </w:p>
            <w:p w14:paraId="03EB8B59" w14:textId="77777777">
              <w:pPr>
                <w:widowControl w:val="0"/>
                <w:suppressAutoHyphens/>
                <w:jc w:val="both"/>
                <w:rPr>
                  <w:rFonts w:eastAsia="Andale Sans UI"/>
                  <w:bCs/>
                  <w:kern w:val="2"/>
                  <w:szCs w:val="24"/>
                  <w:lang w:eastAsia="ar-SA"/>
                </w:rPr>
              </w:pPr>
            </w:p>
            <w:p w14:paraId="7E4D93F3" w14:textId="77777777">
              <w:pPr>
                <w:widowControl w:val="0"/>
                <w:suppressAutoHyphens/>
                <w:jc w:val="both"/>
                <w:rPr>
                  <w:rFonts w:eastAsia="Andale Sans UI"/>
                  <w:bCs/>
                  <w:kern w:val="2"/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01fa8ec56a794fb1baa8da100873ff97"/>
            <w:lock w:val="sdtLocked"/>
            <w:richText/>
          </w:sdtPr>
          <w:sdtContent>
            <w:p w14:paraId="1A42534D" w14:textId="4F4DE43B">
              <w:pPr>
                <w:widowControl w:val="0"/>
                <w:suppressAutoHyphens/>
                <w:jc w:val="both"/>
                <w:rPr>
                  <w:rFonts w:eastAsia="Andale Sans UI"/>
                  <w:bCs/>
                  <w:kern w:val="2"/>
                  <w:szCs w:val="24"/>
                  <w:lang w:eastAsia="ar-SA"/>
                </w:rPr>
              </w:pPr>
              <w:r>
                <w:rPr>
                  <w:rFonts w:eastAsia="Andale Sans UI"/>
                  <w:bCs/>
                  <w:kern w:val="2"/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284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03D4A9" w14:textId="77777777">
      <w:pPr>
        <w:widowControl w:val="0"/>
        <w:suppressAutoHyphens/>
        <w:rPr>
          <w:rFonts w:eastAsia="Andale Sans UI"/>
          <w:kern w:val="2"/>
          <w:szCs w:val="24"/>
          <w:lang w:eastAsia="ar-SA"/>
        </w:rPr>
      </w:pPr>
      <w:r>
        <w:rPr>
          <w:rFonts w:eastAsia="Andale Sans UI"/>
          <w:kern w:val="2"/>
          <w:szCs w:val="24"/>
          <w:lang w:eastAsia="ar-SA"/>
        </w:rPr>
        <w:separator/>
      </w:r>
    </w:p>
  </w:endnote>
  <w:endnote w:type="continuationSeparator" w:id="0">
    <w:p w14:paraId="3BC02120" w14:textId="77777777">
      <w:pPr>
        <w:widowControl w:val="0"/>
        <w:suppressAutoHyphens/>
        <w:rPr>
          <w:rFonts w:eastAsia="Andale Sans UI"/>
          <w:kern w:val="2"/>
          <w:szCs w:val="24"/>
          <w:lang w:eastAsia="ar-SA"/>
        </w:rPr>
      </w:pPr>
      <w:r>
        <w:rPr>
          <w:rFonts w:eastAsia="Andale Sans UI"/>
          <w:kern w:val="2"/>
          <w:szCs w:val="24"/>
          <w:lang w:eastAsia="ar-SA"/>
        </w:rPr>
        <w:continuationSeparator/>
      </w:r>
    </w:p>
  </w:endnote>
  <w:endnote w:type="continuationNotice" w:id="1">
    <w:p w14:paraId="6F67CA78" w14:textId="77777777"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E3578B" w14:textId="77777777">
    <w:pPr>
      <w:widowControl w:val="0"/>
      <w:tabs>
        <w:tab w:val="center" w:pos="4819"/>
        <w:tab w:val="right" w:pos="9638"/>
      </w:tabs>
      <w:suppressAutoHyphens/>
      <w:rPr>
        <w:rFonts w:eastAsia="Andale Sans UI"/>
        <w:kern w:val="2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4ADBB6" w14:textId="77777777">
    <w:pPr>
      <w:widowControl w:val="0"/>
      <w:tabs>
        <w:tab w:val="center" w:pos="4819"/>
        <w:tab w:val="right" w:pos="9638"/>
      </w:tabs>
      <w:suppressAutoHyphens/>
      <w:rPr>
        <w:rFonts w:eastAsia="Andale Sans UI"/>
        <w:kern w:val="2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E88BCF" w14:textId="77777777">
    <w:pPr>
      <w:widowControl w:val="0"/>
      <w:tabs>
        <w:tab w:val="center" w:pos="4819"/>
        <w:tab w:val="right" w:pos="9638"/>
      </w:tabs>
      <w:suppressAutoHyphens/>
      <w:rPr>
        <w:rFonts w:eastAsia="Andale Sans UI"/>
        <w:kern w:val="2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C81490" w14:textId="77777777">
      <w:pPr>
        <w:widowControl w:val="0"/>
        <w:suppressAutoHyphens/>
        <w:rPr>
          <w:rFonts w:eastAsia="Andale Sans UI"/>
          <w:kern w:val="2"/>
          <w:szCs w:val="24"/>
          <w:lang w:eastAsia="ar-SA"/>
        </w:rPr>
      </w:pPr>
      <w:r>
        <w:rPr>
          <w:rFonts w:eastAsia="Andale Sans UI"/>
          <w:kern w:val="2"/>
          <w:szCs w:val="24"/>
          <w:lang w:eastAsia="ar-SA"/>
        </w:rPr>
        <w:separator/>
      </w:r>
    </w:p>
  </w:footnote>
  <w:footnote w:type="continuationSeparator" w:id="0">
    <w:p w14:paraId="37A8F137" w14:textId="77777777">
      <w:pPr>
        <w:widowControl w:val="0"/>
        <w:suppressAutoHyphens/>
        <w:rPr>
          <w:rFonts w:eastAsia="Andale Sans UI"/>
          <w:kern w:val="2"/>
          <w:szCs w:val="24"/>
          <w:lang w:eastAsia="ar-SA"/>
        </w:rPr>
      </w:pPr>
      <w:r>
        <w:rPr>
          <w:rFonts w:eastAsia="Andale Sans UI"/>
          <w:kern w:val="2"/>
          <w:szCs w:val="24"/>
          <w:lang w:eastAsia="ar-SA"/>
        </w:rPr>
        <w:continuationSeparator/>
      </w:r>
    </w:p>
  </w:footnote>
  <w:footnote w:type="continuationNotice" w:id="1">
    <w:p w14:paraId="4D36FBF7" w14:textId="77777777"/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84E091" w14:textId="77777777">
    <w:pPr>
      <w:widowControl w:val="0"/>
      <w:tabs>
        <w:tab w:val="center" w:pos="4819"/>
        <w:tab w:val="right" w:pos="9638"/>
      </w:tabs>
      <w:suppressAutoHyphens/>
      <w:rPr>
        <w:rFonts w:eastAsia="Andale Sans UI"/>
        <w:kern w:val="2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2D40AC" w14:textId="77777777">
    <w:pPr>
      <w:widowControl w:val="0"/>
      <w:tabs>
        <w:tab w:val="center" w:pos="4819"/>
        <w:tab w:val="right" w:pos="9638"/>
      </w:tabs>
      <w:suppressAutoHyphens/>
      <w:jc w:val="center"/>
      <w:rPr>
        <w:rFonts w:eastAsia="Andale Sans UI"/>
        <w:kern w:val="2"/>
        <w:szCs w:val="24"/>
        <w:lang w:eastAsia="ar-SA"/>
      </w:rPr>
    </w:pPr>
    <w:r>
      <w:rPr>
        <w:rFonts w:eastAsia="Andale Sans UI"/>
        <w:kern w:val="2"/>
        <w:szCs w:val="24"/>
        <w:lang w:eastAsia="ar-SA"/>
      </w:rPr>
      <w:fldChar w:fldCharType="begin"/>
    </w:r>
    <w:r>
      <w:rPr>
        <w:rFonts w:eastAsia="Andale Sans UI"/>
        <w:kern w:val="2"/>
        <w:szCs w:val="24"/>
        <w:lang w:eastAsia="ar-SA"/>
      </w:rPr>
      <w:instrText>PAGE   \* MERGEFORMAT</w:instrText>
    </w:r>
    <w:r>
      <w:rPr>
        <w:rFonts w:eastAsia="Andale Sans UI"/>
        <w:kern w:val="2"/>
        <w:szCs w:val="24"/>
        <w:lang w:eastAsia="ar-SA"/>
      </w:rPr>
      <w:fldChar w:fldCharType="separate"/>
    </w:r>
    <w:r>
      <w:rPr>
        <w:rFonts w:eastAsia="Andale Sans UI"/>
        <w:kern w:val="2"/>
        <w:szCs w:val="24"/>
        <w:lang w:eastAsia="ar-SA"/>
      </w:rPr>
      <w:t>2</w:t>
    </w:r>
    <w:r>
      <w:rPr>
        <w:rFonts w:eastAsia="Andale Sans UI"/>
        <w:kern w:val="2"/>
        <w:szCs w:val="24"/>
        <w:lang w:eastAsia="ar-SA"/>
      </w:rPr>
      <w:fldChar w:fldCharType="end"/>
    </w:r>
  </w:p>
  <w:p w14:paraId="5816F48E" w14:textId="77777777">
    <w:pPr>
      <w:widowControl w:val="0"/>
      <w:tabs>
        <w:tab w:val="center" w:pos="4819"/>
        <w:tab w:val="right" w:pos="9638"/>
      </w:tabs>
      <w:suppressAutoHyphens/>
      <w:rPr>
        <w:rFonts w:eastAsia="Andale Sans UI"/>
        <w:kern w:val="2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55E6F8" w14:textId="6ADDC095">
    <w:pPr>
      <w:widowControl w:val="0"/>
      <w:tabs>
        <w:tab w:val="center" w:pos="4819"/>
        <w:tab w:val="right" w:pos="9638"/>
      </w:tabs>
      <w:suppressAutoHyphens/>
      <w:rPr>
        <w:rFonts w:eastAsia="Andale Sans UI"/>
        <w:kern w:val="2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00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23BA4CF7"/>
  <w15:chartTrackingRefBased/>
  <w15:docId w15:val="{6F8FF3F2-88F9-4473-9B03-90194171268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534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829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362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516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483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230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540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7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448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703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4618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3166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18802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575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68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96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7025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3898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7520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72263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462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346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63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1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237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ffe08c1f94443e4b0ac36f829908539" PartId="c2a5b37ba6b5487bab7d52ec20d18186">
    <Part Type="preambule" DocPartId="8a6235ec529f42868e6959ffdd31a8fc" PartId="645d53aa083f420e98a7b70476811c40"/>
    <Part Type="pastraipa" DocPartId="8e277424f73c4907a040ace973c49cf7" PartId="10dbd46cb2464d59ad3bbca791ab5464"/>
    <Part Type="punktas" Nr="1" Abbr="1 p." DocPartId="913217c2e98d4ddf804ab47fd4999f79" PartId="bcf184dbc8e6448d9276682f4111976c">
      <Part Type="citata" DocPartId="5ca0e234aebb4fd6b9ffebeb0e7825d6" PartId="a66e9f41bf2849599eb32744805f769c">
        <Part Type="punktas" Nr="152" Abbr="152 p." DocPartId="d50319b88f1f47cca90295d922729b6c" PartId="c539245b2ae94195816714cc5cc8a13d"/>
      </Part>
    </Part>
    <Part Type="punktas" Nr="2" Abbr="2 p." DocPartId="1da14be8dc9a4e98814ddbc50ade294e" PartId="5735e073beff42b5a4cdf9805dd0fc92"/>
    <Part Type="signatura" DocPartId="06b646551d6647c69940a579d8c3da69" PartId="01fa8ec56a794fb1baa8da100873ff97"/>
  </Part>
</Parts>
</file>

<file path=customXml/itemProps1.xml><?xml version="1.0" encoding="utf-8"?>
<ds:datastoreItem xmlns:ds="http://schemas.openxmlformats.org/officeDocument/2006/customXml" ds:itemID="{A7AA0B14-84B3-4C8B-8EA3-5B0278D0217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132</Words>
  <Characters>905</Characters>
  <Application>Microsoft Office Word</Application>
  <DocSecurity>4</DocSecurity>
  <Lines>26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1024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2023-08-17T06:32:00Z</dcterms:created>
  <dc:creator>ARNAS ILGAUSKAS</dc:creator>
  <lastModifiedBy>adlibuser</lastModifiedBy>
  <lastPrinted>2022-05-19T05:53:00Z</lastPrinted>
  <dcterms:modified xsi:type="dcterms:W3CDTF">2023-08-17T06:32:00Z</dcterms:modified>
  <revision>2</revision>
</coreProperties>
</file>