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400facb21354eb58d2e85f59eb2701b"/>
        <w:lock w:val="sdtLocked"/>
        <w:richText/>
      </w:sdtPr>
      <w:sdtContent>
        <w:p>
          <w:pPr>
            <w:tabs>
              <w:tab w:val="center" w:pos="4819"/>
              <w:tab w:val="right" w:pos="9638"/>
            </w:tabs>
            <w:rPr>
              <w:rFonts w:eastAsia="Arial Unicode MS"/>
              <w:szCs w:val="24"/>
            </w:rPr>
          </w:pPr>
        </w:p>
        <w:p>
          <w:pPr>
            <w:ind w:left="6480" w:firstLine="720"/>
            <w:jc w:val="right"/>
            <w:rPr>
              <w:b/>
              <w:szCs w:val="24"/>
            </w:rPr>
          </w:pPr>
          <w:r>
            <w:rPr>
              <w:b/>
              <w:szCs w:val="24"/>
            </w:rPr>
            <w:t>Projektas</w:t>
          </w:r>
        </w:p>
        <w:p>
          <w:pPr>
            <w:ind w:firstLine="720"/>
            <w:jc w:val="both"/>
            <w:rPr>
              <w:sz w:val="16"/>
              <w:szCs w:val="16"/>
            </w:rPr>
          </w:pPr>
        </w:p>
        <w:p>
          <w:pPr>
            <w:ind w:firstLine="720"/>
            <w:jc w:val="center"/>
            <w:rPr>
              <w:b/>
              <w:szCs w:val="24"/>
            </w:rPr>
          </w:pPr>
          <w:r>
            <w:rPr>
              <w:b/>
              <w:szCs w:val="24"/>
            </w:rPr>
            <w:t>LIETUVOS RESPUBLIKOS</w:t>
          </w:r>
        </w:p>
        <w:p>
          <w:pPr>
            <w:ind w:firstLine="720"/>
            <w:jc w:val="center"/>
            <w:rPr>
              <w:b/>
              <w:szCs w:val="24"/>
            </w:rPr>
          </w:pPr>
          <w:r>
            <w:rPr>
              <w:b/>
              <w:szCs w:val="24"/>
            </w:rPr>
            <w:t>VALSTYBINIO SOCIALINIO DRAUDIMO FONDO BIUDŽETO SANDAROS ĮSTATYMO NR.</w:t>
          </w:r>
          <w:r>
            <w:rPr>
              <w:rFonts w:eastAsia="Calibri"/>
              <w:color w:val="000000"/>
              <w:szCs w:val="24"/>
              <w:shd w:val="clear" w:color="auto" w:fill="FFFFFF"/>
            </w:rPr>
            <w:t xml:space="preserve"> </w:t>
          </w:r>
          <w:r>
            <w:rPr>
              <w:b/>
              <w:szCs w:val="24"/>
            </w:rPr>
            <w:t>IX-547 2, 4, 5, 11 IR 14 STRAIPSNIŲ PAKEITIMO</w:t>
          </w:r>
        </w:p>
        <w:p>
          <w:pPr>
            <w:ind w:firstLine="720"/>
            <w:jc w:val="center"/>
            <w:rPr>
              <w:b/>
              <w:szCs w:val="24"/>
            </w:rPr>
          </w:pPr>
          <w:r>
            <w:rPr>
              <w:b/>
              <w:szCs w:val="24"/>
            </w:rPr>
            <w:t>ĮSTATYMAS</w:t>
          </w:r>
        </w:p>
        <w:p>
          <w:pPr>
            <w:ind w:firstLine="720"/>
            <w:jc w:val="both"/>
            <w:rPr>
              <w:sz w:val="16"/>
              <w:szCs w:val="16"/>
            </w:rPr>
          </w:pPr>
        </w:p>
        <w:p>
          <w:pPr>
            <w:jc w:val="center"/>
            <w:rPr>
              <w:szCs w:val="24"/>
            </w:rPr>
          </w:pPr>
          <w:r>
            <w:rPr>
              <w:szCs w:val="24"/>
            </w:rPr>
            <w:t xml:space="preserve">2015 m.                          d. Nr. </w:t>
          </w:r>
        </w:p>
        <w:p>
          <w:pPr>
            <w:jc w:val="center"/>
            <w:rPr>
              <w:szCs w:val="24"/>
            </w:rPr>
          </w:pPr>
          <w:r>
            <w:rPr>
              <w:szCs w:val="24"/>
            </w:rPr>
            <w:t>Vilnius</w:t>
          </w:r>
        </w:p>
        <w:p>
          <w:pPr>
            <w:ind w:firstLine="720"/>
            <w:jc w:val="both"/>
            <w:rPr>
              <w:sz w:val="16"/>
              <w:szCs w:val="16"/>
            </w:rPr>
          </w:pPr>
        </w:p>
        <w:sdt>
          <w:sdtPr>
            <w:alias w:val="1 str."/>
            <w:tag w:val="part_ba551e73746d4a88a643a5e3210f925c"/>
            <w:lock w:val="sdtLocked"/>
            <w:richText/>
          </w:sdtPr>
          <w:sdtContent>
            <w:p>
              <w:pPr>
                <w:ind w:firstLine="720"/>
                <w:jc w:val="both"/>
                <w:rPr>
                  <w:b/>
                  <w:szCs w:val="24"/>
                </w:rPr>
              </w:pPr>
              <w:sdt>
                <w:sdtPr>
                  <w:alias w:val="Numeris"/>
                  <w:tag w:val="nr_ba551e73746d4a88a643a5e3210f925c"/>
                  <w:lock w:val="sdtLocked"/>
                  <w:richText/>
                </w:sdtPr>
                <w:sdtContent>
                  <w:r>
                    <w:rPr>
                      <w:b/>
                      <w:szCs w:val="24"/>
                    </w:rPr>
                    <w:t>1</w:t>
                  </w:r>
                </w:sdtContent>
              </w:sdt>
              <w:r>
                <w:rPr>
                  <w:b/>
                  <w:szCs w:val="24"/>
                </w:rPr>
                <w:t xml:space="preserve"> straipsnis. </w:t>
              </w:r>
              <w:sdt>
                <w:sdtPr>
                  <w:alias w:val="Pavadinimas"/>
                  <w:tag w:val="title_ba551e73746d4a88a643a5e3210f925c"/>
                  <w:lock w:val="sdtLocked"/>
                  <w:richText/>
                </w:sdtPr>
                <w:sdtContent>
                  <w:r>
                    <w:rPr>
                      <w:b/>
                      <w:szCs w:val="24"/>
                    </w:rPr>
                    <w:t>2 straipsnio pakeitimas</w:t>
                  </w:r>
                </w:sdtContent>
              </w:sdt>
            </w:p>
            <w:sdt>
              <w:sdtPr>
                <w:alias w:val="1 str. 1 d."/>
                <w:tag w:val="part_0a2f045e3d084fb49825a3f834693fcd"/>
                <w:lock w:val="sdtLocked"/>
                <w:richText/>
              </w:sdtPr>
              <w:sdtContent>
                <w:p>
                  <w:pPr>
                    <w:ind w:firstLine="720"/>
                    <w:jc w:val="both"/>
                    <w:rPr>
                      <w:szCs w:val="24"/>
                    </w:rPr>
                  </w:pPr>
                  <w:r>
                    <w:rPr>
                      <w:szCs w:val="24"/>
                    </w:rPr>
                    <w:t>Pakeisti 2 straipsnio 19 dalį ir ją išdėstyti taip:</w:t>
                  </w:r>
                </w:p>
                <w:sdt>
                  <w:sdtPr>
                    <w:alias w:val="citata"/>
                    <w:tag w:val="part_4ec8ac2d624a4b9cb75e4f7e0d82a726"/>
                    <w:lock w:val="sdtLocked"/>
                    <w:richText/>
                  </w:sdtPr>
                  <w:sdtContent>
                    <w:sdt>
                      <w:sdtPr>
                        <w:alias w:val="19 d."/>
                        <w:tag w:val="part_c3ecdcc8c2b64997963f44c167d9f6d5"/>
                        <w:lock w:val="sdtLocked"/>
                        <w:richText/>
                      </w:sdtPr>
                      <w:sdtContent>
                        <w:p>
                          <w:pPr>
                            <w:ind w:firstLine="720"/>
                            <w:jc w:val="both"/>
                            <w:rPr>
                              <w:szCs w:val="24"/>
                            </w:rPr>
                          </w:pPr>
                          <w:r>
                            <w:rPr>
                              <w:rFonts w:eastAsia="Arial Unicode MS"/>
                              <w:szCs w:val="24"/>
                            </w:rPr>
                            <w:t>„</w:t>
                          </w:r>
                          <w:sdt>
                            <w:sdtPr>
                              <w:alias w:val="Numeris"/>
                              <w:tag w:val="nr_c3ecdcc8c2b64997963f44c167d9f6d5"/>
                              <w:lock w:val="sdtLocked"/>
                              <w:richText/>
                            </w:sdtPr>
                            <w:sdtContent>
                              <w:r>
                                <w:rPr>
                                  <w:rFonts w:eastAsia="Arial Unicode MS"/>
                                  <w:b/>
                                  <w:szCs w:val="24"/>
                                </w:rPr>
                                <w:t>19</w:t>
                              </w:r>
                            </w:sdtContent>
                          </w:sdt>
                          <w:r>
                            <w:rPr>
                              <w:rFonts w:eastAsia="Arial Unicode MS"/>
                              <w:b/>
                              <w:szCs w:val="24"/>
                            </w:rPr>
                            <w:t xml:space="preserve">. </w:t>
                          </w:r>
                          <w:r>
                            <w:rPr>
                              <w:rFonts w:eastAsia="Arial Unicode MS"/>
                              <w:b/>
                              <w:bCs/>
                              <w:szCs w:val="24"/>
                            </w:rPr>
                            <w:t>Įmokų tarifai</w:t>
                          </w:r>
                          <w:r>
                            <w:rPr>
                              <w:rFonts w:eastAsia="Arial Unicode MS"/>
                              <w:szCs w:val="24"/>
                            </w:rPr>
                            <w:t xml:space="preserve"> – draudėjų, apdraustųjų, savarankiškai dirbančių ar valstybiniu savanoriškuoju socialiniu draudimu apsidraudusių asmenų mokamų įmokų dydžių matas atskiroms socialinio draudimo rūšims, nustatomas siekiant užtikrinti pakankamą finansavimą šių rūšių socialiniam draudimui vykdyti. Tarifai yra išreiškiami procentais nuo draudžiamųjų pajamų bazės arba socialiniam draudimui deklaruojamų pajamų sumos ir tvirtinami Valstybinio socialinio draudimo fondo biudžeto rodiklių patvirtinimo įstatymu kiekvieniems biudžetiniams metams.“</w:t>
                          </w:r>
                          <w:r>
                            <w:rPr>
                              <w:szCs w:val="24"/>
                            </w:rPr>
                            <w:t xml:space="preserve"> </w:t>
                          </w:r>
                        </w:p>
                        <w:p>
                          <w:pPr>
                            <w:ind w:firstLine="720"/>
                            <w:jc w:val="both"/>
                            <w:rPr>
                              <w:sz w:val="16"/>
                              <w:szCs w:val="16"/>
                            </w:rPr>
                          </w:pPr>
                        </w:p>
                      </w:sdtContent>
                    </w:sdt>
                  </w:sdtContent>
                </w:sdt>
              </w:sdtContent>
            </w:sdt>
          </w:sdtContent>
        </w:sdt>
        <w:sdt>
          <w:sdtPr>
            <w:alias w:val="2 str."/>
            <w:tag w:val="part_38730616ae6c4b5aa35ff1a0f6d3c8f8"/>
            <w:lock w:val="sdtLocked"/>
            <w:richText/>
          </w:sdtPr>
          <w:sdtContent>
            <w:p>
              <w:pPr>
                <w:ind w:firstLine="720"/>
                <w:jc w:val="both"/>
                <w:rPr>
                  <w:b/>
                  <w:szCs w:val="24"/>
                </w:rPr>
              </w:pPr>
              <w:sdt>
                <w:sdtPr>
                  <w:alias w:val="Numeris"/>
                  <w:tag w:val="nr_38730616ae6c4b5aa35ff1a0f6d3c8f8"/>
                  <w:lock w:val="sdtLocked"/>
                  <w:richText/>
                </w:sdtPr>
                <w:sdtContent>
                  <w:r>
                    <w:rPr>
                      <w:b/>
                      <w:szCs w:val="24"/>
                    </w:rPr>
                    <w:t>2</w:t>
                  </w:r>
                </w:sdtContent>
              </w:sdt>
              <w:r>
                <w:rPr>
                  <w:b/>
                  <w:szCs w:val="24"/>
                </w:rPr>
                <w:t xml:space="preserve"> straipsnis. </w:t>
              </w:r>
              <w:sdt>
                <w:sdtPr>
                  <w:alias w:val="Pavadinimas"/>
                  <w:tag w:val="title_38730616ae6c4b5aa35ff1a0f6d3c8f8"/>
                  <w:lock w:val="sdtLocked"/>
                  <w:richText/>
                </w:sdtPr>
                <w:sdtContent>
                  <w:r>
                    <w:rPr>
                      <w:b/>
                      <w:szCs w:val="24"/>
                    </w:rPr>
                    <w:t>4 straipsnio pakeitimas</w:t>
                  </w:r>
                </w:sdtContent>
              </w:sdt>
            </w:p>
            <w:sdt>
              <w:sdtPr>
                <w:alias w:val="2 str. 1 d."/>
                <w:tag w:val="part_fb68c742ba9c412aabd1161f0054653f"/>
                <w:lock w:val="sdtLocked"/>
                <w:richText/>
              </w:sdtPr>
              <w:sdtContent>
                <w:p>
                  <w:pPr>
                    <w:ind w:left="720"/>
                    <w:jc w:val="both"/>
                    <w:rPr>
                      <w:szCs w:val="24"/>
                    </w:rPr>
                  </w:pPr>
                  <w:sdt>
                    <w:sdtPr>
                      <w:alias w:val="Numeris"/>
                      <w:tag w:val="nr_fb68c742ba9c412aabd1161f0054653f"/>
                      <w:lock w:val="sdtLocked"/>
                      <w:richText/>
                    </w:sdtPr>
                    <w:sdtContent>
                      <w:r>
                        <w:rPr>
                          <w:szCs w:val="24"/>
                        </w:rPr>
                        <w:t>1</w:t>
                      </w:r>
                    </w:sdtContent>
                  </w:sdt>
                  <w:r>
                    <w:rPr>
                      <w:szCs w:val="24"/>
                    </w:rPr>
                    <w:t>. Pakeisti 4 straipsnio 1 dalį ir ją išdėstyti taip:</w:t>
                  </w:r>
                </w:p>
                <w:sdt>
                  <w:sdtPr>
                    <w:alias w:val="citata"/>
                    <w:tag w:val="part_609778c6990c45cfa221ff967ff30107"/>
                    <w:lock w:val="sdtLocked"/>
                    <w:richText/>
                  </w:sdtPr>
                  <w:sdtContent>
                    <w:sdt>
                      <w:sdtPr>
                        <w:alias w:val="1 d."/>
                        <w:tag w:val="part_4a1bb2f9b82545aead5157db95dec61e"/>
                        <w:lock w:val="sdtLocked"/>
                        <w:richText/>
                      </w:sdtPr>
                      <w:sdtContent>
                        <w:p>
                          <w:pPr>
                            <w:ind w:firstLine="720"/>
                            <w:jc w:val="both"/>
                            <w:rPr>
                              <w:szCs w:val="24"/>
                              <w:lang w:eastAsia="lt-LT"/>
                            </w:rPr>
                          </w:pPr>
                          <w:r>
                            <w:rPr>
                              <w:szCs w:val="24"/>
                              <w:lang w:eastAsia="lt-LT"/>
                            </w:rPr>
                            <w:t>„</w:t>
                          </w:r>
                          <w:sdt>
                            <w:sdtPr>
                              <w:alias w:val="Numeris"/>
                              <w:tag w:val="nr_4a1bb2f9b82545aead5157db95dec61e"/>
                              <w:lock w:val="sdtLocked"/>
                              <w:richText/>
                            </w:sdtPr>
                            <w:sdtContent>
                              <w:r>
                                <w:rPr>
                                  <w:szCs w:val="24"/>
                                  <w:lang w:eastAsia="lt-LT"/>
                                </w:rPr>
                                <w:t>1</w:t>
                              </w:r>
                            </w:sdtContent>
                          </w:sdt>
                          <w:r>
                            <w:rPr>
                              <w:szCs w:val="24"/>
                              <w:lang w:eastAsia="lt-LT"/>
                            </w:rPr>
                            <w:t>. Fondo biudžeto pajamos, gaunamos iš įmokų, kitiems biudžetiniams metams planuojamos kiekvienai valstybinio socialinio draudimo įmokų mokėtojų grupei taip:</w:t>
                          </w:r>
                        </w:p>
                        <w:sdt>
                          <w:sdtPr>
                            <w:alias w:val="1 d. 1 p."/>
                            <w:tag w:val="part_5dc3821c8ce649b8bdd40dd27689dba3"/>
                            <w:lock w:val="sdtLocked"/>
                            <w:richText/>
                          </w:sdtPr>
                          <w:sdtContent>
                            <w:p>
                              <w:pPr>
                                <w:ind w:firstLine="720"/>
                                <w:jc w:val="both"/>
                                <w:rPr>
                                  <w:szCs w:val="24"/>
                                  <w:lang w:eastAsia="lt-LT"/>
                                </w:rPr>
                              </w:pPr>
                              <w:sdt>
                                <w:sdtPr>
                                  <w:alias w:val="Numeris"/>
                                  <w:tag w:val="nr_5dc3821c8ce649b8bdd40dd27689dba3"/>
                                  <w:lock w:val="sdtLocked"/>
                                  <w:richText/>
                                </w:sdtPr>
                                <w:sdtContent>
                                  <w:r>
                                    <w:rPr>
                                      <w:color w:val="000000"/>
                                      <w:szCs w:val="24"/>
                                      <w:lang w:eastAsia="lt-LT"/>
                                    </w:rPr>
                                    <w:t>1</w:t>
                                  </w:r>
                                </w:sdtContent>
                              </w:sdt>
                              <w:r>
                                <w:rPr>
                                  <w:color w:val="000000"/>
                                  <w:szCs w:val="24"/>
                                  <w:lang w:eastAsia="lt-LT"/>
                                </w:rPr>
                                <w:t>) draudėjų ir apdraustųjų įmokos – atsižvelgiant į Finansų ministerijos parengtą atitinkamų metų šalies ekonominės raidos scenarijų (toliau – šalies ekonominės raidos scenarijus), kitiems biudžetiniams metams numatomus įmokų tarifus atskiroms socialinio draudimo rūšims, draudžiamųjų pajamų bazės ir apdraustųjų skaičiaus kitimą per paskutinius dvejus metus</w:t>
                              </w:r>
                              <w:r>
                                <w:rPr>
                                  <w:szCs w:val="24"/>
                                  <w:lang w:eastAsia="lt-LT"/>
                                </w:rPr>
                                <w:t>;</w:t>
                              </w:r>
                            </w:p>
                          </w:sdtContent>
                        </w:sdt>
                        <w:sdt>
                          <w:sdtPr>
                            <w:alias w:val="1 d. 2 p."/>
                            <w:tag w:val="part_6f3538beb34e4537980c70666021cb56"/>
                            <w:lock w:val="sdtLocked"/>
                            <w:richText/>
                          </w:sdtPr>
                          <w:sdtContent>
                            <w:p>
                              <w:pPr>
                                <w:ind w:firstLine="720"/>
                                <w:jc w:val="both"/>
                                <w:rPr>
                                  <w:szCs w:val="24"/>
                                  <w:lang w:eastAsia="lt-LT"/>
                                </w:rPr>
                              </w:pPr>
                              <w:sdt>
                                <w:sdtPr>
                                  <w:alias w:val="Numeris"/>
                                  <w:tag w:val="nr_6f3538beb34e4537980c70666021cb56"/>
                                  <w:lock w:val="sdtLocked"/>
                                  <w:richText/>
                                </w:sdtPr>
                                <w:sdtContent>
                                  <w:r>
                                    <w:rPr>
                                      <w:szCs w:val="24"/>
                                      <w:lang w:eastAsia="lt-LT"/>
                                    </w:rPr>
                                    <w:t>2</w:t>
                                  </w:r>
                                </w:sdtContent>
                              </w:sdt>
                              <w:r>
                                <w:rPr>
                                  <w:szCs w:val="24"/>
                                  <w:lang w:eastAsia="lt-LT"/>
                                </w:rPr>
                                <w:t>) savarankiškai dirbančių asmenų įmokos – atsižvelgiant į šių asmenų socialiniam draudimui deklaruotų pajamų ir šių asmenų skaičiaus kitimą per paskutinius dvejus metus, kitiems biudžetiniams metams numatomus minimaliosios mėnesinės algos (toliau – MMA) dydžius;</w:t>
                              </w:r>
                            </w:p>
                          </w:sdtContent>
                        </w:sdt>
                        <w:sdt>
                          <w:sdtPr>
                            <w:alias w:val="1 d. 3 p."/>
                            <w:tag w:val="part_673e4320c14b410aa3e44a79e54fc4dc"/>
                            <w:lock w:val="sdtLocked"/>
                            <w:richText/>
                          </w:sdtPr>
                          <w:sdtContent>
                            <w:p>
                              <w:pPr>
                                <w:ind w:firstLine="720"/>
                                <w:jc w:val="both"/>
                                <w:rPr>
                                  <w:szCs w:val="24"/>
                                  <w:lang w:eastAsia="lt-LT"/>
                                </w:rPr>
                              </w:pPr>
                              <w:sdt>
                                <w:sdtPr>
                                  <w:alias w:val="Numeris"/>
                                  <w:tag w:val="nr_673e4320c14b410aa3e44a79e54fc4dc"/>
                                  <w:lock w:val="sdtLocked"/>
                                  <w:richText/>
                                </w:sdtPr>
                                <w:sdtContent>
                                  <w:r>
                                    <w:rPr>
                                      <w:szCs w:val="24"/>
                                      <w:lang w:eastAsia="lt-LT"/>
                                    </w:rPr>
                                    <w:t>3</w:t>
                                  </w:r>
                                </w:sdtContent>
                              </w:sdt>
                              <w:r>
                                <w:rPr>
                                  <w:szCs w:val="24"/>
                                  <w:lang w:eastAsia="lt-LT"/>
                                </w:rPr>
                                <w:t>) savanoriškuoju socialiniu draudimu apsidraudusių asmenų įmokos – atsižvelgiant į savanoriškojo socialinio draudimo sutarčių skaičiaus kitimą per paskutinius dvejus metus;</w:t>
                              </w:r>
                            </w:p>
                          </w:sdtContent>
                        </w:sdt>
                        <w:sdt>
                          <w:sdtPr>
                            <w:alias w:val="1 d. 4 p."/>
                            <w:tag w:val="part_f31564469f08494a837d4821cfe4a7b5"/>
                            <w:lock w:val="sdtLocked"/>
                            <w:richText/>
                          </w:sdtPr>
                          <w:sdtContent>
                            <w:p>
                              <w:pPr>
                                <w:ind w:firstLine="720"/>
                                <w:jc w:val="both"/>
                                <w:rPr>
                                  <w:szCs w:val="24"/>
                                  <w:lang w:eastAsia="lt-LT"/>
                                </w:rPr>
                              </w:pPr>
                              <w:sdt>
                                <w:sdtPr>
                                  <w:alias w:val="Numeris"/>
                                  <w:tag w:val="nr_f31564469f08494a837d4821cfe4a7b5"/>
                                  <w:lock w:val="sdtLocked"/>
                                  <w:richText/>
                                </w:sdtPr>
                                <w:sdtContent>
                                  <w:r>
                                    <w:rPr>
                                      <w:szCs w:val="24"/>
                                      <w:lang w:eastAsia="lt-LT"/>
                                    </w:rPr>
                                    <w:t>4</w:t>
                                  </w:r>
                                </w:sdtContent>
                              </w:sdt>
                              <w:r>
                                <w:rPr>
                                  <w:szCs w:val="24"/>
                                  <w:lang w:eastAsia="lt-LT"/>
                                </w:rPr>
                                <w:t>) valstybės biudžeto už valstybės lėšomis draudžiamus asmenis įmokos – atsižvelgiant į šių asmenų skaičiaus kitimą per paskutinius dvejus metus, kitiems biudžetiniams metams numatomus MMA dydžius.“</w:t>
                              </w:r>
                            </w:p>
                          </w:sdtContent>
                        </w:sdt>
                      </w:sdtContent>
                    </w:sdt>
                  </w:sdtContent>
                </w:sdt>
              </w:sdtContent>
            </w:sdt>
            <w:sdt>
              <w:sdtPr>
                <w:alias w:val="2 str. 2 d."/>
                <w:tag w:val="part_d4471ccf806844699ec4bb1f1e648ff8"/>
                <w:lock w:val="sdtLocked"/>
                <w:richText/>
              </w:sdtPr>
              <w:sdtContent>
                <w:p>
                  <w:pPr>
                    <w:ind w:firstLine="720"/>
                    <w:jc w:val="both"/>
                    <w:rPr>
                      <w:szCs w:val="24"/>
                    </w:rPr>
                  </w:pPr>
                  <w:sdt>
                    <w:sdtPr>
                      <w:alias w:val="Numeris"/>
                      <w:tag w:val="nr_d4471ccf806844699ec4bb1f1e648ff8"/>
                      <w:lock w:val="sdtLocked"/>
                      <w:richText/>
                    </w:sdtPr>
                    <w:sdtContent>
                      <w:r>
                        <w:rPr>
                          <w:szCs w:val="24"/>
                        </w:rPr>
                        <w:t>2</w:t>
                      </w:r>
                    </w:sdtContent>
                  </w:sdt>
                  <w:r>
                    <w:rPr>
                      <w:szCs w:val="24"/>
                    </w:rPr>
                    <w:t>. Pakeisti 4 straipsnio 4 dalį ir ją išdėstyti taip:</w:t>
                  </w:r>
                </w:p>
                <w:sdt>
                  <w:sdtPr>
                    <w:alias w:val="citata"/>
                    <w:tag w:val="part_c9073d9d5d724bd09ddf7279f6ee7a1e"/>
                    <w:lock w:val="sdtLocked"/>
                    <w:richText/>
                  </w:sdtPr>
                  <w:sdtContent>
                    <w:sdt>
                      <w:sdtPr>
                        <w:alias w:val="4 d."/>
                        <w:tag w:val="part_6ad12ba3986c4304833b95c62ea884b5"/>
                        <w:lock w:val="sdtLocked"/>
                        <w:richText/>
                      </w:sdtPr>
                      <w:sdtContent>
                        <w:p>
                          <w:pPr>
                            <w:ind w:firstLine="720"/>
                            <w:jc w:val="both"/>
                            <w:rPr>
                              <w:rFonts w:eastAsia="Arial Unicode MS"/>
                              <w:szCs w:val="24"/>
                            </w:rPr>
                          </w:pPr>
                          <w:r>
                            <w:rPr>
                              <w:rFonts w:eastAsia="Arial Unicode MS"/>
                              <w:szCs w:val="24"/>
                            </w:rPr>
                            <w:t>„</w:t>
                          </w:r>
                          <w:sdt>
                            <w:sdtPr>
                              <w:alias w:val="Numeris"/>
                              <w:tag w:val="nr_6ad12ba3986c4304833b95c62ea884b5"/>
                              <w:lock w:val="sdtLocked"/>
                              <w:richText/>
                            </w:sdtPr>
                            <w:sdtContent>
                              <w:r>
                                <w:rPr>
                                  <w:rFonts w:eastAsia="Arial Unicode MS"/>
                                  <w:szCs w:val="24"/>
                                </w:rPr>
                                <w:t>4</w:t>
                              </w:r>
                            </w:sdtContent>
                          </w:sdt>
                          <w:r>
                            <w:rPr>
                              <w:rFonts w:eastAsia="Arial Unicode MS"/>
                              <w:szCs w:val="24"/>
                            </w:rPr>
                            <w:t>. Asignavimai iš valstybės biudžeto Fondo biudžetui gali būti skiriami atsižvelgiant į Fondo finansinę padėtį, kai dėl Seimo ar Vyriausybės priimtų teisės aktų padidėja Fondo išlaidos arba sumažėja jo pajamos, o įmokų tarifai atskiroms socialinio draudimo rūšims nekeičiami arba keičiami nepakankamai. Sprendimą dėl šių papildomų asignavimų priima Seimas, tvirtindamas</w:t>
                          </w:r>
                          <w:r>
                            <w:rPr>
                              <w:rFonts w:eastAsia="Calibri"/>
                              <w:szCs w:val="24"/>
                            </w:rPr>
                            <w:t xml:space="preserve"> Lietuvos Respublikos valstybės biudžeto ir savivaldybių biudžetų finansinių rodiklių patvirtinimo įstatymą ir</w:t>
                          </w:r>
                          <w:r>
                            <w:rPr>
                              <w:rFonts w:eastAsia="Arial Unicode MS"/>
                              <w:szCs w:val="24"/>
                            </w:rPr>
                            <w:t xml:space="preserve"> Fondo biudžetą atitinkamiems biudžetiniams metams.“</w:t>
                          </w:r>
                        </w:p>
                        <w:p>
                          <w:pPr>
                            <w:ind w:firstLine="720"/>
                            <w:jc w:val="both"/>
                            <w:rPr>
                              <w:sz w:val="16"/>
                              <w:szCs w:val="16"/>
                            </w:rPr>
                          </w:pPr>
                        </w:p>
                      </w:sdtContent>
                    </w:sdt>
                  </w:sdtContent>
                </w:sdt>
              </w:sdtContent>
            </w:sdt>
          </w:sdtContent>
        </w:sdt>
        <w:sdt>
          <w:sdtPr>
            <w:alias w:val="3 str."/>
            <w:tag w:val="part_f437c2fb22c4449fbb61ec71f9c00f7f"/>
            <w:lock w:val="sdtLocked"/>
            <w:richText/>
          </w:sdtPr>
          <w:sdtContent>
            <w:p>
              <w:pPr>
                <w:ind w:firstLine="720"/>
                <w:jc w:val="both"/>
                <w:rPr>
                  <w:b/>
                  <w:szCs w:val="24"/>
                </w:rPr>
              </w:pPr>
              <w:sdt>
                <w:sdtPr>
                  <w:alias w:val="Numeris"/>
                  <w:tag w:val="nr_f437c2fb22c4449fbb61ec71f9c00f7f"/>
                  <w:lock w:val="sdtLocked"/>
                  <w:richText/>
                </w:sdtPr>
                <w:sdtContent>
                  <w:r>
                    <w:rPr>
                      <w:b/>
                      <w:szCs w:val="24"/>
                    </w:rPr>
                    <w:t>3</w:t>
                  </w:r>
                </w:sdtContent>
              </w:sdt>
              <w:r>
                <w:rPr>
                  <w:b/>
                  <w:szCs w:val="24"/>
                </w:rPr>
                <w:t xml:space="preserve"> straipsnis. </w:t>
              </w:r>
              <w:sdt>
                <w:sdtPr>
                  <w:alias w:val="Pavadinimas"/>
                  <w:tag w:val="title_f437c2fb22c4449fbb61ec71f9c00f7f"/>
                  <w:lock w:val="sdtLocked"/>
                  <w:richText/>
                </w:sdtPr>
                <w:sdtContent>
                  <w:r>
                    <w:rPr>
                      <w:b/>
                      <w:szCs w:val="24"/>
                    </w:rPr>
                    <w:t>5 straipsnio pakeitimas</w:t>
                  </w:r>
                </w:sdtContent>
              </w:sdt>
            </w:p>
            <w:sdt>
              <w:sdtPr>
                <w:alias w:val="3 str. 1 d."/>
                <w:tag w:val="part_f437f08dc3d54fa2afe45e06aefd7ad5"/>
                <w:lock w:val="sdtLocked"/>
                <w:richText/>
              </w:sdtPr>
              <w:sdtContent>
                <w:p>
                  <w:pPr>
                    <w:ind w:firstLine="720"/>
                    <w:jc w:val="both"/>
                    <w:rPr>
                      <w:szCs w:val="24"/>
                    </w:rPr>
                  </w:pPr>
                  <w:r>
                    <w:rPr>
                      <w:szCs w:val="24"/>
                    </w:rPr>
                    <w:t>Pakeisti 5 straipsnio 1 dalį ir ją išdėstyti taip:</w:t>
                  </w:r>
                </w:p>
                <w:sdt>
                  <w:sdtPr>
                    <w:alias w:val="citata"/>
                    <w:tag w:val="part_1aebe1935ce54e8b826331bab3b3f77b"/>
                    <w:lock w:val="sdtLocked"/>
                    <w:richText/>
                  </w:sdtPr>
                  <w:sdtContent>
                    <w:sdt>
                      <w:sdtPr>
                        <w:alias w:val="1 d."/>
                        <w:tag w:val="part_6ea6651ea0df4b7ea0632f84193e66cb"/>
                        <w:lock w:val="sdtLocked"/>
                        <w:richText/>
                      </w:sdtPr>
                      <w:sdtContent>
                        <w:p>
                          <w:pPr>
                            <w:tabs>
                              <w:tab w:val="left" w:pos="709"/>
                            </w:tabs>
                            <w:ind w:firstLine="720"/>
                            <w:jc w:val="both"/>
                            <w:rPr>
                              <w:szCs w:val="24"/>
                              <w:lang w:eastAsia="lt-LT"/>
                            </w:rPr>
                          </w:pPr>
                          <w:r>
                            <w:rPr>
                              <w:bCs/>
                              <w:szCs w:val="24"/>
                            </w:rPr>
                            <w:t>„</w:t>
                          </w:r>
                          <w:sdt>
                            <w:sdtPr>
                              <w:alias w:val="Numeris"/>
                              <w:tag w:val="nr_6ea6651ea0df4b7ea0632f84193e66cb"/>
                              <w:lock w:val="sdtLocked"/>
                              <w:richText/>
                            </w:sdtPr>
                            <w:sdtContent>
                              <w:r>
                                <w:rPr>
                                  <w:szCs w:val="24"/>
                                  <w:lang w:eastAsia="lt-LT"/>
                                </w:rPr>
                                <w:t>1</w:t>
                              </w:r>
                            </w:sdtContent>
                          </w:sdt>
                          <w:r>
                            <w:rPr>
                              <w:szCs w:val="24"/>
                              <w:lang w:eastAsia="lt-LT"/>
                            </w:rPr>
                            <w:t>. Fondo biudžeto išlaidų pagrindą sudaro Fondo išlaidos atskiroms socialinio draudimo rūšims, tai yra:</w:t>
                          </w:r>
                        </w:p>
                        <w:sdt>
                          <w:sdtPr>
                            <w:alias w:val="1 d. 1 p."/>
                            <w:tag w:val="part_4fea07a265d34643b4006c78c9736805"/>
                            <w:lock w:val="sdtLocked"/>
                            <w:richText/>
                          </w:sdtPr>
                          <w:sdtContent>
                            <w:p>
                              <w:pPr>
                                <w:ind w:firstLine="720"/>
                                <w:jc w:val="both"/>
                                <w:rPr>
                                  <w:szCs w:val="24"/>
                                  <w:lang w:eastAsia="lt-LT"/>
                                </w:rPr>
                              </w:pPr>
                              <w:sdt>
                                <w:sdtPr>
                                  <w:alias w:val="Numeris"/>
                                  <w:tag w:val="nr_4fea07a265d34643b4006c78c9736805"/>
                                  <w:lock w:val="sdtLocked"/>
                                  <w:richText/>
                                </w:sdtPr>
                                <w:sdtContent>
                                  <w:r>
                                    <w:rPr>
                                      <w:szCs w:val="24"/>
                                      <w:lang w:eastAsia="lt-LT"/>
                                    </w:rPr>
                                    <w:t>1</w:t>
                                  </w:r>
                                </w:sdtContent>
                              </w:sdt>
                              <w:r>
                                <w:rPr>
                                  <w:szCs w:val="24"/>
                                  <w:lang w:eastAsia="lt-LT"/>
                                </w:rPr>
                                <w:t xml:space="preserve">) pensijų socialiniam draudimui – Fondo išlaidos socialinio draudimo pensijoms ir kompensacijoms už ypatingas darbo sąlygas, numatytoms Socialinio draudimo pensijų įstatyme, taip pat šių išmokų gavėjus laidojusiems asmenims </w:t>
                              </w:r>
                              <w:r>
                                <w:rPr>
                                  <w:szCs w:val="24"/>
                                </w:rPr>
                                <w:t xml:space="preserve">nurodyto įstatymo </w:t>
                              </w:r>
                              <w:r>
                                <w:rPr>
                                  <w:szCs w:val="24"/>
                                  <w:lang w:eastAsia="lt-LT"/>
                                </w:rPr>
                                <w:t>nustatyta tvarka išmokėtos sumos;</w:t>
                              </w:r>
                            </w:p>
                          </w:sdtContent>
                        </w:sdt>
                        <w:sdt>
                          <w:sdtPr>
                            <w:alias w:val="1 d. 2 p."/>
                            <w:tag w:val="part_2b55b02ebebb43ea8f690e9dad5fcd42"/>
                            <w:lock w:val="sdtLocked"/>
                            <w:richText/>
                          </w:sdtPr>
                          <w:sdtContent>
                            <w:p>
                              <w:pPr>
                                <w:ind w:firstLine="720"/>
                                <w:jc w:val="both"/>
                                <w:rPr>
                                  <w:szCs w:val="24"/>
                                  <w:lang w:eastAsia="lt-LT"/>
                                </w:rPr>
                              </w:pPr>
                              <w:sdt>
                                <w:sdtPr>
                                  <w:alias w:val="Numeris"/>
                                  <w:tag w:val="nr_2b55b02ebebb43ea8f690e9dad5fcd42"/>
                                  <w:lock w:val="sdtLocked"/>
                                  <w:richText/>
                                </w:sdtPr>
                                <w:sdtContent>
                                  <w:r>
                                    <w:rPr>
                                      <w:szCs w:val="24"/>
                                      <w:lang w:eastAsia="lt-LT"/>
                                    </w:rPr>
                                    <w:t>2</w:t>
                                  </w:r>
                                </w:sdtContent>
                              </w:sdt>
                              <w:r>
                                <w:rPr>
                                  <w:szCs w:val="24"/>
                                  <w:lang w:eastAsia="lt-LT"/>
                                </w:rPr>
                                <w:t>) lėšos, pervedamos į pensijų fondus, – pensijų kaupimo bendrovėms pervedamos socialinio pensijų draudimo įmokų dalies, numatytos Pensijų sistemos reformos įstatyme, sumos;</w:t>
                              </w:r>
                            </w:p>
                          </w:sdtContent>
                        </w:sdt>
                        <w:sdt>
                          <w:sdtPr>
                            <w:alias w:val="1 d. 3 p."/>
                            <w:tag w:val="part_7f9004cfb8b245a298cd4d2e1e85b1b4"/>
                            <w:lock w:val="sdtLocked"/>
                            <w:richText/>
                          </w:sdtPr>
                          <w:sdtContent>
                            <w:p>
                              <w:pPr>
                                <w:ind w:firstLine="720"/>
                                <w:jc w:val="both"/>
                                <w:rPr>
                                  <w:szCs w:val="24"/>
                                  <w:lang w:eastAsia="lt-LT"/>
                                </w:rPr>
                              </w:pPr>
                              <w:sdt>
                                <w:sdtPr>
                                  <w:alias w:val="Numeris"/>
                                  <w:tag w:val="nr_7f9004cfb8b245a298cd4d2e1e85b1b4"/>
                                  <w:lock w:val="sdtLocked"/>
                                  <w:richText/>
                                </w:sdtPr>
                                <w:sdtContent>
                                  <w:r>
                                    <w:rPr>
                                      <w:szCs w:val="24"/>
                                      <w:lang w:eastAsia="lt-LT"/>
                                    </w:rPr>
                                    <w:t>3</w:t>
                                  </w:r>
                                </w:sdtContent>
                              </w:sdt>
                              <w:r>
                                <w:rPr>
                                  <w:szCs w:val="24"/>
                                  <w:lang w:eastAsia="lt-LT"/>
                                </w:rPr>
                                <w:t>) ligos socialiniam draudimui – Fondo biudžeto išlaidos socialinio draudimo išmokoms, numatytoms Ligos ir motinystės socialinio draudimo įstatyme, ir savanoriškojo socialinio draudimo ligos išmokoms;</w:t>
                              </w:r>
                            </w:p>
                          </w:sdtContent>
                        </w:sdt>
                        <w:sdt>
                          <w:sdtPr>
                            <w:alias w:val="1 d. 4 p."/>
                            <w:tag w:val="part_fefdca63e59d4fd696660cd9217a20bd"/>
                            <w:lock w:val="sdtLocked"/>
                            <w:richText/>
                          </w:sdtPr>
                          <w:sdtContent>
                            <w:p>
                              <w:pPr>
                                <w:ind w:firstLine="720"/>
                                <w:jc w:val="both"/>
                                <w:rPr>
                                  <w:szCs w:val="24"/>
                                </w:rPr>
                              </w:pPr>
                              <w:sdt>
                                <w:sdtPr>
                                  <w:alias w:val="Numeris"/>
                                  <w:tag w:val="nr_fefdca63e59d4fd696660cd9217a20bd"/>
                                  <w:lock w:val="sdtLocked"/>
                                  <w:richText/>
                                </w:sdtPr>
                                <w:sdtContent>
                                  <w:r>
                                    <w:rPr>
                                      <w:szCs w:val="24"/>
                                    </w:rPr>
                                    <w:t>4</w:t>
                                  </w:r>
                                </w:sdtContent>
                              </w:sdt>
                              <w:r>
                                <w:rPr>
                                  <w:szCs w:val="24"/>
                                </w:rPr>
                                <w:t>) motinystės socialiniam draudimui – Fondo biudžeto išlaidos socialinio draudimo išmokoms, numatytoms Ligos ir motinystės socialinio draudimo įstatyme, ir savanoriškojo socialinio draudimo motinystės išmokoms;</w:t>
                              </w:r>
                            </w:p>
                          </w:sdtContent>
                        </w:sdt>
                        <w:sdt>
                          <w:sdtPr>
                            <w:alias w:val="1 d. 5 p."/>
                            <w:tag w:val="part_b1a1f1886d844ccf9d4dfc0f5d6e3ab5"/>
                            <w:lock w:val="sdtLocked"/>
                            <w:richText/>
                          </w:sdtPr>
                          <w:sdtContent>
                            <w:p>
                              <w:pPr>
                                <w:ind w:firstLine="720"/>
                                <w:jc w:val="both"/>
                                <w:rPr>
                                  <w:szCs w:val="24"/>
                                  <w:lang w:eastAsia="lt-LT"/>
                                </w:rPr>
                              </w:pPr>
                              <w:sdt>
                                <w:sdtPr>
                                  <w:alias w:val="Numeris"/>
                                  <w:tag w:val="nr_b1a1f1886d844ccf9d4dfc0f5d6e3ab5"/>
                                  <w:lock w:val="sdtLocked"/>
                                  <w:richText/>
                                </w:sdtPr>
                                <w:sdtContent>
                                  <w:r>
                                    <w:rPr>
                                      <w:szCs w:val="24"/>
                                      <w:lang w:eastAsia="lt-LT"/>
                                    </w:rPr>
                                    <w:t>5</w:t>
                                  </w:r>
                                </w:sdtContent>
                              </w:sdt>
                              <w:r>
                                <w:rPr>
                                  <w:szCs w:val="24"/>
                                  <w:lang w:eastAsia="lt-LT"/>
                                </w:rPr>
                                <w:t xml:space="preserve">) nedarbo socialiniam draudimui – Fondo biudžeto išlaidos nedarbo socialinio draudimo išmokoms ir </w:t>
                              </w:r>
                              <w:r>
                                <w:rPr>
                                  <w:bCs/>
                                  <w:szCs w:val="24"/>
                                </w:rPr>
                                <w:t>dalinio darbo išmokoms</w:t>
                              </w:r>
                              <w:r>
                                <w:rPr>
                                  <w:szCs w:val="24"/>
                                  <w:lang w:eastAsia="lt-LT"/>
                                </w:rPr>
                                <w:t xml:space="preserve"> bei Užimtumo įstatymo nustatytoms aktyvios darbo rinkos politikos priemonėms įgyvendinti;</w:t>
                              </w:r>
                            </w:p>
                          </w:sdtContent>
                        </w:sdt>
                        <w:sdt>
                          <w:sdtPr>
                            <w:alias w:val="1 d. 6 p."/>
                            <w:tag w:val="part_b5de8ce4039a40a0a80261ad462971bf"/>
                            <w:lock w:val="sdtLocked"/>
                            <w:richText/>
                          </w:sdtPr>
                          <w:sdtContent>
                            <w:p>
                              <w:pPr>
                                <w:ind w:firstLine="720"/>
                                <w:jc w:val="both"/>
                                <w:rPr>
                                  <w:strike/>
                                  <w:szCs w:val="24"/>
                                  <w:lang w:eastAsia="lt-LT"/>
                                </w:rPr>
                              </w:pPr>
                              <w:sdt>
                                <w:sdtPr>
                                  <w:alias w:val="Numeris"/>
                                  <w:tag w:val="nr_b5de8ce4039a40a0a80261ad462971bf"/>
                                  <w:lock w:val="sdtLocked"/>
                                  <w:richText/>
                                </w:sdtPr>
                                <w:sdtContent>
                                  <w:r>
                                    <w:rPr>
                                      <w:szCs w:val="24"/>
                                      <w:lang w:eastAsia="lt-LT"/>
                                    </w:rPr>
                                    <w:t>6</w:t>
                                  </w:r>
                                </w:sdtContent>
                              </w:sdt>
                              <w:r>
                                <w:rPr>
                                  <w:szCs w:val="24"/>
                                  <w:lang w:eastAsia="lt-LT"/>
                                </w:rPr>
                                <w:t>) nelaimingų atsitikimų darbe ir profesinių ligų socialiniam draudimui (toliau – nelaimingų atsitikimų darbe socialinis draudimas) – Fondo biudžeto išlaidos visų rūšių socialinio draudimo išmokoms, numatytoms Nelaimingų atsitikimų darbe ir profesinių ligų socialinio draudimo įstatyme.</w:t>
                              </w:r>
                              <w:r>
                                <w:rPr>
                                  <w:color w:val="000000"/>
                                  <w:szCs w:val="24"/>
                                  <w:lang w:eastAsia="lt-LT"/>
                                </w:rPr>
                                <w:t>“</w:t>
                              </w:r>
                            </w:p>
                            <w:p>
                              <w:pPr>
                                <w:ind w:firstLine="720"/>
                                <w:jc w:val="both"/>
                                <w:rPr>
                                  <w:sz w:val="16"/>
                                  <w:szCs w:val="16"/>
                                </w:rPr>
                              </w:pPr>
                            </w:p>
                          </w:sdtContent>
                        </w:sdt>
                      </w:sdtContent>
                    </w:sdt>
                  </w:sdtContent>
                </w:sdt>
              </w:sdtContent>
            </w:sdt>
          </w:sdtContent>
        </w:sdt>
        <w:sdt>
          <w:sdtPr>
            <w:alias w:val="4 str."/>
            <w:tag w:val="part_6c5ef24dbc254552abf4a7cb15d2c804"/>
            <w:lock w:val="sdtLocked"/>
            <w:richText/>
          </w:sdtPr>
          <w:sdtContent>
            <w:p>
              <w:pPr>
                <w:tabs>
                  <w:tab w:val="left" w:pos="720"/>
                </w:tabs>
                <w:ind w:firstLine="720"/>
                <w:jc w:val="both"/>
                <w:rPr>
                  <w:b/>
                  <w:bCs/>
                  <w:szCs w:val="24"/>
                </w:rPr>
              </w:pPr>
              <w:sdt>
                <w:sdtPr>
                  <w:alias w:val="Numeris"/>
                  <w:tag w:val="nr_6c5ef24dbc254552abf4a7cb15d2c804"/>
                  <w:lock w:val="sdtLocked"/>
                  <w:richText/>
                </w:sdtPr>
                <w:sdtContent>
                  <w:r>
                    <w:rPr>
                      <w:b/>
                      <w:bCs/>
                      <w:szCs w:val="24"/>
                    </w:rPr>
                    <w:t>4</w:t>
                  </w:r>
                </w:sdtContent>
              </w:sdt>
              <w:r>
                <w:rPr>
                  <w:b/>
                  <w:bCs/>
                  <w:szCs w:val="24"/>
                </w:rPr>
                <w:t xml:space="preserve"> straipsnis. </w:t>
              </w:r>
              <w:sdt>
                <w:sdtPr>
                  <w:alias w:val="Pavadinimas"/>
                  <w:tag w:val="title_6c5ef24dbc254552abf4a7cb15d2c804"/>
                  <w:lock w:val="sdtLocked"/>
                  <w:richText/>
                </w:sdtPr>
                <w:sdtContent>
                  <w:r>
                    <w:rPr>
                      <w:rFonts w:eastAsia="Calibri"/>
                      <w:b/>
                      <w:bCs/>
                      <w:color w:val="000000"/>
                      <w:szCs w:val="24"/>
                      <w:shd w:val="clear" w:color="auto" w:fill="FFFFFF"/>
                    </w:rPr>
                    <w:t>11 straipsnio pakeitimas</w:t>
                  </w:r>
                </w:sdtContent>
              </w:sdt>
            </w:p>
            <w:sdt>
              <w:sdtPr>
                <w:alias w:val="4 str. 1 d."/>
                <w:tag w:val="part_e18c4a456d594974a5062a8ef1b54648"/>
                <w:lock w:val="sdtLocked"/>
                <w:richText/>
              </w:sdtPr>
              <w:sdtContent>
                <w:p>
                  <w:pPr>
                    <w:tabs>
                      <w:tab w:val="left" w:pos="720"/>
                    </w:tabs>
                    <w:ind w:firstLine="720"/>
                    <w:jc w:val="both"/>
                    <w:rPr>
                      <w:bCs/>
                      <w:szCs w:val="24"/>
                    </w:rPr>
                  </w:pPr>
                  <w:r>
                    <w:rPr>
                      <w:bCs/>
                      <w:szCs w:val="24"/>
                    </w:rPr>
                    <w:t>Pakeisti 11 straipsnio 1 dalį ir ją išdėstyti taip:</w:t>
                  </w:r>
                </w:p>
                <w:sdt>
                  <w:sdtPr>
                    <w:alias w:val="citata"/>
                    <w:tag w:val="part_3a3577341c03412bb02520bce2eff72e"/>
                    <w:lock w:val="sdtLocked"/>
                    <w:richText/>
                  </w:sdtPr>
                  <w:sdtContent>
                    <w:sdt>
                      <w:sdtPr>
                        <w:alias w:val="1 d."/>
                        <w:tag w:val="part_275292d527b64803ab745bd59046cfbf"/>
                        <w:lock w:val="sdtLocked"/>
                        <w:richText/>
                      </w:sdtPr>
                      <w:sdtContent>
                        <w:p>
                          <w:pPr>
                            <w:ind w:firstLine="720"/>
                            <w:jc w:val="both"/>
                            <w:rPr>
                              <w:szCs w:val="24"/>
                              <w:lang w:eastAsia="lt-LT"/>
                            </w:rPr>
                          </w:pPr>
                          <w:r>
                            <w:rPr>
                              <w:szCs w:val="24"/>
                              <w:lang w:eastAsia="lt-LT"/>
                            </w:rPr>
                            <w:t>„</w:t>
                          </w:r>
                          <w:sdt>
                            <w:sdtPr>
                              <w:alias w:val="Numeris"/>
                              <w:tag w:val="nr_275292d527b64803ab745bd59046cfbf"/>
                              <w:lock w:val="sdtLocked"/>
                              <w:richText/>
                            </w:sdtPr>
                            <w:sdtContent>
                              <w:r>
                                <w:rPr>
                                  <w:szCs w:val="24"/>
                                  <w:lang w:eastAsia="lt-LT"/>
                                </w:rPr>
                                <w:t>1</w:t>
                              </w:r>
                            </w:sdtContent>
                          </w:sdt>
                          <w:r>
                            <w:rPr>
                              <w:szCs w:val="24"/>
                              <w:lang w:eastAsia="lt-LT"/>
                            </w:rPr>
                            <w:t>. Fondo biudžeto rodiklių patvirtinimo įstatymu atitinkamiems biudžetiniams metams tvirtinami:</w:t>
                          </w:r>
                        </w:p>
                        <w:sdt>
                          <w:sdtPr>
                            <w:alias w:val="1 d. 1 p."/>
                            <w:tag w:val="part_2ea7c5bbaa9249aa8f1b7b77a2899359"/>
                            <w:lock w:val="sdtLocked"/>
                            <w:richText/>
                          </w:sdtPr>
                          <w:sdtContent>
                            <w:p>
                              <w:pPr>
                                <w:ind w:firstLine="720"/>
                                <w:jc w:val="both"/>
                                <w:rPr>
                                  <w:szCs w:val="24"/>
                                  <w:lang w:eastAsia="lt-LT"/>
                                </w:rPr>
                              </w:pPr>
                              <w:sdt>
                                <w:sdtPr>
                                  <w:alias w:val="Numeris"/>
                                  <w:tag w:val="nr_2ea7c5bbaa9249aa8f1b7b77a2899359"/>
                                  <w:lock w:val="sdtLocked"/>
                                  <w:richText/>
                                </w:sdtPr>
                                <w:sdtContent>
                                  <w:r>
                                    <w:rPr>
                                      <w:szCs w:val="24"/>
                                      <w:lang w:eastAsia="lt-LT"/>
                                    </w:rPr>
                                    <w:t>1</w:t>
                                  </w:r>
                                </w:sdtContent>
                              </w:sdt>
                              <w:r>
                                <w:rPr>
                                  <w:szCs w:val="24"/>
                                  <w:lang w:eastAsia="lt-LT"/>
                                </w:rPr>
                                <w:t>) Fondo biudžetas (pajamos, išlaidos, planuojamas metų rezultatas), planuojamas struktūrinis Fondo biudžeto balansas;</w:t>
                              </w:r>
                            </w:p>
                          </w:sdtContent>
                        </w:sdt>
                        <w:sdt>
                          <w:sdtPr>
                            <w:alias w:val="1 d. 2 p."/>
                            <w:tag w:val="part_df38503dcc7f416b86620d33630fa92a"/>
                            <w:lock w:val="sdtLocked"/>
                            <w:richText/>
                          </w:sdtPr>
                          <w:sdtContent>
                            <w:p>
                              <w:pPr>
                                <w:ind w:firstLine="720"/>
                                <w:jc w:val="both"/>
                                <w:rPr>
                                  <w:szCs w:val="24"/>
                                  <w:lang w:eastAsia="lt-LT"/>
                                </w:rPr>
                              </w:pPr>
                              <w:sdt>
                                <w:sdtPr>
                                  <w:alias w:val="Numeris"/>
                                  <w:tag w:val="nr_df38503dcc7f416b86620d33630fa92a"/>
                                  <w:lock w:val="sdtLocked"/>
                                  <w:richText/>
                                </w:sdtPr>
                                <w:sdtContent>
                                  <w:r>
                                    <w:rPr>
                                      <w:szCs w:val="24"/>
                                      <w:lang w:eastAsia="lt-LT"/>
                                    </w:rPr>
                                    <w:t>2</w:t>
                                  </w:r>
                                </w:sdtContent>
                              </w:sdt>
                              <w:r>
                                <w:rPr>
                                  <w:szCs w:val="24"/>
                                  <w:lang w:eastAsia="lt-LT"/>
                                </w:rPr>
                                <w:t xml:space="preserve">) Fondo biudžeto atitinkamų biudžetinių metų piniginės įplaukos ir išlaidos bei kasos apyvartos lėšos; </w:t>
                              </w:r>
                            </w:p>
                          </w:sdtContent>
                        </w:sdt>
                        <w:sdt>
                          <w:sdtPr>
                            <w:alias w:val="1 d. 3 p."/>
                            <w:tag w:val="part_44632880d51a418fba45c9a1d66a4828"/>
                            <w:lock w:val="sdtLocked"/>
                            <w:richText/>
                          </w:sdtPr>
                          <w:sdtContent>
                            <w:p>
                              <w:pPr>
                                <w:ind w:firstLine="720"/>
                                <w:jc w:val="both"/>
                                <w:rPr>
                                  <w:szCs w:val="24"/>
                                  <w:lang w:eastAsia="lt-LT"/>
                                </w:rPr>
                              </w:pPr>
                              <w:sdt>
                                <w:sdtPr>
                                  <w:alias w:val="Numeris"/>
                                  <w:tag w:val="nr_44632880d51a418fba45c9a1d66a4828"/>
                                  <w:lock w:val="sdtLocked"/>
                                  <w:richText/>
                                </w:sdtPr>
                                <w:sdtContent>
                                  <w:r>
                                    <w:rPr>
                                      <w:szCs w:val="24"/>
                                      <w:lang w:eastAsia="lt-LT"/>
                                    </w:rPr>
                                    <w:t>3</w:t>
                                  </w:r>
                                </w:sdtContent>
                              </w:sdt>
                              <w:r>
                                <w:rPr>
                                  <w:szCs w:val="24"/>
                                  <w:lang w:eastAsia="lt-LT"/>
                                </w:rPr>
                                <w:t>) įmokų tarifai (draudėjų bendrasis įmokų tarifas ir jo dydžiai atskiroms socialinio draudimo rūšims; šalies bendrasis nelaimingų atsitikimų darbe socialinio draudimo įmokos tarifas, nelaimingų atsitikimų darbe įmokos tarifų grupės ir šių grupių tarifai; apdraustųjų bendrasis įmokų tarifas ir jo dydžiai atskiroms socialinio draudimo rūšims);</w:t>
                              </w:r>
                            </w:p>
                          </w:sdtContent>
                        </w:sdt>
                        <w:sdt>
                          <w:sdtPr>
                            <w:alias w:val="1 d. 4 p."/>
                            <w:tag w:val="part_4bd5804458ad4bdbb5d4686d5b15439d"/>
                            <w:lock w:val="sdtLocked"/>
                            <w:richText/>
                          </w:sdtPr>
                          <w:sdtContent>
                            <w:p>
                              <w:pPr>
                                <w:ind w:firstLine="720"/>
                                <w:jc w:val="both"/>
                                <w:rPr>
                                  <w:szCs w:val="24"/>
                                  <w:lang w:eastAsia="lt-LT"/>
                                </w:rPr>
                              </w:pPr>
                              <w:sdt>
                                <w:sdtPr>
                                  <w:alias w:val="Numeris"/>
                                  <w:tag w:val="nr_4bd5804458ad4bdbb5d4686d5b15439d"/>
                                  <w:lock w:val="sdtLocked"/>
                                  <w:richText/>
                                </w:sdtPr>
                                <w:sdtContent>
                                  <w:r>
                                    <w:rPr>
                                      <w:szCs w:val="24"/>
                                      <w:lang w:eastAsia="lt-LT"/>
                                    </w:rPr>
                                    <w:t>4</w:t>
                                  </w:r>
                                </w:sdtContent>
                              </w:sdt>
                              <w:r>
                                <w:rPr>
                                  <w:szCs w:val="24"/>
                                  <w:lang w:eastAsia="lt-LT"/>
                                </w:rPr>
                                <w:t>) nedarbo socialinio draudimo lėšų Užimtumo rėmimo įstatymo nustatytoms aktyvios darbo rinkos politikos</w:t>
                              </w:r>
                              <w:r>
                                <w:rPr>
                                  <w:b/>
                                  <w:bCs/>
                                  <w:szCs w:val="24"/>
                                  <w:lang w:eastAsia="lt-LT"/>
                                </w:rPr>
                                <w:t xml:space="preserve"> </w:t>
                              </w:r>
                              <w:r>
                                <w:rPr>
                                  <w:szCs w:val="24"/>
                                  <w:lang w:eastAsia="lt-LT"/>
                                </w:rPr>
                                <w:t>priemonėms įgyvendinti dydis;</w:t>
                              </w:r>
                            </w:p>
                          </w:sdtContent>
                        </w:sdt>
                        <w:sdt>
                          <w:sdtPr>
                            <w:alias w:val="1 d. 5 p."/>
                            <w:tag w:val="part_8719b5e61fc54ddcb2cb1f43c2688a1e"/>
                            <w:lock w:val="sdtLocked"/>
                            <w:richText/>
                          </w:sdtPr>
                          <w:sdtContent>
                            <w:p>
                              <w:pPr>
                                <w:ind w:firstLine="720"/>
                                <w:jc w:val="both"/>
                                <w:rPr>
                                  <w:szCs w:val="24"/>
                                  <w:lang w:eastAsia="lt-LT"/>
                                </w:rPr>
                              </w:pPr>
                              <w:sdt>
                                <w:sdtPr>
                                  <w:alias w:val="Numeris"/>
                                  <w:tag w:val="nr_8719b5e61fc54ddcb2cb1f43c2688a1e"/>
                                  <w:lock w:val="sdtLocked"/>
                                  <w:richText/>
                                </w:sdtPr>
                                <w:sdtContent>
                                  <w:r>
                                    <w:rPr>
                                      <w:szCs w:val="24"/>
                                      <w:lang w:eastAsia="lt-LT"/>
                                    </w:rPr>
                                    <w:t>5</w:t>
                                  </w:r>
                                </w:sdtContent>
                              </w:sdt>
                              <w:r>
                                <w:rPr>
                                  <w:szCs w:val="24"/>
                                  <w:lang w:eastAsia="lt-LT"/>
                                </w:rPr>
                                <w:t>) apdraustųjų, dalyvaujančių pensijų kaupime, socialinio pensijų draudimo įmokų dalies, pervedamos pensijų kaupimo bendrovėms, tarifas;</w:t>
                              </w:r>
                            </w:p>
                          </w:sdtContent>
                        </w:sdt>
                        <w:sdt>
                          <w:sdtPr>
                            <w:alias w:val="1 d. 6 p."/>
                            <w:tag w:val="part_28b499f19fa641a4af6615306a18eb6d"/>
                            <w:lock w:val="sdtLocked"/>
                            <w:richText/>
                          </w:sdtPr>
                          <w:sdtContent>
                            <w:p>
                              <w:pPr>
                                <w:ind w:firstLine="720"/>
                                <w:jc w:val="both"/>
                                <w:rPr>
                                  <w:strike/>
                                  <w:szCs w:val="24"/>
                                  <w:lang w:eastAsia="lt-LT"/>
                                </w:rPr>
                              </w:pPr>
                              <w:sdt>
                                <w:sdtPr>
                                  <w:alias w:val="Numeris"/>
                                  <w:tag w:val="nr_28b499f19fa641a4af6615306a18eb6d"/>
                                  <w:lock w:val="sdtLocked"/>
                                  <w:richText/>
                                </w:sdtPr>
                                <w:sdtContent>
                                  <w:r>
                                    <w:rPr>
                                      <w:szCs w:val="24"/>
                                      <w:lang w:eastAsia="lt-LT"/>
                                    </w:rPr>
                                    <w:t>6</w:t>
                                  </w:r>
                                </w:sdtContent>
                              </w:sdt>
                              <w:r>
                                <w:rPr>
                                  <w:szCs w:val="24"/>
                                  <w:lang w:eastAsia="lt-LT"/>
                                </w:rPr>
                                <w:t xml:space="preserve">) </w:t>
                              </w:r>
                              <w:r>
                                <w:rPr>
                                  <w:color w:val="000000"/>
                                  <w:szCs w:val="24"/>
                                  <w:lang w:eastAsia="lt-LT"/>
                                </w:rPr>
                                <w:t>valstybės biudžeto asignavimų, skirtų bendrajai socialinio draudimo pensijos daliai finansuoti, dydis</w:t>
                              </w:r>
                              <w:r>
                                <w:rPr>
                                  <w:szCs w:val="24"/>
                                  <w:lang w:eastAsia="lt-LT"/>
                                </w:rPr>
                                <w:t>;</w:t>
                              </w:r>
                            </w:p>
                          </w:sdtContent>
                        </w:sdt>
                        <w:sdt>
                          <w:sdtPr>
                            <w:alias w:val="1 d. 7 p."/>
                            <w:tag w:val="part_bb38d9985e024c86b929f1fa55d0c469"/>
                            <w:lock w:val="sdtLocked"/>
                            <w:richText/>
                          </w:sdtPr>
                          <w:sdtContent>
                            <w:p>
                              <w:pPr>
                                <w:ind w:firstLine="720"/>
                                <w:jc w:val="both"/>
                                <w:rPr>
                                  <w:szCs w:val="24"/>
                                  <w:lang w:eastAsia="lt-LT"/>
                                </w:rPr>
                              </w:pPr>
                              <w:sdt>
                                <w:sdtPr>
                                  <w:alias w:val="Numeris"/>
                                  <w:tag w:val="nr_bb38d9985e024c86b929f1fa55d0c469"/>
                                  <w:lock w:val="sdtLocked"/>
                                  <w:richText/>
                                </w:sdtPr>
                                <w:sdtContent>
                                  <w:r>
                                    <w:rPr>
                                      <w:szCs w:val="24"/>
                                      <w:lang w:eastAsia="lt-LT"/>
                                    </w:rPr>
                                    <w:t>7</w:t>
                                  </w:r>
                                </w:sdtContent>
                              </w:sdt>
                              <w:r>
                                <w:rPr>
                                  <w:szCs w:val="24"/>
                                  <w:lang w:eastAsia="lt-LT"/>
                                </w:rPr>
                                <w:t>) asignavimų iš valstybės biudžeto ir (ar) kitų valstybės piniginių išteklių dydis;</w:t>
                              </w:r>
                            </w:p>
                          </w:sdtContent>
                        </w:sdt>
                        <w:sdt>
                          <w:sdtPr>
                            <w:alias w:val="1 d. 8 p."/>
                            <w:tag w:val="part_a769addb375c42819dffc8e7c7c49de0"/>
                            <w:lock w:val="sdtLocked"/>
                            <w:richText/>
                          </w:sdtPr>
                          <w:sdtContent>
                            <w:p>
                              <w:pPr>
                                <w:ind w:firstLine="720"/>
                                <w:jc w:val="both"/>
                                <w:rPr>
                                  <w:szCs w:val="24"/>
                                  <w:lang w:eastAsia="lt-LT"/>
                                </w:rPr>
                              </w:pPr>
                              <w:sdt>
                                <w:sdtPr>
                                  <w:alias w:val="Numeris"/>
                                  <w:tag w:val="nr_a769addb375c42819dffc8e7c7c49de0"/>
                                  <w:lock w:val="sdtLocked"/>
                                  <w:richText/>
                                </w:sdtPr>
                                <w:sdtContent>
                                  <w:r>
                                    <w:rPr>
                                      <w:szCs w:val="24"/>
                                      <w:lang w:eastAsia="lt-LT"/>
                                    </w:rPr>
                                    <w:t>8</w:t>
                                  </w:r>
                                </w:sdtContent>
                              </w:sdt>
                              <w:r>
                                <w:rPr>
                                  <w:szCs w:val="24"/>
                                  <w:lang w:eastAsia="lt-LT"/>
                                </w:rPr>
                                <w:t>) dydis, skirtas Fondo veiklos sąnaudų kompensacijai už išmokų (išskyrus bendrosios socialinio draudimo pensijos dalies), finansuojamų iš valstybės biudžeto, skyrimą, mokėjimą ir pristatymą apskaičiuoti, išreikštas kaip procentinė dalis nuo šioms išmokoms skirtos valstybės biudžeto lėšų sumos;</w:t>
                              </w:r>
                            </w:p>
                          </w:sdtContent>
                        </w:sdt>
                        <w:sdt>
                          <w:sdtPr>
                            <w:alias w:val="1 d. 9 p."/>
                            <w:tag w:val="part_3ed9bbd48aaa4d698e8272d3f27de8de"/>
                            <w:lock w:val="sdtLocked"/>
                            <w:richText/>
                          </w:sdtPr>
                          <w:sdtContent>
                            <w:p>
                              <w:pPr>
                                <w:ind w:firstLine="720"/>
                                <w:jc w:val="both"/>
                                <w:rPr>
                                  <w:szCs w:val="24"/>
                                  <w:lang w:eastAsia="lt-LT"/>
                                </w:rPr>
                              </w:pPr>
                              <w:sdt>
                                <w:sdtPr>
                                  <w:alias w:val="Numeris"/>
                                  <w:tag w:val="nr_3ed9bbd48aaa4d698e8272d3f27de8de"/>
                                  <w:lock w:val="sdtLocked"/>
                                  <w:richText/>
                                </w:sdtPr>
                                <w:sdtContent>
                                  <w:r>
                                    <w:rPr>
                                      <w:color w:val="000000"/>
                                      <w:szCs w:val="24"/>
                                      <w:lang w:eastAsia="lt-LT"/>
                                    </w:rPr>
                                    <w:t>9</w:t>
                                  </w:r>
                                </w:sdtContent>
                              </w:sdt>
                              <w:r>
                                <w:rPr>
                                  <w:color w:val="000000"/>
                                  <w:szCs w:val="24"/>
                                  <w:lang w:eastAsia="lt-LT"/>
                                </w:rPr>
                                <w:t>) dydis, skirtas Fondo veiklos sąnaudų kompensacijai už įmokų surinkimą ir pervedimą į fondus apskaičiuoti, išreikštas kaip procentinė dalis nuo planuojamos šių įmokų surinkimo sumos;</w:t>
                              </w:r>
                            </w:p>
                          </w:sdtContent>
                        </w:sdt>
                        <w:sdt>
                          <w:sdtPr>
                            <w:alias w:val="1 d. 10 p."/>
                            <w:tag w:val="part_ab333b403c7e4db9a566b7613126be6b"/>
                            <w:lock w:val="sdtLocked"/>
                            <w:richText/>
                          </w:sdtPr>
                          <w:sdtContent>
                            <w:p>
                              <w:pPr>
                                <w:ind w:firstLine="720"/>
                                <w:jc w:val="both"/>
                                <w:rPr>
                                  <w:szCs w:val="24"/>
                                  <w:lang w:eastAsia="lt-LT"/>
                                </w:rPr>
                              </w:pPr>
                              <w:sdt>
                                <w:sdtPr>
                                  <w:alias w:val="Numeris"/>
                                  <w:tag w:val="nr_ab333b403c7e4db9a566b7613126be6b"/>
                                  <w:lock w:val="sdtLocked"/>
                                  <w:richText/>
                                </w:sdtPr>
                                <w:sdtContent>
                                  <w:r>
                                    <w:rPr>
                                      <w:szCs w:val="24"/>
                                      <w:lang w:eastAsia="lt-LT"/>
                                    </w:rPr>
                                    <w:t>10</w:t>
                                  </w:r>
                                </w:sdtContent>
                              </w:sdt>
                              <w:r>
                                <w:rPr>
                                  <w:szCs w:val="24"/>
                                  <w:lang w:eastAsia="lt-LT"/>
                                </w:rPr>
                                <w:t>) kiti rodikliai, būtini Fondo biudžetui vykdyti.“</w:t>
                              </w:r>
                            </w:p>
                            <w:p>
                              <w:pPr>
                                <w:ind w:firstLine="720"/>
                                <w:jc w:val="both"/>
                                <w:rPr>
                                  <w:sz w:val="16"/>
                                  <w:szCs w:val="16"/>
                                </w:rPr>
                              </w:pPr>
                            </w:p>
                          </w:sdtContent>
                        </w:sdt>
                      </w:sdtContent>
                    </w:sdt>
                  </w:sdtContent>
                </w:sdt>
              </w:sdtContent>
            </w:sdt>
          </w:sdtContent>
        </w:sdt>
        <w:sdt>
          <w:sdtPr>
            <w:alias w:val="5 str."/>
            <w:tag w:val="part_086eeef0eae44c4db6134afdc70a2c60"/>
            <w:lock w:val="sdtLocked"/>
            <w:richText/>
          </w:sdtPr>
          <w:sdtContent>
            <w:p>
              <w:pPr>
                <w:tabs>
                  <w:tab w:val="left" w:pos="720"/>
                </w:tabs>
                <w:ind w:firstLine="720"/>
                <w:jc w:val="both"/>
                <w:rPr>
                  <w:b/>
                  <w:bCs/>
                  <w:szCs w:val="24"/>
                </w:rPr>
              </w:pPr>
              <w:sdt>
                <w:sdtPr>
                  <w:alias w:val="Numeris"/>
                  <w:tag w:val="nr_086eeef0eae44c4db6134afdc70a2c60"/>
                  <w:lock w:val="sdtLocked"/>
                  <w:richText/>
                </w:sdtPr>
                <w:sdtContent>
                  <w:r>
                    <w:rPr>
                      <w:b/>
                      <w:bCs/>
                      <w:szCs w:val="24"/>
                    </w:rPr>
                    <w:t>5</w:t>
                  </w:r>
                </w:sdtContent>
              </w:sdt>
              <w:r>
                <w:rPr>
                  <w:b/>
                  <w:bCs/>
                  <w:szCs w:val="24"/>
                </w:rPr>
                <w:t xml:space="preserve"> straipsnis. </w:t>
              </w:r>
              <w:sdt>
                <w:sdtPr>
                  <w:alias w:val="Pavadinimas"/>
                  <w:tag w:val="title_086eeef0eae44c4db6134afdc70a2c60"/>
                  <w:lock w:val="sdtLocked"/>
                  <w:richText/>
                </w:sdtPr>
                <w:sdtContent>
                  <w:r>
                    <w:rPr>
                      <w:rFonts w:eastAsia="Calibri"/>
                      <w:b/>
                      <w:bCs/>
                      <w:color w:val="000000"/>
                      <w:szCs w:val="24"/>
                      <w:shd w:val="clear" w:color="auto" w:fill="FFFFFF"/>
                    </w:rPr>
                    <w:t>14 straipsnio pakeitimas</w:t>
                  </w:r>
                </w:sdtContent>
              </w:sdt>
            </w:p>
            <w:sdt>
              <w:sdtPr>
                <w:alias w:val="5 str. 1 d."/>
                <w:tag w:val="part_267520bd4ca44138930808ca30544421"/>
                <w:lock w:val="sdtLocked"/>
                <w:richText/>
              </w:sdtPr>
              <w:sdtContent>
                <w:p>
                  <w:pPr>
                    <w:tabs>
                      <w:tab w:val="left" w:pos="720"/>
                    </w:tabs>
                    <w:ind w:firstLine="720"/>
                    <w:jc w:val="both"/>
                    <w:rPr>
                      <w:bCs/>
                      <w:szCs w:val="24"/>
                    </w:rPr>
                  </w:pPr>
                  <w:r>
                    <w:rPr>
                      <w:bCs/>
                      <w:szCs w:val="24"/>
                    </w:rPr>
                    <w:t>Pakeisti 14 straipsnio 3 dalį ir ją išdėstyti taip:</w:t>
                  </w:r>
                </w:p>
                <w:sdt>
                  <w:sdtPr>
                    <w:alias w:val="citata"/>
                    <w:tag w:val="part_79fd5b8d2ee2427eb648c08844ffe3ca"/>
                    <w:lock w:val="sdtLocked"/>
                    <w:richText/>
                  </w:sdtPr>
                  <w:sdtContent>
                    <w:sdt>
                      <w:sdtPr>
                        <w:alias w:val="3 d."/>
                        <w:tag w:val="part_2c1d28019aa0468dae2342829c8d9cba"/>
                        <w:lock w:val="sdtLocked"/>
                        <w:richText/>
                      </w:sdtPr>
                      <w:sdtContent>
                        <w:p>
                          <w:pPr>
                            <w:ind w:firstLine="720"/>
                            <w:jc w:val="both"/>
                            <w:rPr>
                              <w:szCs w:val="24"/>
                              <w:lang w:eastAsia="lt-LT"/>
                            </w:rPr>
                          </w:pPr>
                          <w:r>
                            <w:rPr>
                              <w:szCs w:val="24"/>
                              <w:lang w:eastAsia="lt-LT"/>
                            </w:rPr>
                            <w:t>„</w:t>
                          </w:r>
                          <w:sdt>
                            <w:sdtPr>
                              <w:alias w:val="Numeris"/>
                              <w:tag w:val="nr_2c1d28019aa0468dae2342829c8d9cba"/>
                              <w:lock w:val="sdtLocked"/>
                              <w:richText/>
                            </w:sdtPr>
                            <w:sdtContent>
                              <w:r>
                                <w:rPr>
                                  <w:szCs w:val="24"/>
                                  <w:lang w:eastAsia="lt-LT"/>
                                </w:rPr>
                                <w:t>3</w:t>
                              </w:r>
                            </w:sdtContent>
                          </w:sdt>
                          <w:r>
                            <w:rPr>
                              <w:szCs w:val="24"/>
                              <w:lang w:eastAsia="lt-LT"/>
                            </w:rPr>
                            <w:t>. Pasibaigus biudžetiniams metams, Fondo administravimo įstaigų, pavaldžių Fondo valdybai, veiklos finansavimo sąskaitose esamų lėšų likučiai, įvertinus pinigų principu atitinkamų metų pabaigoje susidariusius nebaigtus vykdyti įsipareigojimus, kasmet iki vasario 1 d. pervedami į Fondo lėšų sąskaitą.“</w:t>
                          </w:r>
                        </w:p>
                        <w:p>
                          <w:pPr>
                            <w:ind w:firstLine="720"/>
                            <w:jc w:val="both"/>
                            <w:rPr>
                              <w:sz w:val="16"/>
                              <w:szCs w:val="16"/>
                            </w:rPr>
                          </w:pPr>
                        </w:p>
                      </w:sdtContent>
                    </w:sdt>
                  </w:sdtContent>
                </w:sdt>
              </w:sdtContent>
            </w:sdt>
          </w:sdtContent>
        </w:sdt>
        <w:sdt>
          <w:sdtPr>
            <w:alias w:val="6 str."/>
            <w:tag w:val="part_fb2a4af408584a5cb3c47e95f0de67df"/>
            <w:lock w:val="sdtLocked"/>
            <w:richText/>
          </w:sdtPr>
          <w:sdtContent>
            <w:p>
              <w:pPr>
                <w:tabs>
                  <w:tab w:val="left" w:pos="720"/>
                </w:tabs>
                <w:ind w:firstLine="720"/>
                <w:jc w:val="both"/>
                <w:rPr>
                  <w:szCs w:val="24"/>
                </w:rPr>
              </w:pPr>
              <w:sdt>
                <w:sdtPr>
                  <w:alias w:val="Numeris"/>
                  <w:tag w:val="nr_fb2a4af408584a5cb3c47e95f0de67df"/>
                  <w:lock w:val="sdtLocked"/>
                  <w:richText/>
                </w:sdtPr>
                <w:sdtContent>
                  <w:r>
                    <w:rPr>
                      <w:b/>
                      <w:bCs/>
                      <w:szCs w:val="24"/>
                    </w:rPr>
                    <w:t>6</w:t>
                  </w:r>
                </w:sdtContent>
              </w:sdt>
              <w:r>
                <w:rPr>
                  <w:b/>
                  <w:bCs/>
                  <w:szCs w:val="24"/>
                </w:rPr>
                <w:t xml:space="preserve"> straipsnis. </w:t>
              </w:r>
              <w:sdt>
                <w:sdtPr>
                  <w:alias w:val="Pavadinimas"/>
                  <w:tag w:val="title_fb2a4af408584a5cb3c47e95f0de67df"/>
                  <w:lock w:val="sdtLocked"/>
                  <w:richText/>
                </w:sdtPr>
                <w:sdtContent>
                  <w:r>
                    <w:rPr>
                      <w:b/>
                      <w:bCs/>
                      <w:szCs w:val="24"/>
                    </w:rPr>
                    <w:t xml:space="preserve">Įstatymo įsigaliojimas </w:t>
                  </w:r>
                </w:sdtContent>
              </w:sdt>
            </w:p>
            <w:sdt>
              <w:sdtPr>
                <w:alias w:val="6 str. 1 d."/>
                <w:tag w:val="part_2f28cd6260454176a0cdf57c4abc88d1"/>
                <w:lock w:val="sdtLocked"/>
                <w:richText/>
              </w:sdtPr>
              <w:sdtContent>
                <w:p>
                  <w:pPr>
                    <w:tabs>
                      <w:tab w:val="left" w:pos="720"/>
                    </w:tabs>
                    <w:ind w:firstLine="720"/>
                    <w:jc w:val="both"/>
                    <w:rPr>
                      <w:b/>
                      <w:szCs w:val="24"/>
                    </w:rPr>
                  </w:pPr>
                  <w:r>
                    <w:rPr>
                      <w:szCs w:val="24"/>
                    </w:rPr>
                    <w:t xml:space="preserve">Šis įstatymas įsigalioja </w:t>
                  </w:r>
                  <w:r>
                    <w:rPr>
                      <w:color w:val="000000"/>
                      <w:szCs w:val="24"/>
                    </w:rPr>
                    <w:t>2016 m. sausio 1 d.</w:t>
                  </w:r>
                </w:p>
                <w:p>
                  <w:pPr>
                    <w:ind w:firstLine="720"/>
                    <w:jc w:val="both"/>
                    <w:rPr>
                      <w:sz w:val="16"/>
                      <w:szCs w:val="16"/>
                    </w:rPr>
                  </w:pPr>
                </w:p>
              </w:sdtContent>
            </w:sdt>
          </w:sdtContent>
        </w:sdt>
        <w:sdt>
          <w:sdtPr>
            <w:alias w:val="signatura"/>
            <w:tag w:val="part_053dff9169254a059f9a2b100a523716"/>
            <w:lock w:val="sdtLocked"/>
            <w:richText/>
          </w:sdtPr>
          <w:sdtContent>
            <w:p>
              <w:pPr>
                <w:jc w:val="both"/>
                <w:rPr>
                  <w:i/>
                  <w:szCs w:val="24"/>
                </w:rPr>
              </w:pPr>
              <w:r>
                <w:rPr>
                  <w:i/>
                  <w:szCs w:val="24"/>
                </w:rPr>
                <w:t>Skelbiu šį Lietuvos Respublikos Seimo priimtą įstatymą.</w:t>
              </w:r>
            </w:p>
            <w:p>
              <w:pPr>
                <w:ind w:firstLine="720"/>
                <w:jc w:val="both"/>
                <w:rPr>
                  <w:sz w:val="16"/>
                  <w:szCs w:val="16"/>
                </w:rPr>
              </w:pPr>
            </w:p>
            <w:p>
              <w:pPr>
                <w:jc w:val="both"/>
                <w:rPr>
                  <w:szCs w:val="24"/>
                </w:rPr>
              </w:pPr>
              <w:r>
                <w:rPr>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eastAsia="Arial Unicode MS"/>
          <w:szCs w:val="24"/>
        </w:rPr>
      </w:pPr>
      <w:r>
        <w:rPr>
          <w:rFonts w:eastAsia="Arial Unicode MS"/>
          <w:szCs w:val="24"/>
        </w:rPr>
        <w:separator/>
      </w:r>
    </w:p>
  </w:endnote>
  <w:endnote w:type="continuationSeparator" w:id="0">
    <w:p>
      <w:pPr>
        <w:rPr>
          <w:rFonts w:eastAsia="Arial Unicode MS"/>
          <w:szCs w:val="24"/>
        </w:rPr>
      </w:pPr>
      <w:r>
        <w:rPr>
          <w:rFonts w:eastAsia="Arial Unicode MS"/>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eastAsia="Arial Unicode MS"/>
          <w:szCs w:val="24"/>
        </w:rPr>
      </w:pPr>
      <w:r>
        <w:rPr>
          <w:rFonts w:eastAsia="Arial Unicode MS"/>
          <w:szCs w:val="24"/>
        </w:rPr>
        <w:separator/>
      </w:r>
    </w:p>
  </w:footnote>
  <w:footnote w:type="continuationSeparator" w:id="0">
    <w:p>
      <w:pPr>
        <w:rPr>
          <w:rFonts w:eastAsia="Arial Unicode MS"/>
          <w:szCs w:val="24"/>
        </w:rPr>
      </w:pPr>
      <w:r>
        <w:rPr>
          <w:rFonts w:eastAsia="Arial Unicode MS"/>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Arial Unicode MS"/>
        <w:szCs w:val="24"/>
      </w:rPr>
    </w:pPr>
    <w:r>
      <w:rPr>
        <w:rFonts w:eastAsia="Arial Unicode MS"/>
        <w:sz w:val="20"/>
      </w:rPr>
      <w:fldChar w:fldCharType="begin"/>
    </w:r>
    <w:r>
      <w:rPr>
        <w:rFonts w:eastAsia="Arial Unicode MS"/>
        <w:sz w:val="20"/>
      </w:rPr>
      <w:instrText>PAGE   \* MERGEFORMAT</w:instrText>
    </w:r>
    <w:r>
      <w:rPr>
        <w:rFonts w:eastAsia="Arial Unicode MS"/>
        <w:sz w:val="20"/>
      </w:rPr>
      <w:fldChar w:fldCharType="separate"/>
    </w:r>
    <w:r>
      <w:rPr>
        <w:rFonts w:eastAsia="Arial Unicode MS"/>
        <w:sz w:val="20"/>
      </w:rPr>
      <w:t>2</w:t>
    </w:r>
    <w:r>
      <w:rPr>
        <w:rFonts w:eastAsia="Arial Unicode MS"/>
        <w:sz w:val="20"/>
      </w:rPr>
      <w:fldChar w:fldCharType="end"/>
    </w:r>
  </w:p>
  <w:p>
    <w:pPr>
      <w:tabs>
        <w:tab w:val="center" w:pos="4819"/>
        <w:tab w:val="right" w:pos="9638"/>
      </w:tabs>
      <w:rPr>
        <w:rFonts w:eastAsia="Arial Unicode MS"/>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C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0436120">
      <w:bodyDiv w:val="1"/>
      <w:marLeft w:val="0"/>
      <w:marRight w:val="0"/>
      <w:marTop w:val="0"/>
      <w:marBottom w:val="0"/>
      <w:divBdr>
        <w:top w:val="none" w:sz="0" w:space="0" w:color="auto"/>
        <w:left w:val="none" w:sz="0" w:space="0" w:color="auto"/>
        <w:bottom w:val="none" w:sz="0" w:space="0" w:color="auto"/>
        <w:right w:val="none" w:sz="0" w:space="0" w:color="auto"/>
      </w:divBdr>
      <w:divsChild>
        <w:div w:id="1977644364">
          <w:marLeft w:val="0"/>
          <w:marRight w:val="0"/>
          <w:marTop w:val="0"/>
          <w:marBottom w:val="0"/>
          <w:divBdr>
            <w:top w:val="none" w:sz="0" w:space="0" w:color="auto"/>
            <w:left w:val="none" w:sz="0" w:space="0" w:color="auto"/>
            <w:bottom w:val="none" w:sz="0" w:space="0" w:color="auto"/>
            <w:right w:val="none" w:sz="0" w:space="0" w:color="auto"/>
          </w:divBdr>
          <w:divsChild>
            <w:div w:id="1952466728">
              <w:marLeft w:val="0"/>
              <w:marRight w:val="0"/>
              <w:marTop w:val="0"/>
              <w:marBottom w:val="0"/>
              <w:divBdr>
                <w:top w:val="none" w:sz="0" w:space="0" w:color="auto"/>
                <w:left w:val="none" w:sz="0" w:space="0" w:color="auto"/>
                <w:bottom w:val="none" w:sz="0" w:space="0" w:color="auto"/>
                <w:right w:val="none" w:sz="0" w:space="0" w:color="auto"/>
              </w:divBdr>
              <w:divsChild>
                <w:div w:id="606934167">
                  <w:marLeft w:val="0"/>
                  <w:marRight w:val="0"/>
                  <w:marTop w:val="0"/>
                  <w:marBottom w:val="0"/>
                  <w:divBdr>
                    <w:top w:val="none" w:sz="0" w:space="0" w:color="auto"/>
                    <w:left w:val="none" w:sz="0" w:space="0" w:color="auto"/>
                    <w:bottom w:val="none" w:sz="0" w:space="0" w:color="auto"/>
                    <w:right w:val="none" w:sz="0" w:space="0" w:color="auto"/>
                  </w:divBdr>
                  <w:divsChild>
                    <w:div w:id="330724091">
                      <w:marLeft w:val="0"/>
                      <w:marRight w:val="0"/>
                      <w:marTop w:val="0"/>
                      <w:marBottom w:val="0"/>
                      <w:divBdr>
                        <w:top w:val="none" w:sz="0" w:space="0" w:color="auto"/>
                        <w:left w:val="none" w:sz="0" w:space="0" w:color="auto"/>
                        <w:bottom w:val="none" w:sz="0" w:space="0" w:color="auto"/>
                        <w:right w:val="none" w:sz="0" w:space="0" w:color="auto"/>
                      </w:divBdr>
                    </w:div>
                    <w:div w:id="486096079">
                      <w:marLeft w:val="0"/>
                      <w:marRight w:val="0"/>
                      <w:marTop w:val="0"/>
                      <w:marBottom w:val="0"/>
                      <w:divBdr>
                        <w:top w:val="none" w:sz="0" w:space="0" w:color="auto"/>
                        <w:left w:val="none" w:sz="0" w:space="0" w:color="auto"/>
                        <w:bottom w:val="none" w:sz="0" w:space="0" w:color="auto"/>
                        <w:right w:val="none" w:sz="0" w:space="0" w:color="auto"/>
                      </w:divBdr>
                    </w:div>
                    <w:div w:id="612858013">
                      <w:marLeft w:val="0"/>
                      <w:marRight w:val="0"/>
                      <w:marTop w:val="0"/>
                      <w:marBottom w:val="0"/>
                      <w:divBdr>
                        <w:top w:val="none" w:sz="0" w:space="0" w:color="auto"/>
                        <w:left w:val="none" w:sz="0" w:space="0" w:color="auto"/>
                        <w:bottom w:val="none" w:sz="0" w:space="0" w:color="auto"/>
                        <w:right w:val="none" w:sz="0" w:space="0" w:color="auto"/>
                      </w:divBdr>
                    </w:div>
                    <w:div w:id="702369215">
                      <w:marLeft w:val="0"/>
                      <w:marRight w:val="0"/>
                      <w:marTop w:val="0"/>
                      <w:marBottom w:val="0"/>
                      <w:divBdr>
                        <w:top w:val="none" w:sz="0" w:space="0" w:color="auto"/>
                        <w:left w:val="none" w:sz="0" w:space="0" w:color="auto"/>
                        <w:bottom w:val="none" w:sz="0" w:space="0" w:color="auto"/>
                        <w:right w:val="none" w:sz="0" w:space="0" w:color="auto"/>
                      </w:divBdr>
                    </w:div>
                    <w:div w:id="1022783263">
                      <w:marLeft w:val="0"/>
                      <w:marRight w:val="0"/>
                      <w:marTop w:val="0"/>
                      <w:marBottom w:val="0"/>
                      <w:divBdr>
                        <w:top w:val="none" w:sz="0" w:space="0" w:color="auto"/>
                        <w:left w:val="none" w:sz="0" w:space="0" w:color="auto"/>
                        <w:bottom w:val="none" w:sz="0" w:space="0" w:color="auto"/>
                        <w:right w:val="none" w:sz="0" w:space="0" w:color="auto"/>
                      </w:divBdr>
                    </w:div>
                    <w:div w:id="1108815085">
                      <w:marLeft w:val="0"/>
                      <w:marRight w:val="0"/>
                      <w:marTop w:val="0"/>
                      <w:marBottom w:val="0"/>
                      <w:divBdr>
                        <w:top w:val="none" w:sz="0" w:space="0" w:color="auto"/>
                        <w:left w:val="none" w:sz="0" w:space="0" w:color="auto"/>
                        <w:bottom w:val="none" w:sz="0" w:space="0" w:color="auto"/>
                        <w:right w:val="none" w:sz="0" w:space="0" w:color="auto"/>
                      </w:divBdr>
                    </w:div>
                    <w:div w:id="1211959416">
                      <w:marLeft w:val="0"/>
                      <w:marRight w:val="0"/>
                      <w:marTop w:val="0"/>
                      <w:marBottom w:val="0"/>
                      <w:divBdr>
                        <w:top w:val="none" w:sz="0" w:space="0" w:color="auto"/>
                        <w:left w:val="none" w:sz="0" w:space="0" w:color="auto"/>
                        <w:bottom w:val="none" w:sz="0" w:space="0" w:color="auto"/>
                        <w:right w:val="none" w:sz="0" w:space="0" w:color="auto"/>
                      </w:divBdr>
                    </w:div>
                    <w:div w:id="1493058244">
                      <w:marLeft w:val="0"/>
                      <w:marRight w:val="0"/>
                      <w:marTop w:val="0"/>
                      <w:marBottom w:val="0"/>
                      <w:divBdr>
                        <w:top w:val="none" w:sz="0" w:space="0" w:color="auto"/>
                        <w:left w:val="none" w:sz="0" w:space="0" w:color="auto"/>
                        <w:bottom w:val="none" w:sz="0" w:space="0" w:color="auto"/>
                        <w:right w:val="none" w:sz="0" w:space="0" w:color="auto"/>
                      </w:divBdr>
                    </w:div>
                    <w:div w:id="1696730460">
                      <w:marLeft w:val="0"/>
                      <w:marRight w:val="0"/>
                      <w:marTop w:val="0"/>
                      <w:marBottom w:val="0"/>
                      <w:divBdr>
                        <w:top w:val="none" w:sz="0" w:space="0" w:color="auto"/>
                        <w:left w:val="none" w:sz="0" w:space="0" w:color="auto"/>
                        <w:bottom w:val="none" w:sz="0" w:space="0" w:color="auto"/>
                        <w:right w:val="none" w:sz="0" w:space="0" w:color="auto"/>
                      </w:divBdr>
                    </w:div>
                    <w:div w:id="1802796937">
                      <w:marLeft w:val="0"/>
                      <w:marRight w:val="0"/>
                      <w:marTop w:val="0"/>
                      <w:marBottom w:val="0"/>
                      <w:divBdr>
                        <w:top w:val="none" w:sz="0" w:space="0" w:color="auto"/>
                        <w:left w:val="none" w:sz="0" w:space="0" w:color="auto"/>
                        <w:bottom w:val="none" w:sz="0" w:space="0" w:color="auto"/>
                        <w:right w:val="none" w:sz="0" w:space="0" w:color="auto"/>
                      </w:divBdr>
                    </w:div>
                    <w:div w:id="1847355796">
                      <w:marLeft w:val="0"/>
                      <w:marRight w:val="0"/>
                      <w:marTop w:val="0"/>
                      <w:marBottom w:val="0"/>
                      <w:divBdr>
                        <w:top w:val="none" w:sz="0" w:space="0" w:color="auto"/>
                        <w:left w:val="none" w:sz="0" w:space="0" w:color="auto"/>
                        <w:bottom w:val="none" w:sz="0" w:space="0" w:color="auto"/>
                        <w:right w:val="none" w:sz="0" w:space="0" w:color="auto"/>
                      </w:divBdr>
                    </w:div>
                    <w:div w:id="195906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0147388">
      <w:bodyDiv w:val="1"/>
      <w:marLeft w:val="225"/>
      <w:marRight w:val="225"/>
      <w:marTop w:val="0"/>
      <w:marBottom w:val="0"/>
      <w:divBdr>
        <w:top w:val="none" w:sz="0" w:space="0" w:color="auto"/>
        <w:left w:val="none" w:sz="0" w:space="0" w:color="auto"/>
        <w:bottom w:val="none" w:sz="0" w:space="0" w:color="auto"/>
        <w:right w:val="none" w:sz="0" w:space="0" w:color="auto"/>
      </w:divBdr>
      <w:divsChild>
        <w:div w:id="1502356493">
          <w:marLeft w:val="0"/>
          <w:marRight w:val="0"/>
          <w:marTop w:val="0"/>
          <w:marBottom w:val="0"/>
          <w:divBdr>
            <w:top w:val="none" w:sz="0" w:space="0" w:color="auto"/>
            <w:left w:val="none" w:sz="0" w:space="0" w:color="auto"/>
            <w:bottom w:val="none" w:sz="0" w:space="0" w:color="auto"/>
            <w:right w:val="none" w:sz="0" w:space="0" w:color="auto"/>
          </w:divBdr>
        </w:div>
      </w:divsChild>
    </w:div>
    <w:div w:id="484930158">
      <w:bodyDiv w:val="1"/>
      <w:marLeft w:val="0"/>
      <w:marRight w:val="0"/>
      <w:marTop w:val="0"/>
      <w:marBottom w:val="0"/>
      <w:divBdr>
        <w:top w:val="none" w:sz="0" w:space="0" w:color="auto"/>
        <w:left w:val="none" w:sz="0" w:space="0" w:color="auto"/>
        <w:bottom w:val="none" w:sz="0" w:space="0" w:color="auto"/>
        <w:right w:val="none" w:sz="0" w:space="0" w:color="auto"/>
      </w:divBdr>
      <w:divsChild>
        <w:div w:id="399712979">
          <w:marLeft w:val="0"/>
          <w:marRight w:val="0"/>
          <w:marTop w:val="0"/>
          <w:marBottom w:val="0"/>
          <w:divBdr>
            <w:top w:val="none" w:sz="0" w:space="0" w:color="auto"/>
            <w:left w:val="none" w:sz="0" w:space="0" w:color="auto"/>
            <w:bottom w:val="none" w:sz="0" w:space="0" w:color="auto"/>
            <w:right w:val="none" w:sz="0" w:space="0" w:color="auto"/>
          </w:divBdr>
          <w:divsChild>
            <w:div w:id="956253012">
              <w:marLeft w:val="0"/>
              <w:marRight w:val="0"/>
              <w:marTop w:val="0"/>
              <w:marBottom w:val="0"/>
              <w:divBdr>
                <w:top w:val="none" w:sz="0" w:space="0" w:color="auto"/>
                <w:left w:val="none" w:sz="0" w:space="0" w:color="auto"/>
                <w:bottom w:val="none" w:sz="0" w:space="0" w:color="auto"/>
                <w:right w:val="none" w:sz="0" w:space="0" w:color="auto"/>
              </w:divBdr>
              <w:divsChild>
                <w:div w:id="1659068711">
                  <w:marLeft w:val="0"/>
                  <w:marRight w:val="0"/>
                  <w:marTop w:val="0"/>
                  <w:marBottom w:val="0"/>
                  <w:divBdr>
                    <w:top w:val="none" w:sz="0" w:space="0" w:color="auto"/>
                    <w:left w:val="none" w:sz="0" w:space="0" w:color="auto"/>
                    <w:bottom w:val="none" w:sz="0" w:space="0" w:color="auto"/>
                    <w:right w:val="none" w:sz="0" w:space="0" w:color="auto"/>
                  </w:divBdr>
                  <w:divsChild>
                    <w:div w:id="238053879">
                      <w:marLeft w:val="0"/>
                      <w:marRight w:val="0"/>
                      <w:marTop w:val="0"/>
                      <w:marBottom w:val="0"/>
                      <w:divBdr>
                        <w:top w:val="none" w:sz="0" w:space="0" w:color="auto"/>
                        <w:left w:val="none" w:sz="0" w:space="0" w:color="auto"/>
                        <w:bottom w:val="none" w:sz="0" w:space="0" w:color="auto"/>
                        <w:right w:val="none" w:sz="0" w:space="0" w:color="auto"/>
                      </w:divBdr>
                      <w:divsChild>
                        <w:div w:id="493838292">
                          <w:marLeft w:val="0"/>
                          <w:marRight w:val="0"/>
                          <w:marTop w:val="0"/>
                          <w:marBottom w:val="0"/>
                          <w:divBdr>
                            <w:top w:val="none" w:sz="0" w:space="0" w:color="auto"/>
                            <w:left w:val="none" w:sz="0" w:space="0" w:color="auto"/>
                            <w:bottom w:val="none" w:sz="0" w:space="0" w:color="auto"/>
                            <w:right w:val="none" w:sz="0" w:space="0" w:color="auto"/>
                          </w:divBdr>
                        </w:div>
                        <w:div w:id="627130399">
                          <w:marLeft w:val="0"/>
                          <w:marRight w:val="0"/>
                          <w:marTop w:val="0"/>
                          <w:marBottom w:val="0"/>
                          <w:divBdr>
                            <w:top w:val="none" w:sz="0" w:space="0" w:color="auto"/>
                            <w:left w:val="none" w:sz="0" w:space="0" w:color="auto"/>
                            <w:bottom w:val="none" w:sz="0" w:space="0" w:color="auto"/>
                            <w:right w:val="none" w:sz="0" w:space="0" w:color="auto"/>
                          </w:divBdr>
                        </w:div>
                        <w:div w:id="1085225888">
                          <w:marLeft w:val="0"/>
                          <w:marRight w:val="0"/>
                          <w:marTop w:val="0"/>
                          <w:marBottom w:val="0"/>
                          <w:divBdr>
                            <w:top w:val="none" w:sz="0" w:space="0" w:color="auto"/>
                            <w:left w:val="none" w:sz="0" w:space="0" w:color="auto"/>
                            <w:bottom w:val="none" w:sz="0" w:space="0" w:color="auto"/>
                            <w:right w:val="none" w:sz="0" w:space="0" w:color="auto"/>
                          </w:divBdr>
                        </w:div>
                        <w:div w:id="1396397525">
                          <w:marLeft w:val="0"/>
                          <w:marRight w:val="0"/>
                          <w:marTop w:val="0"/>
                          <w:marBottom w:val="0"/>
                          <w:divBdr>
                            <w:top w:val="none" w:sz="0" w:space="0" w:color="auto"/>
                            <w:left w:val="none" w:sz="0" w:space="0" w:color="auto"/>
                            <w:bottom w:val="none" w:sz="0" w:space="0" w:color="auto"/>
                            <w:right w:val="none" w:sz="0" w:space="0" w:color="auto"/>
                          </w:divBdr>
                        </w:div>
                        <w:div w:id="1605915870">
                          <w:marLeft w:val="0"/>
                          <w:marRight w:val="0"/>
                          <w:marTop w:val="0"/>
                          <w:marBottom w:val="0"/>
                          <w:divBdr>
                            <w:top w:val="none" w:sz="0" w:space="0" w:color="auto"/>
                            <w:left w:val="none" w:sz="0" w:space="0" w:color="auto"/>
                            <w:bottom w:val="none" w:sz="0" w:space="0" w:color="auto"/>
                            <w:right w:val="none" w:sz="0" w:space="0" w:color="auto"/>
                          </w:divBdr>
                        </w:div>
                        <w:div w:id="1736196530">
                          <w:marLeft w:val="0"/>
                          <w:marRight w:val="0"/>
                          <w:marTop w:val="0"/>
                          <w:marBottom w:val="0"/>
                          <w:divBdr>
                            <w:top w:val="none" w:sz="0" w:space="0" w:color="auto"/>
                            <w:left w:val="none" w:sz="0" w:space="0" w:color="auto"/>
                            <w:bottom w:val="none" w:sz="0" w:space="0" w:color="auto"/>
                            <w:right w:val="none" w:sz="0" w:space="0" w:color="auto"/>
                          </w:divBdr>
                        </w:div>
                        <w:div w:id="1737432137">
                          <w:marLeft w:val="0"/>
                          <w:marRight w:val="0"/>
                          <w:marTop w:val="0"/>
                          <w:marBottom w:val="0"/>
                          <w:divBdr>
                            <w:top w:val="none" w:sz="0" w:space="0" w:color="auto"/>
                            <w:left w:val="none" w:sz="0" w:space="0" w:color="auto"/>
                            <w:bottom w:val="none" w:sz="0" w:space="0" w:color="auto"/>
                            <w:right w:val="none" w:sz="0" w:space="0" w:color="auto"/>
                          </w:divBdr>
                        </w:div>
                        <w:div w:id="1843162088">
                          <w:marLeft w:val="0"/>
                          <w:marRight w:val="0"/>
                          <w:marTop w:val="0"/>
                          <w:marBottom w:val="0"/>
                          <w:divBdr>
                            <w:top w:val="none" w:sz="0" w:space="0" w:color="auto"/>
                            <w:left w:val="none" w:sz="0" w:space="0" w:color="auto"/>
                            <w:bottom w:val="none" w:sz="0" w:space="0" w:color="auto"/>
                            <w:right w:val="none" w:sz="0" w:space="0" w:color="auto"/>
                          </w:divBdr>
                        </w:div>
                        <w:div w:id="1866862899">
                          <w:marLeft w:val="0"/>
                          <w:marRight w:val="0"/>
                          <w:marTop w:val="0"/>
                          <w:marBottom w:val="0"/>
                          <w:divBdr>
                            <w:top w:val="none" w:sz="0" w:space="0" w:color="auto"/>
                            <w:left w:val="none" w:sz="0" w:space="0" w:color="auto"/>
                            <w:bottom w:val="none" w:sz="0" w:space="0" w:color="auto"/>
                            <w:right w:val="none" w:sz="0" w:space="0" w:color="auto"/>
                          </w:divBdr>
                        </w:div>
                        <w:div w:id="1924873534">
                          <w:marLeft w:val="0"/>
                          <w:marRight w:val="0"/>
                          <w:marTop w:val="0"/>
                          <w:marBottom w:val="0"/>
                          <w:divBdr>
                            <w:top w:val="none" w:sz="0" w:space="0" w:color="auto"/>
                            <w:left w:val="none" w:sz="0" w:space="0" w:color="auto"/>
                            <w:bottom w:val="none" w:sz="0" w:space="0" w:color="auto"/>
                            <w:right w:val="none" w:sz="0" w:space="0" w:color="auto"/>
                          </w:divBdr>
                        </w:div>
                        <w:div w:id="2087801317">
                          <w:marLeft w:val="0"/>
                          <w:marRight w:val="0"/>
                          <w:marTop w:val="0"/>
                          <w:marBottom w:val="0"/>
                          <w:divBdr>
                            <w:top w:val="none" w:sz="0" w:space="0" w:color="auto"/>
                            <w:left w:val="none" w:sz="0" w:space="0" w:color="auto"/>
                            <w:bottom w:val="none" w:sz="0" w:space="0" w:color="auto"/>
                            <w:right w:val="none" w:sz="0" w:space="0" w:color="auto"/>
                          </w:divBdr>
                        </w:div>
                        <w:div w:id="209481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3214583">
      <w:bodyDiv w:val="1"/>
      <w:marLeft w:val="0"/>
      <w:marRight w:val="0"/>
      <w:marTop w:val="0"/>
      <w:marBottom w:val="0"/>
      <w:divBdr>
        <w:top w:val="none" w:sz="0" w:space="0" w:color="auto"/>
        <w:left w:val="none" w:sz="0" w:space="0" w:color="auto"/>
        <w:bottom w:val="none" w:sz="0" w:space="0" w:color="auto"/>
        <w:right w:val="none" w:sz="0" w:space="0" w:color="auto"/>
      </w:divBdr>
      <w:divsChild>
        <w:div w:id="87046573">
          <w:marLeft w:val="0"/>
          <w:marRight w:val="0"/>
          <w:marTop w:val="0"/>
          <w:marBottom w:val="0"/>
          <w:divBdr>
            <w:top w:val="none" w:sz="0" w:space="0" w:color="auto"/>
            <w:left w:val="none" w:sz="0" w:space="0" w:color="auto"/>
            <w:bottom w:val="none" w:sz="0" w:space="0" w:color="auto"/>
            <w:right w:val="none" w:sz="0" w:space="0" w:color="auto"/>
          </w:divBdr>
          <w:divsChild>
            <w:div w:id="119614831">
              <w:marLeft w:val="0"/>
              <w:marRight w:val="0"/>
              <w:marTop w:val="0"/>
              <w:marBottom w:val="0"/>
              <w:divBdr>
                <w:top w:val="none" w:sz="0" w:space="0" w:color="auto"/>
                <w:left w:val="none" w:sz="0" w:space="0" w:color="auto"/>
                <w:bottom w:val="none" w:sz="0" w:space="0" w:color="auto"/>
                <w:right w:val="none" w:sz="0" w:space="0" w:color="auto"/>
              </w:divBdr>
              <w:divsChild>
                <w:div w:id="1871064444">
                  <w:marLeft w:val="0"/>
                  <w:marRight w:val="0"/>
                  <w:marTop w:val="0"/>
                  <w:marBottom w:val="0"/>
                  <w:divBdr>
                    <w:top w:val="none" w:sz="0" w:space="0" w:color="auto"/>
                    <w:left w:val="none" w:sz="0" w:space="0" w:color="auto"/>
                    <w:bottom w:val="none" w:sz="0" w:space="0" w:color="auto"/>
                    <w:right w:val="none" w:sz="0" w:space="0" w:color="auto"/>
                  </w:divBdr>
                  <w:divsChild>
                    <w:div w:id="62724900">
                      <w:marLeft w:val="0"/>
                      <w:marRight w:val="0"/>
                      <w:marTop w:val="0"/>
                      <w:marBottom w:val="0"/>
                      <w:divBdr>
                        <w:top w:val="none" w:sz="0" w:space="0" w:color="auto"/>
                        <w:left w:val="none" w:sz="0" w:space="0" w:color="auto"/>
                        <w:bottom w:val="none" w:sz="0" w:space="0" w:color="auto"/>
                        <w:right w:val="none" w:sz="0" w:space="0" w:color="auto"/>
                      </w:divBdr>
                    </w:div>
                    <w:div w:id="166867564">
                      <w:marLeft w:val="0"/>
                      <w:marRight w:val="0"/>
                      <w:marTop w:val="0"/>
                      <w:marBottom w:val="0"/>
                      <w:divBdr>
                        <w:top w:val="none" w:sz="0" w:space="0" w:color="auto"/>
                        <w:left w:val="none" w:sz="0" w:space="0" w:color="auto"/>
                        <w:bottom w:val="none" w:sz="0" w:space="0" w:color="auto"/>
                        <w:right w:val="none" w:sz="0" w:space="0" w:color="auto"/>
                      </w:divBdr>
                    </w:div>
                    <w:div w:id="207690172">
                      <w:marLeft w:val="0"/>
                      <w:marRight w:val="0"/>
                      <w:marTop w:val="0"/>
                      <w:marBottom w:val="0"/>
                      <w:divBdr>
                        <w:top w:val="none" w:sz="0" w:space="0" w:color="auto"/>
                        <w:left w:val="none" w:sz="0" w:space="0" w:color="auto"/>
                        <w:bottom w:val="none" w:sz="0" w:space="0" w:color="auto"/>
                        <w:right w:val="none" w:sz="0" w:space="0" w:color="auto"/>
                      </w:divBdr>
                    </w:div>
                    <w:div w:id="304630057">
                      <w:marLeft w:val="0"/>
                      <w:marRight w:val="0"/>
                      <w:marTop w:val="0"/>
                      <w:marBottom w:val="0"/>
                      <w:divBdr>
                        <w:top w:val="none" w:sz="0" w:space="0" w:color="auto"/>
                        <w:left w:val="none" w:sz="0" w:space="0" w:color="auto"/>
                        <w:bottom w:val="none" w:sz="0" w:space="0" w:color="auto"/>
                        <w:right w:val="none" w:sz="0" w:space="0" w:color="auto"/>
                      </w:divBdr>
                    </w:div>
                    <w:div w:id="318114531">
                      <w:marLeft w:val="0"/>
                      <w:marRight w:val="0"/>
                      <w:marTop w:val="0"/>
                      <w:marBottom w:val="0"/>
                      <w:divBdr>
                        <w:top w:val="none" w:sz="0" w:space="0" w:color="auto"/>
                        <w:left w:val="none" w:sz="0" w:space="0" w:color="auto"/>
                        <w:bottom w:val="none" w:sz="0" w:space="0" w:color="auto"/>
                        <w:right w:val="none" w:sz="0" w:space="0" w:color="auto"/>
                      </w:divBdr>
                    </w:div>
                    <w:div w:id="610405143">
                      <w:marLeft w:val="0"/>
                      <w:marRight w:val="0"/>
                      <w:marTop w:val="0"/>
                      <w:marBottom w:val="0"/>
                      <w:divBdr>
                        <w:top w:val="none" w:sz="0" w:space="0" w:color="auto"/>
                        <w:left w:val="none" w:sz="0" w:space="0" w:color="auto"/>
                        <w:bottom w:val="none" w:sz="0" w:space="0" w:color="auto"/>
                        <w:right w:val="none" w:sz="0" w:space="0" w:color="auto"/>
                      </w:divBdr>
                    </w:div>
                    <w:div w:id="758602367">
                      <w:marLeft w:val="0"/>
                      <w:marRight w:val="0"/>
                      <w:marTop w:val="0"/>
                      <w:marBottom w:val="0"/>
                      <w:divBdr>
                        <w:top w:val="none" w:sz="0" w:space="0" w:color="auto"/>
                        <w:left w:val="none" w:sz="0" w:space="0" w:color="auto"/>
                        <w:bottom w:val="none" w:sz="0" w:space="0" w:color="auto"/>
                        <w:right w:val="none" w:sz="0" w:space="0" w:color="auto"/>
                      </w:divBdr>
                    </w:div>
                    <w:div w:id="864368371">
                      <w:marLeft w:val="0"/>
                      <w:marRight w:val="0"/>
                      <w:marTop w:val="0"/>
                      <w:marBottom w:val="0"/>
                      <w:divBdr>
                        <w:top w:val="none" w:sz="0" w:space="0" w:color="auto"/>
                        <w:left w:val="none" w:sz="0" w:space="0" w:color="auto"/>
                        <w:bottom w:val="none" w:sz="0" w:space="0" w:color="auto"/>
                        <w:right w:val="none" w:sz="0" w:space="0" w:color="auto"/>
                      </w:divBdr>
                    </w:div>
                    <w:div w:id="879318978">
                      <w:marLeft w:val="0"/>
                      <w:marRight w:val="0"/>
                      <w:marTop w:val="0"/>
                      <w:marBottom w:val="0"/>
                      <w:divBdr>
                        <w:top w:val="none" w:sz="0" w:space="0" w:color="auto"/>
                        <w:left w:val="none" w:sz="0" w:space="0" w:color="auto"/>
                        <w:bottom w:val="none" w:sz="0" w:space="0" w:color="auto"/>
                        <w:right w:val="none" w:sz="0" w:space="0" w:color="auto"/>
                      </w:divBdr>
                    </w:div>
                    <w:div w:id="1018000442">
                      <w:marLeft w:val="0"/>
                      <w:marRight w:val="0"/>
                      <w:marTop w:val="0"/>
                      <w:marBottom w:val="0"/>
                      <w:divBdr>
                        <w:top w:val="none" w:sz="0" w:space="0" w:color="auto"/>
                        <w:left w:val="none" w:sz="0" w:space="0" w:color="auto"/>
                        <w:bottom w:val="none" w:sz="0" w:space="0" w:color="auto"/>
                        <w:right w:val="none" w:sz="0" w:space="0" w:color="auto"/>
                      </w:divBdr>
                    </w:div>
                    <w:div w:id="1109203474">
                      <w:marLeft w:val="0"/>
                      <w:marRight w:val="0"/>
                      <w:marTop w:val="0"/>
                      <w:marBottom w:val="0"/>
                      <w:divBdr>
                        <w:top w:val="none" w:sz="0" w:space="0" w:color="auto"/>
                        <w:left w:val="none" w:sz="0" w:space="0" w:color="auto"/>
                        <w:bottom w:val="none" w:sz="0" w:space="0" w:color="auto"/>
                        <w:right w:val="none" w:sz="0" w:space="0" w:color="auto"/>
                      </w:divBdr>
                    </w:div>
                    <w:div w:id="1267813565">
                      <w:marLeft w:val="0"/>
                      <w:marRight w:val="0"/>
                      <w:marTop w:val="0"/>
                      <w:marBottom w:val="0"/>
                      <w:divBdr>
                        <w:top w:val="none" w:sz="0" w:space="0" w:color="auto"/>
                        <w:left w:val="none" w:sz="0" w:space="0" w:color="auto"/>
                        <w:bottom w:val="none" w:sz="0" w:space="0" w:color="auto"/>
                        <w:right w:val="none" w:sz="0" w:space="0" w:color="auto"/>
                      </w:divBdr>
                    </w:div>
                    <w:div w:id="1324313587">
                      <w:marLeft w:val="0"/>
                      <w:marRight w:val="0"/>
                      <w:marTop w:val="0"/>
                      <w:marBottom w:val="0"/>
                      <w:divBdr>
                        <w:top w:val="none" w:sz="0" w:space="0" w:color="auto"/>
                        <w:left w:val="none" w:sz="0" w:space="0" w:color="auto"/>
                        <w:bottom w:val="none" w:sz="0" w:space="0" w:color="auto"/>
                        <w:right w:val="none" w:sz="0" w:space="0" w:color="auto"/>
                      </w:divBdr>
                    </w:div>
                    <w:div w:id="1332101135">
                      <w:marLeft w:val="0"/>
                      <w:marRight w:val="0"/>
                      <w:marTop w:val="0"/>
                      <w:marBottom w:val="0"/>
                      <w:divBdr>
                        <w:top w:val="none" w:sz="0" w:space="0" w:color="auto"/>
                        <w:left w:val="none" w:sz="0" w:space="0" w:color="auto"/>
                        <w:bottom w:val="none" w:sz="0" w:space="0" w:color="auto"/>
                        <w:right w:val="none" w:sz="0" w:space="0" w:color="auto"/>
                      </w:divBdr>
                    </w:div>
                    <w:div w:id="1343974580">
                      <w:marLeft w:val="0"/>
                      <w:marRight w:val="0"/>
                      <w:marTop w:val="0"/>
                      <w:marBottom w:val="0"/>
                      <w:divBdr>
                        <w:top w:val="none" w:sz="0" w:space="0" w:color="auto"/>
                        <w:left w:val="none" w:sz="0" w:space="0" w:color="auto"/>
                        <w:bottom w:val="none" w:sz="0" w:space="0" w:color="auto"/>
                        <w:right w:val="none" w:sz="0" w:space="0" w:color="auto"/>
                      </w:divBdr>
                    </w:div>
                    <w:div w:id="1485314404">
                      <w:marLeft w:val="0"/>
                      <w:marRight w:val="0"/>
                      <w:marTop w:val="0"/>
                      <w:marBottom w:val="0"/>
                      <w:divBdr>
                        <w:top w:val="none" w:sz="0" w:space="0" w:color="auto"/>
                        <w:left w:val="none" w:sz="0" w:space="0" w:color="auto"/>
                        <w:bottom w:val="none" w:sz="0" w:space="0" w:color="auto"/>
                        <w:right w:val="none" w:sz="0" w:space="0" w:color="auto"/>
                      </w:divBdr>
                    </w:div>
                    <w:div w:id="1539509443">
                      <w:marLeft w:val="0"/>
                      <w:marRight w:val="0"/>
                      <w:marTop w:val="0"/>
                      <w:marBottom w:val="0"/>
                      <w:divBdr>
                        <w:top w:val="none" w:sz="0" w:space="0" w:color="auto"/>
                        <w:left w:val="none" w:sz="0" w:space="0" w:color="auto"/>
                        <w:bottom w:val="none" w:sz="0" w:space="0" w:color="auto"/>
                        <w:right w:val="none" w:sz="0" w:space="0" w:color="auto"/>
                      </w:divBdr>
                    </w:div>
                    <w:div w:id="1659110796">
                      <w:marLeft w:val="0"/>
                      <w:marRight w:val="0"/>
                      <w:marTop w:val="0"/>
                      <w:marBottom w:val="0"/>
                      <w:divBdr>
                        <w:top w:val="none" w:sz="0" w:space="0" w:color="auto"/>
                        <w:left w:val="none" w:sz="0" w:space="0" w:color="auto"/>
                        <w:bottom w:val="none" w:sz="0" w:space="0" w:color="auto"/>
                        <w:right w:val="none" w:sz="0" w:space="0" w:color="auto"/>
                      </w:divBdr>
                    </w:div>
                    <w:div w:id="1696879315">
                      <w:marLeft w:val="0"/>
                      <w:marRight w:val="0"/>
                      <w:marTop w:val="0"/>
                      <w:marBottom w:val="0"/>
                      <w:divBdr>
                        <w:top w:val="none" w:sz="0" w:space="0" w:color="auto"/>
                        <w:left w:val="none" w:sz="0" w:space="0" w:color="auto"/>
                        <w:bottom w:val="none" w:sz="0" w:space="0" w:color="auto"/>
                        <w:right w:val="none" w:sz="0" w:space="0" w:color="auto"/>
                      </w:divBdr>
                    </w:div>
                    <w:div w:id="1809932314">
                      <w:marLeft w:val="0"/>
                      <w:marRight w:val="0"/>
                      <w:marTop w:val="0"/>
                      <w:marBottom w:val="0"/>
                      <w:divBdr>
                        <w:top w:val="none" w:sz="0" w:space="0" w:color="auto"/>
                        <w:left w:val="none" w:sz="0" w:space="0" w:color="auto"/>
                        <w:bottom w:val="none" w:sz="0" w:space="0" w:color="auto"/>
                        <w:right w:val="none" w:sz="0" w:space="0" w:color="auto"/>
                      </w:divBdr>
                    </w:div>
                    <w:div w:id="1810049515">
                      <w:marLeft w:val="0"/>
                      <w:marRight w:val="0"/>
                      <w:marTop w:val="0"/>
                      <w:marBottom w:val="0"/>
                      <w:divBdr>
                        <w:top w:val="none" w:sz="0" w:space="0" w:color="auto"/>
                        <w:left w:val="none" w:sz="0" w:space="0" w:color="auto"/>
                        <w:bottom w:val="none" w:sz="0" w:space="0" w:color="auto"/>
                        <w:right w:val="none" w:sz="0" w:space="0" w:color="auto"/>
                      </w:divBdr>
                    </w:div>
                    <w:div w:id="1874998199">
                      <w:marLeft w:val="0"/>
                      <w:marRight w:val="0"/>
                      <w:marTop w:val="0"/>
                      <w:marBottom w:val="0"/>
                      <w:divBdr>
                        <w:top w:val="none" w:sz="0" w:space="0" w:color="auto"/>
                        <w:left w:val="none" w:sz="0" w:space="0" w:color="auto"/>
                        <w:bottom w:val="none" w:sz="0" w:space="0" w:color="auto"/>
                        <w:right w:val="none" w:sz="0" w:space="0" w:color="auto"/>
                      </w:divBdr>
                    </w:div>
                    <w:div w:id="2006350178">
                      <w:marLeft w:val="0"/>
                      <w:marRight w:val="0"/>
                      <w:marTop w:val="0"/>
                      <w:marBottom w:val="0"/>
                      <w:divBdr>
                        <w:top w:val="none" w:sz="0" w:space="0" w:color="auto"/>
                        <w:left w:val="none" w:sz="0" w:space="0" w:color="auto"/>
                        <w:bottom w:val="none" w:sz="0" w:space="0" w:color="auto"/>
                        <w:right w:val="none" w:sz="0" w:space="0" w:color="auto"/>
                      </w:divBdr>
                    </w:div>
                    <w:div w:id="213772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161193">
      <w:bodyDiv w:val="1"/>
      <w:marLeft w:val="225"/>
      <w:marRight w:val="225"/>
      <w:marTop w:val="0"/>
      <w:marBottom w:val="0"/>
      <w:divBdr>
        <w:top w:val="none" w:sz="0" w:space="0" w:color="auto"/>
        <w:left w:val="none" w:sz="0" w:space="0" w:color="auto"/>
        <w:bottom w:val="none" w:sz="0" w:space="0" w:color="auto"/>
        <w:right w:val="none" w:sz="0" w:space="0" w:color="auto"/>
      </w:divBdr>
      <w:divsChild>
        <w:div w:id="1549684980">
          <w:marLeft w:val="0"/>
          <w:marRight w:val="0"/>
          <w:marTop w:val="0"/>
          <w:marBottom w:val="0"/>
          <w:divBdr>
            <w:top w:val="none" w:sz="0" w:space="0" w:color="auto"/>
            <w:left w:val="none" w:sz="0" w:space="0" w:color="auto"/>
            <w:bottom w:val="none" w:sz="0" w:space="0" w:color="auto"/>
            <w:right w:val="none" w:sz="0" w:space="0" w:color="auto"/>
          </w:divBdr>
        </w:div>
      </w:divsChild>
    </w:div>
    <w:div w:id="1273978604">
      <w:bodyDiv w:val="1"/>
      <w:marLeft w:val="0"/>
      <w:marRight w:val="0"/>
      <w:marTop w:val="0"/>
      <w:marBottom w:val="0"/>
      <w:divBdr>
        <w:top w:val="none" w:sz="0" w:space="0" w:color="auto"/>
        <w:left w:val="none" w:sz="0" w:space="0" w:color="auto"/>
        <w:bottom w:val="none" w:sz="0" w:space="0" w:color="auto"/>
        <w:right w:val="none" w:sz="0" w:space="0" w:color="auto"/>
      </w:divBdr>
      <w:divsChild>
        <w:div w:id="273441497">
          <w:marLeft w:val="0"/>
          <w:marRight w:val="0"/>
          <w:marTop w:val="0"/>
          <w:marBottom w:val="0"/>
          <w:divBdr>
            <w:top w:val="none" w:sz="0" w:space="0" w:color="auto"/>
            <w:left w:val="none" w:sz="0" w:space="0" w:color="auto"/>
            <w:bottom w:val="none" w:sz="0" w:space="0" w:color="auto"/>
            <w:right w:val="none" w:sz="0" w:space="0" w:color="auto"/>
          </w:divBdr>
          <w:divsChild>
            <w:div w:id="270402794">
              <w:marLeft w:val="0"/>
              <w:marRight w:val="0"/>
              <w:marTop w:val="0"/>
              <w:marBottom w:val="0"/>
              <w:divBdr>
                <w:top w:val="none" w:sz="0" w:space="0" w:color="auto"/>
                <w:left w:val="none" w:sz="0" w:space="0" w:color="auto"/>
                <w:bottom w:val="none" w:sz="0" w:space="0" w:color="auto"/>
                <w:right w:val="none" w:sz="0" w:space="0" w:color="auto"/>
              </w:divBdr>
              <w:divsChild>
                <w:div w:id="6060638">
                  <w:marLeft w:val="0"/>
                  <w:marRight w:val="0"/>
                  <w:marTop w:val="0"/>
                  <w:marBottom w:val="0"/>
                  <w:divBdr>
                    <w:top w:val="none" w:sz="0" w:space="0" w:color="auto"/>
                    <w:left w:val="none" w:sz="0" w:space="0" w:color="auto"/>
                    <w:bottom w:val="none" w:sz="0" w:space="0" w:color="auto"/>
                    <w:right w:val="none" w:sz="0" w:space="0" w:color="auto"/>
                  </w:divBdr>
                  <w:divsChild>
                    <w:div w:id="1769229127">
                      <w:marLeft w:val="0"/>
                      <w:marRight w:val="0"/>
                      <w:marTop w:val="0"/>
                      <w:marBottom w:val="0"/>
                      <w:divBdr>
                        <w:top w:val="none" w:sz="0" w:space="0" w:color="auto"/>
                        <w:left w:val="none" w:sz="0" w:space="0" w:color="auto"/>
                        <w:bottom w:val="none" w:sz="0" w:space="0" w:color="auto"/>
                        <w:right w:val="none" w:sz="0" w:space="0" w:color="auto"/>
                      </w:divBdr>
                      <w:divsChild>
                        <w:div w:id="433792862">
                          <w:marLeft w:val="0"/>
                          <w:marRight w:val="0"/>
                          <w:marTop w:val="0"/>
                          <w:marBottom w:val="0"/>
                          <w:divBdr>
                            <w:top w:val="none" w:sz="0" w:space="0" w:color="auto"/>
                            <w:left w:val="none" w:sz="0" w:space="0" w:color="auto"/>
                            <w:bottom w:val="none" w:sz="0" w:space="0" w:color="auto"/>
                            <w:right w:val="none" w:sz="0" w:space="0" w:color="auto"/>
                          </w:divBdr>
                        </w:div>
                        <w:div w:id="905190197">
                          <w:marLeft w:val="0"/>
                          <w:marRight w:val="0"/>
                          <w:marTop w:val="0"/>
                          <w:marBottom w:val="0"/>
                          <w:divBdr>
                            <w:top w:val="none" w:sz="0" w:space="0" w:color="auto"/>
                            <w:left w:val="none" w:sz="0" w:space="0" w:color="auto"/>
                            <w:bottom w:val="none" w:sz="0" w:space="0" w:color="auto"/>
                            <w:right w:val="none" w:sz="0" w:space="0" w:color="auto"/>
                          </w:divBdr>
                        </w:div>
                        <w:div w:id="1352729296">
                          <w:marLeft w:val="0"/>
                          <w:marRight w:val="0"/>
                          <w:marTop w:val="0"/>
                          <w:marBottom w:val="0"/>
                          <w:divBdr>
                            <w:top w:val="none" w:sz="0" w:space="0" w:color="auto"/>
                            <w:left w:val="none" w:sz="0" w:space="0" w:color="auto"/>
                            <w:bottom w:val="none" w:sz="0" w:space="0" w:color="auto"/>
                            <w:right w:val="none" w:sz="0" w:space="0" w:color="auto"/>
                          </w:divBdr>
                        </w:div>
                        <w:div w:id="173809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8916982">
      <w:bodyDiv w:val="1"/>
      <w:marLeft w:val="0"/>
      <w:marRight w:val="0"/>
      <w:marTop w:val="0"/>
      <w:marBottom w:val="0"/>
      <w:divBdr>
        <w:top w:val="none" w:sz="0" w:space="0" w:color="auto"/>
        <w:left w:val="none" w:sz="0" w:space="0" w:color="auto"/>
        <w:bottom w:val="none" w:sz="0" w:space="0" w:color="auto"/>
        <w:right w:val="none" w:sz="0" w:space="0" w:color="auto"/>
      </w:divBdr>
      <w:divsChild>
        <w:div w:id="815680410">
          <w:marLeft w:val="0"/>
          <w:marRight w:val="0"/>
          <w:marTop w:val="0"/>
          <w:marBottom w:val="0"/>
          <w:divBdr>
            <w:top w:val="none" w:sz="0" w:space="0" w:color="auto"/>
            <w:left w:val="none" w:sz="0" w:space="0" w:color="auto"/>
            <w:bottom w:val="none" w:sz="0" w:space="0" w:color="auto"/>
            <w:right w:val="none" w:sz="0" w:space="0" w:color="auto"/>
          </w:divBdr>
          <w:divsChild>
            <w:div w:id="1633901976">
              <w:marLeft w:val="0"/>
              <w:marRight w:val="0"/>
              <w:marTop w:val="0"/>
              <w:marBottom w:val="0"/>
              <w:divBdr>
                <w:top w:val="none" w:sz="0" w:space="0" w:color="auto"/>
                <w:left w:val="none" w:sz="0" w:space="0" w:color="auto"/>
                <w:bottom w:val="none" w:sz="0" w:space="0" w:color="auto"/>
                <w:right w:val="none" w:sz="0" w:space="0" w:color="auto"/>
              </w:divBdr>
              <w:divsChild>
                <w:div w:id="320502548">
                  <w:marLeft w:val="0"/>
                  <w:marRight w:val="0"/>
                  <w:marTop w:val="0"/>
                  <w:marBottom w:val="0"/>
                  <w:divBdr>
                    <w:top w:val="none" w:sz="0" w:space="0" w:color="auto"/>
                    <w:left w:val="none" w:sz="0" w:space="0" w:color="auto"/>
                    <w:bottom w:val="none" w:sz="0" w:space="0" w:color="auto"/>
                    <w:right w:val="none" w:sz="0" w:space="0" w:color="auto"/>
                  </w:divBdr>
                  <w:divsChild>
                    <w:div w:id="1895969165">
                      <w:marLeft w:val="0"/>
                      <w:marRight w:val="0"/>
                      <w:marTop w:val="0"/>
                      <w:marBottom w:val="0"/>
                      <w:divBdr>
                        <w:top w:val="none" w:sz="0" w:space="0" w:color="auto"/>
                        <w:left w:val="none" w:sz="0" w:space="0" w:color="auto"/>
                        <w:bottom w:val="none" w:sz="0" w:space="0" w:color="auto"/>
                        <w:right w:val="none" w:sz="0" w:space="0" w:color="auto"/>
                      </w:divBdr>
                      <w:divsChild>
                        <w:div w:id="719941591">
                          <w:marLeft w:val="0"/>
                          <w:marRight w:val="0"/>
                          <w:marTop w:val="0"/>
                          <w:marBottom w:val="0"/>
                          <w:divBdr>
                            <w:top w:val="none" w:sz="0" w:space="0" w:color="auto"/>
                            <w:left w:val="none" w:sz="0" w:space="0" w:color="auto"/>
                            <w:bottom w:val="none" w:sz="0" w:space="0" w:color="auto"/>
                            <w:right w:val="none" w:sz="0" w:space="0" w:color="auto"/>
                          </w:divBdr>
                        </w:div>
                        <w:div w:id="1099721367">
                          <w:marLeft w:val="0"/>
                          <w:marRight w:val="0"/>
                          <w:marTop w:val="0"/>
                          <w:marBottom w:val="0"/>
                          <w:divBdr>
                            <w:top w:val="none" w:sz="0" w:space="0" w:color="auto"/>
                            <w:left w:val="none" w:sz="0" w:space="0" w:color="auto"/>
                            <w:bottom w:val="none" w:sz="0" w:space="0" w:color="auto"/>
                            <w:right w:val="none" w:sz="0" w:space="0" w:color="auto"/>
                          </w:divBdr>
                        </w:div>
                        <w:div w:id="1475484346">
                          <w:marLeft w:val="0"/>
                          <w:marRight w:val="0"/>
                          <w:marTop w:val="0"/>
                          <w:marBottom w:val="0"/>
                          <w:divBdr>
                            <w:top w:val="none" w:sz="0" w:space="0" w:color="auto"/>
                            <w:left w:val="none" w:sz="0" w:space="0" w:color="auto"/>
                            <w:bottom w:val="none" w:sz="0" w:space="0" w:color="auto"/>
                            <w:right w:val="none" w:sz="0" w:space="0" w:color="auto"/>
                          </w:divBdr>
                        </w:div>
                        <w:div w:id="184104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3364255">
      <w:bodyDiv w:val="1"/>
      <w:marLeft w:val="0"/>
      <w:marRight w:val="0"/>
      <w:marTop w:val="0"/>
      <w:marBottom w:val="0"/>
      <w:divBdr>
        <w:top w:val="none" w:sz="0" w:space="0" w:color="auto"/>
        <w:left w:val="none" w:sz="0" w:space="0" w:color="auto"/>
        <w:bottom w:val="none" w:sz="0" w:space="0" w:color="auto"/>
        <w:right w:val="none" w:sz="0" w:space="0" w:color="auto"/>
      </w:divBdr>
      <w:divsChild>
        <w:div w:id="1792046542">
          <w:marLeft w:val="0"/>
          <w:marRight w:val="0"/>
          <w:marTop w:val="0"/>
          <w:marBottom w:val="0"/>
          <w:divBdr>
            <w:top w:val="none" w:sz="0" w:space="0" w:color="auto"/>
            <w:left w:val="none" w:sz="0" w:space="0" w:color="auto"/>
            <w:bottom w:val="none" w:sz="0" w:space="0" w:color="auto"/>
            <w:right w:val="none" w:sz="0" w:space="0" w:color="auto"/>
          </w:divBdr>
          <w:divsChild>
            <w:div w:id="1193298708">
              <w:marLeft w:val="0"/>
              <w:marRight w:val="0"/>
              <w:marTop w:val="0"/>
              <w:marBottom w:val="0"/>
              <w:divBdr>
                <w:top w:val="none" w:sz="0" w:space="0" w:color="auto"/>
                <w:left w:val="none" w:sz="0" w:space="0" w:color="auto"/>
                <w:bottom w:val="none" w:sz="0" w:space="0" w:color="auto"/>
                <w:right w:val="none" w:sz="0" w:space="0" w:color="auto"/>
              </w:divBdr>
              <w:divsChild>
                <w:div w:id="992871593">
                  <w:marLeft w:val="0"/>
                  <w:marRight w:val="0"/>
                  <w:marTop w:val="0"/>
                  <w:marBottom w:val="0"/>
                  <w:divBdr>
                    <w:top w:val="none" w:sz="0" w:space="0" w:color="auto"/>
                    <w:left w:val="none" w:sz="0" w:space="0" w:color="auto"/>
                    <w:bottom w:val="none" w:sz="0" w:space="0" w:color="auto"/>
                    <w:right w:val="none" w:sz="0" w:space="0" w:color="auto"/>
                  </w:divBdr>
                  <w:divsChild>
                    <w:div w:id="286355429">
                      <w:marLeft w:val="0"/>
                      <w:marRight w:val="0"/>
                      <w:marTop w:val="0"/>
                      <w:marBottom w:val="0"/>
                      <w:divBdr>
                        <w:top w:val="none" w:sz="0" w:space="0" w:color="auto"/>
                        <w:left w:val="none" w:sz="0" w:space="0" w:color="auto"/>
                        <w:bottom w:val="none" w:sz="0" w:space="0" w:color="auto"/>
                        <w:right w:val="none" w:sz="0" w:space="0" w:color="auto"/>
                      </w:divBdr>
                      <w:divsChild>
                        <w:div w:id="494303445">
                          <w:marLeft w:val="0"/>
                          <w:marRight w:val="0"/>
                          <w:marTop w:val="0"/>
                          <w:marBottom w:val="0"/>
                          <w:divBdr>
                            <w:top w:val="none" w:sz="0" w:space="0" w:color="auto"/>
                            <w:left w:val="none" w:sz="0" w:space="0" w:color="auto"/>
                            <w:bottom w:val="none" w:sz="0" w:space="0" w:color="auto"/>
                            <w:right w:val="none" w:sz="0" w:space="0" w:color="auto"/>
                          </w:divBdr>
                        </w:div>
                        <w:div w:id="870995208">
                          <w:marLeft w:val="0"/>
                          <w:marRight w:val="0"/>
                          <w:marTop w:val="0"/>
                          <w:marBottom w:val="0"/>
                          <w:divBdr>
                            <w:top w:val="none" w:sz="0" w:space="0" w:color="auto"/>
                            <w:left w:val="none" w:sz="0" w:space="0" w:color="auto"/>
                            <w:bottom w:val="none" w:sz="0" w:space="0" w:color="auto"/>
                            <w:right w:val="none" w:sz="0" w:space="0" w:color="auto"/>
                          </w:divBdr>
                        </w:div>
                        <w:div w:id="944576534">
                          <w:marLeft w:val="0"/>
                          <w:marRight w:val="0"/>
                          <w:marTop w:val="0"/>
                          <w:marBottom w:val="0"/>
                          <w:divBdr>
                            <w:top w:val="none" w:sz="0" w:space="0" w:color="auto"/>
                            <w:left w:val="none" w:sz="0" w:space="0" w:color="auto"/>
                            <w:bottom w:val="none" w:sz="0" w:space="0" w:color="auto"/>
                            <w:right w:val="none" w:sz="0" w:space="0" w:color="auto"/>
                          </w:divBdr>
                        </w:div>
                        <w:div w:id="1052342108">
                          <w:marLeft w:val="0"/>
                          <w:marRight w:val="0"/>
                          <w:marTop w:val="0"/>
                          <w:marBottom w:val="0"/>
                          <w:divBdr>
                            <w:top w:val="none" w:sz="0" w:space="0" w:color="auto"/>
                            <w:left w:val="none" w:sz="0" w:space="0" w:color="auto"/>
                            <w:bottom w:val="none" w:sz="0" w:space="0" w:color="auto"/>
                            <w:right w:val="none" w:sz="0" w:space="0" w:color="auto"/>
                          </w:divBdr>
                        </w:div>
                        <w:div w:id="1072970067">
                          <w:marLeft w:val="0"/>
                          <w:marRight w:val="0"/>
                          <w:marTop w:val="0"/>
                          <w:marBottom w:val="0"/>
                          <w:divBdr>
                            <w:top w:val="none" w:sz="0" w:space="0" w:color="auto"/>
                            <w:left w:val="none" w:sz="0" w:space="0" w:color="auto"/>
                            <w:bottom w:val="none" w:sz="0" w:space="0" w:color="auto"/>
                            <w:right w:val="none" w:sz="0" w:space="0" w:color="auto"/>
                          </w:divBdr>
                        </w:div>
                        <w:div w:id="1099988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6849970">
      <w:bodyDiv w:val="1"/>
      <w:marLeft w:val="225"/>
      <w:marRight w:val="225"/>
      <w:marTop w:val="0"/>
      <w:marBottom w:val="0"/>
      <w:divBdr>
        <w:top w:val="none" w:sz="0" w:space="0" w:color="auto"/>
        <w:left w:val="none" w:sz="0" w:space="0" w:color="auto"/>
        <w:bottom w:val="none" w:sz="0" w:space="0" w:color="auto"/>
        <w:right w:val="none" w:sz="0" w:space="0" w:color="auto"/>
      </w:divBdr>
      <w:divsChild>
        <w:div w:id="15306838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e708f8b2dc149ab808a65b1d9b6a611" PartId="1400facb21354eb58d2e85f59eb2701b">
    <Part Type="straipsnis" Nr="1" Abbr="1 str." Title="2 straipsnio pakeitimas" DocPartId="9b508a4bc26f42e5ad305986431b2f51" PartId="ba551e73746d4a88a643a5e3210f925c">
      <Part Type="strDalis" Nr="1" Abbr="1 str. 1 d." DocPartId="30b61337e7344eac9381eb9f42e4cff2" PartId="0a2f045e3d084fb49825a3f834693fcd">
        <Part Type="citata" DocPartId="9d2b3d4718c3402da32fad5929555bc5" PartId="4ec8ac2d624a4b9cb75e4f7e0d82a726">
          <Part Type="strDalis" Nr="19" Abbr="19 d." DocPartId="6ce4644307264dc5a3632bfd4661a705" PartId="c3ecdcc8c2b64997963f44c167d9f6d5"/>
        </Part>
      </Part>
    </Part>
    <Part Type="straipsnis" Nr="2" Abbr="2 str." Title="4 straipsnio pakeitimas" DocPartId="b96857c189d54e008a314c15f420a4b1" PartId="38730616ae6c4b5aa35ff1a0f6d3c8f8">
      <Part Type="strDalis" Nr="1" Abbr="2 str. 1 d." DocPartId="0fca6678077546dc9100468d23022a18" PartId="fb68c742ba9c412aabd1161f0054653f">
        <Part Type="citata" DocPartId="484b0126b217400ea554bf3c41d2b92b" PartId="609778c6990c45cfa221ff967ff30107">
          <Part Type="strDalis" Nr="1" Abbr="1 d." DocPartId="9b7dbdb61bd94ea89609116d255429ee" PartId="4a1bb2f9b82545aead5157db95dec61e">
            <Part Type="strPunktas" Nr="1" Abbr="1 d. 1 p." DocPartId="d373faa7e9a14f2e8c17f457f5a3781b" PartId="5dc3821c8ce649b8bdd40dd27689dba3"/>
            <Part Type="strPunktas" Nr="2" Abbr="1 d. 2 p." DocPartId="31f0e4ad3d75441d919e90acf98c253c" PartId="6f3538beb34e4537980c70666021cb56"/>
            <Part Type="strPunktas" Nr="3" Abbr="1 d. 3 p." DocPartId="bcf3dbde902b4cf7b8218ec9c01793fc" PartId="673e4320c14b410aa3e44a79e54fc4dc"/>
            <Part Type="strPunktas" Nr="4" Abbr="1 d. 4 p." DocPartId="eaa9b89823e447b38527bdf1a0c617c3" PartId="f31564469f08494a837d4821cfe4a7b5"/>
          </Part>
        </Part>
      </Part>
      <Part Type="strDalis" Nr="2" Abbr="2 str. 2 d." DocPartId="a8d1935877b640a68b1517545d3e26e0" PartId="d4471ccf806844699ec4bb1f1e648ff8">
        <Part Type="citata" DocPartId="09d70383610048818b3758803b09f289" PartId="c9073d9d5d724bd09ddf7279f6ee7a1e">
          <Part Type="strDalis" Nr="4" Abbr="4 d." DocPartId="a9ba752f6f9d4f879585febefeab2b7d" PartId="6ad12ba3986c4304833b95c62ea884b5"/>
        </Part>
      </Part>
    </Part>
    <Part Type="straipsnis" Nr="3" Abbr="3 str." Title="5 straipsnio pakeitimas" DocPartId="25b009b959ef449ea3b25f206aa3e91f" PartId="f437c2fb22c4449fbb61ec71f9c00f7f">
      <Part Type="strDalis" Nr="1" Abbr="3 str. 1 d." DocPartId="3015c22e6d054af0ad47438916693148" PartId="f437f08dc3d54fa2afe45e06aefd7ad5">
        <Part Type="citata" DocPartId="13a2a83551ac4816b3f7feda12bd2257" PartId="1aebe1935ce54e8b826331bab3b3f77b">
          <Part Type="strDalis" Nr="1" Abbr="1 d." DocPartId="634c32e8f9604ca4a7fc17678f4fcc8c" PartId="6ea6651ea0df4b7ea0632f84193e66cb">
            <Part Type="strPunktas" Nr="1" Abbr="1 d. 1 p." DocPartId="932836d1abd94cc7bc4bd9a092476a98" PartId="4fea07a265d34643b4006c78c9736805"/>
            <Part Type="strPunktas" Nr="2" Abbr="1 d. 2 p." DocPartId="c93cb96dd65745439400a0d562645522" PartId="2b55b02ebebb43ea8f690e9dad5fcd42"/>
            <Part Type="strPunktas" Nr="3" Abbr="1 d. 3 p." DocPartId="1bc1f45d69de40b49eec5af99330fc9e" PartId="7f9004cfb8b245a298cd4d2e1e85b1b4"/>
            <Part Type="strPunktas" Nr="4" Abbr="1 d. 4 p." DocPartId="b24bdd5ca2854a89bb3299ae285bfcff" PartId="fefdca63e59d4fd696660cd9217a20bd"/>
            <Part Type="strPunktas" Nr="5" Abbr="1 d. 5 p." DocPartId="a1b463976db341248743b42d45e081ab" PartId="b1a1f1886d844ccf9d4dfc0f5d6e3ab5"/>
            <Part Type="strPunktas" Nr="6" Abbr="1 d. 6 p." DocPartId="d05005488aae4a25a56d38d5b8aaf205" PartId="b5de8ce4039a40a0a80261ad462971bf"/>
          </Part>
        </Part>
      </Part>
    </Part>
    <Part Type="straipsnis" Nr="4" Abbr="4 str." Title="11 straipsnio pakeitimas" DocPartId="eab536ec50be413893cc2a88ca99da81" PartId="6c5ef24dbc254552abf4a7cb15d2c804">
      <Part Type="strDalis" Nr="1" Abbr="4 str. 1 d." DocPartId="1c155fba9a1947be8b4fbfab8e8a8b9c" PartId="e18c4a456d594974a5062a8ef1b54648">
        <Part Type="citata" DocPartId="b523bec0acb3423a9f4d5d318917934d" PartId="3a3577341c03412bb02520bce2eff72e">
          <Part Type="strDalis" Nr="1" Abbr="1 d." DocPartId="7267939b0622483997a061da0a59fd45" PartId="275292d527b64803ab745bd59046cfbf">
            <Part Type="strPunktas" Nr="1" Abbr="1 d. 1 p." DocPartId="d80118506f8f47e2ad120595f68f8994" PartId="2ea7c5bbaa9249aa8f1b7b77a2899359"/>
            <Part Type="strPunktas" Nr="2" Abbr="1 d. 2 p." DocPartId="5a8f73cee9ce454c9b6c1052af791a89" PartId="df38503dcc7f416b86620d33630fa92a"/>
            <Part Type="strPunktas" Nr="3" Abbr="1 d. 3 p." DocPartId="c21b74f6491748b2b91d760250ef7ffc" PartId="44632880d51a418fba45c9a1d66a4828"/>
            <Part Type="strPunktas" Nr="4" Abbr="1 d. 4 p." DocPartId="ef5774191f49464bbbc8a0f121a1a242" PartId="4bd5804458ad4bdbb5d4686d5b15439d"/>
            <Part Type="strPunktas" Nr="5" Abbr="1 d. 5 p." DocPartId="27b7adbf5dbf4207bd1e4c47c55adb8f" PartId="8719b5e61fc54ddcb2cb1f43c2688a1e"/>
            <Part Type="strPunktas" Nr="6" Abbr="1 d. 6 p." DocPartId="a075edda929a45df92cb2b8130359c19" PartId="28b499f19fa641a4af6615306a18eb6d"/>
            <Part Type="strPunktas" Nr="7" Abbr="1 d. 7 p." DocPartId="0ad82dd137034eecb1f30946dab7be8b" PartId="bb38d9985e024c86b929f1fa55d0c469"/>
            <Part Type="strPunktas" Nr="8" Abbr="1 d. 8 p." DocPartId="622319af9f8c4886aa1d7ae54437deec" PartId="a769addb375c42819dffc8e7c7c49de0"/>
            <Part Type="strPunktas" Nr="9" Abbr="1 d. 9 p." DocPartId="429b6eb896784fa4b189cda241c6cd5c" PartId="3ed9bbd48aaa4d698e8272d3f27de8de"/>
            <Part Type="strPunktas" Nr="10" Abbr="1 d. 10 p." DocPartId="cf71108542884e67a666b86caaefb0ad" PartId="ab333b403c7e4db9a566b7613126be6b"/>
          </Part>
        </Part>
      </Part>
    </Part>
    <Part Type="straipsnis" Nr="5" Abbr="5 str." Title="14 straipsnio pakeitimas" DocPartId="a18b77e70ade4d019b41f3f04a573348" PartId="086eeef0eae44c4db6134afdc70a2c60">
      <Part Type="strDalis" Nr="1" Abbr="5 str. 1 d." DocPartId="1e3728321cf7478aa55a8ef933df65a0" PartId="267520bd4ca44138930808ca30544421">
        <Part Type="citata" DocPartId="aba2777fc3754261b95f65294514160c" PartId="79fd5b8d2ee2427eb648c08844ffe3ca">
          <Part Type="strDalis" Nr="3" Abbr="3 d." DocPartId="8a09401d3f6147d1b9f239b9088c82c1" PartId="2c1d28019aa0468dae2342829c8d9cba"/>
        </Part>
      </Part>
    </Part>
    <Part Type="straipsnis" Nr="6" Abbr="6 str." Title="Įstatymo įsigaliojimas" DocPartId="627afb0bd488462992daa65c2049244d" PartId="fb2a4af408584a5cb3c47e95f0de67df">
      <Part Type="strDalis" Nr="1" Abbr="6 str. 1 d." DocPartId="c1307130847c4beb9784dcbdb99e5e8f" PartId="2f28cd6260454176a0cdf57c4abc88d1"/>
    </Part>
    <Part Type="signatura" DocPartId="cf89ec1d4b964a76b67a754c944ef63a" PartId="053dff9169254a059f9a2b100a523716"/>
  </Part>
</Parts>
</file>

<file path=customXml/itemProps1.xml><?xml version="1.0" encoding="utf-8"?>
<ds:datastoreItem xmlns:ds="http://schemas.openxmlformats.org/officeDocument/2006/customXml" ds:itemID="{F4554977-C1DD-4F61-B2E9-37C5863C04B3}">
  <ds:schemaRefs>
    <ds:schemaRef ds:uri="http://schemas.openxmlformats.org/officeDocument/2006/bibliography"/>
  </ds:schemaRefs>
</ds:datastoreItem>
</file>

<file path=customXml/itemProps2.xml><?xml version="1.0" encoding="utf-8"?>
<ds:datastoreItem xmlns:ds="http://schemas.openxmlformats.org/officeDocument/2006/customXml" ds:itemID="{FC654548-3C80-4C63-95AF-AE9476F8CA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809</Words>
  <Characters>5745</Characters>
  <Application>Microsoft Office Word</Application>
  <DocSecurity>4</DocSecurity>
  <Lines>108</Lines>
  <Paragraphs>53</Paragraphs>
  <ScaleCrop>false</ScaleCrop>
  <HeadingPairs>
    <vt:vector size="4" baseType="variant">
      <vt:variant>
        <vt:lpstr>Pavadinimas</vt:lpstr>
      </vt:variant>
      <vt:variant>
        <vt:i4>1</vt:i4>
      </vt:variant>
      <vt:variant>
        <vt:lpstr>Tytuł</vt:lpstr>
      </vt:variant>
      <vt:variant>
        <vt:i4>1</vt:i4>
      </vt:variant>
    </vt:vector>
  </HeadingPairs>
  <TitlesOfParts>
    <vt:vector size="2" baseType="lpstr">
      <vt:lpstr/>
      <vt:lpstr/>
    </vt:vector>
  </TitlesOfParts>
  <Company>Hewlett-Packard Company</Company>
  <LinksUpToDate>false</LinksUpToDate>
  <CharactersWithSpaces>6501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2015-06-12T14:20:00Z</dcterms:created>
  <dc:creator>Aušra Kanclerienė</dc:creator>
  <lastModifiedBy>CLUSadmin</lastModifiedBy>
  <lastPrinted>2015-05-28T06:33:00Z</lastPrinted>
  <dcterms:modified xsi:type="dcterms:W3CDTF">2015-06-12T14:20:00Z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-546422880</vt:i4>
  </property>
  <property fmtid="{D5CDD505-2E9C-101B-9397-08002B2CF9AE}" pid="3" name="_NewReviewCycle">
    <vt:lpwstr/>
  </property>
  <property fmtid="{D5CDD505-2E9C-101B-9397-08002B2CF9AE}" pid="4" name="_EmailSubject">
    <vt:lpwstr>VSD projektas ir ji lydintys istatymu projektai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-1544103085</vt:i4>
  </property>
  <property fmtid="{D5CDD505-2E9C-101B-9397-08002B2CF9AE}" pid="8" name="_ReviewingToolsShownOnce">
    <vt:lpwstr/>
  </property>
</Properties>
</file>