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29d6c25b58b4a2199291ecc003229f6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jc w:val="right"/>
          </w:pPr>
        </w:p>
        <w:p>
          <w:pPr>
            <w:rPr>
              <w:sz w:val="14"/>
              <w:szCs w:val="14"/>
            </w:rPr>
          </w:pPr>
        </w:p>
        <w:p>
          <w:pPr>
            <w:ind w:left="-851"/>
            <w:jc w:val="center"/>
            <w:rPr>
              <w:b/>
              <w:caps/>
            </w:rPr>
          </w:pPr>
          <w:r>
            <w:rPr>
              <w:lang w:val="en-US"/>
            </w:rPr>
            <w:drawing>
              <wp:anchor distT="0" distB="0" distL="114300" distR="114300" simplePos="0" relativeHeight="251658240" behindDoc="0" locked="0" layoutInCell="0" allowOverlap="1" wp14:anchorId="69563D77" wp14:editId="2C80FD63">
                <wp:simplePos x="0" y="0"/>
                <wp:positionH relativeFrom="page">
                  <wp:posOffset>3776980</wp:posOffset>
                </wp:positionH>
                <wp:positionV relativeFrom="page">
                  <wp:posOffset>720090</wp:posOffset>
                </wp:positionV>
                <wp:extent cx="543560" cy="595630"/>
                <wp:effectExtent l="0" t="0" r="0" b="0"/>
                <wp:wrapTopAndBottom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3560" cy="59563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caps/>
            </w:rPr>
            <w:t>LIETUVOS RESPUBLIKOS Ekonomikos ir inovacijų MINISTERIJA</w:t>
          </w:r>
        </w:p>
        <w:p>
          <w:pPr>
            <w:ind w:left="-851"/>
            <w:jc w:val="center"/>
            <w:rPr>
              <w:b/>
              <w:caps/>
              <w:sz w:val="10"/>
            </w:rPr>
          </w:pPr>
        </w:p>
        <w:p>
          <w:pPr>
            <w:rPr>
              <w:sz w:val="4"/>
              <w:szCs w:val="4"/>
            </w:rPr>
          </w:pPr>
        </w:p>
        <w:p>
          <w:pPr>
            <w:ind w:left="-851"/>
            <w:jc w:val="center"/>
            <w:rPr>
              <w:sz w:val="17"/>
            </w:rPr>
          </w:pPr>
          <w:r>
            <w:rPr>
              <w:sz w:val="17"/>
            </w:rPr>
            <w:t>Biudžetinė įstaiga, Gedimino pr. 38, LT-01104 Vilnius, tel.: +370 706 64 845</w:t>
            <w:br/>
            <w:t>el. p. kanc@eimin.lt, http://eimin.lrv.lt.</w:t>
          </w:r>
        </w:p>
        <w:p>
          <w:pPr>
            <w:widowControl w:val="0"/>
            <w:ind w:left="-851"/>
            <w:jc w:val="center"/>
            <w:rPr>
              <w:sz w:val="17"/>
            </w:rPr>
          </w:pPr>
          <w:r>
            <w:rPr>
              <w:sz w:val="17"/>
            </w:rPr>
            <w:t>Duomenys kaupiami ir saugomi Juridinių asmenų registre, kodas 188621919</w:t>
          </w:r>
        </w:p>
        <w:p>
          <w:pPr>
            <w:rPr>
              <w:sz w:val="4"/>
              <w:szCs w:val="4"/>
            </w:rPr>
          </w:pPr>
        </w:p>
        <w:p>
          <w:pPr>
            <w:jc w:val="both"/>
          </w:pPr>
          <w:r>
            <w:rPr>
              <w:lang w:val="en-US"/>
            </w:rPr>
            <mc:AlternateContent>
              <mc:Choice Requires="wps">
                <w:drawing>
                  <wp:anchor distT="0" distB="0" distL="114300" distR="114300" simplePos="0" relativeHeight="251658241" behindDoc="1" locked="0" layoutInCell="1" allowOverlap="1" wp14:anchorId="6B857BCE" wp14:editId="7AEB7A8E">
                    <wp:simplePos x="0" y="0"/>
                    <wp:positionH relativeFrom="column">
                      <wp:posOffset>-41910</wp:posOffset>
                    </wp:positionH>
                    <wp:positionV relativeFrom="paragraph">
                      <wp:posOffset>-635</wp:posOffset>
                    </wp:positionV>
                    <wp:extent cx="5924550" cy="0"/>
                    <wp:effectExtent l="9525" t="11430" r="9525" b="7620"/>
                    <wp:wrapNone/>
                    <wp:docPr id="1" name="AutoShape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592455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ffectLst/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28398" dir="3806097" algn="ctr" rotWithShape="0">
                                      <a:srgbClr val="7F7F7F">
                                        <a:alpha val="50000"/>
                                      </a:srgbClr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<w:pict>
                  <v:shapetype w14:anchorId="73F29D04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2" o:spid="_x0000_s1026" type="#_x0000_t32" style="position:absolute;margin-left:-3.3pt;margin-top:-.05pt;width:466.5pt;height:0;z-index:-2516582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lqcdyugEAAGQDAAAOAAAAZHJzL2Uyb0RvYy54bWysU8Fu2zAMvQ/YPwi6L06ypdiMOD2k6y7d FqDdBzCSbAuTRYFU4uTvJ6lxNnS3oj4Qoig+Pj7S69vT4MTREFv0jVzM5lIYr1Bb3zXy19P9h89S cASvwaE3jTwblreb9+/WY6jNEnt02pBIIJ7rMTSyjzHUVcWqNwPwDIPxKdgiDRCTS12lCcaEPrhq OZ/fVCOSDoTKMKfbu+eg3BT8tjUq/mxbNlG4RiZusVgqdp9ttVlD3RGE3qoLDXgFiwGsT0WvUHcQ QRzI/gc1WEXI2MaZwqHCtrXKlB5SN4v5i24eewim9JLE4XCVid8OVv04bv2OMnV18o/hAdVvFh63 PfjOFAJP55AGt8hSVWPg+pqSHQ47EvvxO+r0Bg4RiwqnloYMmfoTpyL2+Sq2OUWh0uXqy/LTapVm oqZYBfWUGIjjN4ODyIdGciSwXR+36H0aKdKilIHjA8dMC+opIVf1eG+dK5N1XoyNvPmY6uQIo7M6 B4tD3X7rSBwh70b5So8vnhEevC5gvQH99XKOYN3zORV3PuOZsm4XRpM2eRG53qM+72gSMI2ycL6s Xd6Vf/0i89+fY/MHAAD//wMAUEsDBBQABgAIAAAAIQBQGPAa2QAAAAYBAAAPAAAAZHJzL2Rvd25y ZXYueG1sTI4xT8MwFIR3JP6D9SqxtU4rsEqIUyEQExNph4xO/JpEjZ+j2E3Sf8+DBabT6U53X3ZY XC8mHEPnScN2k4BAqr3tqNFwOn6s9yBCNGRN7wk13DDAIb+/y0xq/UxfOBWxETxCITUa2hiHVMpQ t+hM2PgBibOzH52JbMdG2tHMPO56uUsSJZ3piB9aM+Bbi/WluDoNR/9+7p7KotqXvlRTgvPnrZi1 flgtry8gIi7xrww/+IwOOTNV/ko2iF7DWilusm5BcPy8U48gql8v80z+x8+/AQAA//8DAFBLAQIt ABQABgAIAAAAIQC2gziS/gAAAOEBAAATAAAAAAAAAAAAAAAAAAAAAABbQ29udGVudF9UeXBlc10u eG1sUEsBAi0AFAAGAAgAAAAhADj9If/WAAAAlAEAAAsAAAAAAAAAAAAAAAAALwEAAF9yZWxzLy5y ZWxzUEsBAi0AFAAGAAgAAAAhACWpx3K6AQAAZAMAAA4AAAAAAAAAAAAAAAAALgIAAGRycy9lMm9E b2MueG1sUEsBAi0AFAAGAAgAAAAhAFAY8BrZAAAABgEAAA8AAAAAAAAAAAAAAAAAFAQAAGRycy9k b3ducmV2LnhtbFBLBQYAAAAABAAEAPMAAAAaBQAAAAA= " strokeweight=".5pt">
                    <v:shadow color="#7f7f7f" opacity=".5" offset="1pt"/>
                  </v:shape>
                </w:pict>
              </mc:Fallback>
            </mc:AlternateContent>
          </w:r>
        </w:p>
        <w:tbl>
          <w:tblPr>
            <w:tblW w:w="0" w:type="auto"/>
            <w:tblCellMar>
              <w:left w:w="0" w:type="dxa"/>
              <w:right w:w="28" w:type="dxa"/>
            </w:tblCellMar>
            <w:tblLook w:val="0000" w:firstRow="0" w:lastRow="0" w:firstColumn="0" w:lastColumn="0" w:noHBand="0" w:noVBand="0"/>
          </w:tblPr>
          <w:tblGrid>
            <w:gridCol w:w="4522"/>
            <w:gridCol w:w="415"/>
            <w:gridCol w:w="1518"/>
            <w:gridCol w:w="2933"/>
          </w:tblGrid>
          <w:tr>
            <w:trPr>
              <w:cantSplit/>
              <w:trHeight w:val="233"/>
            </w:trPr>
            <w:tc>
              <w:tcPr>
                <w:tcW w:w="4522" w:type="dxa"/>
                <w:vMerge w:val="restart"/>
              </w:tcPr>
              <w:p>
                <w:pPr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  <w:lang w:eastAsia="lt-LT"/>
                  </w:rPr>
                  <w:t>Pagal adresatų sąrašą</w:t>
                </w:r>
              </w:p>
              <w:p>
                <w:pPr>
                  <w:rPr>
                    <w:szCs w:val="24"/>
                  </w:rPr>
                </w:pPr>
              </w:p>
              <w:p>
                <w:pPr>
                  <w:rPr>
                    <w:szCs w:val="24"/>
                  </w:rPr>
                </w:pPr>
              </w:p>
            </w:tc>
            <w:tc>
              <w:tcPr>
                <w:tcW w:w="415" w:type="dxa"/>
              </w:tcPr>
              <w:p>
                <w:pPr>
                  <w:rPr>
                    <w:szCs w:val="24"/>
                  </w:rPr>
                </w:pPr>
              </w:p>
            </w:tc>
            <w:tc>
              <w:tcPr>
                <w:tcW w:w="1518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2024-06-</w:t>
                </w:r>
              </w:p>
            </w:tc>
            <w:tc>
              <w:tcPr>
                <w:tcW w:w="2933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Nr. </w:t>
                </w:r>
              </w:p>
            </w:tc>
          </w:tr>
          <w:tr>
            <w:trPr>
              <w:cantSplit/>
              <w:trHeight w:val="433"/>
            </w:trPr>
            <w:tc>
              <w:tcPr>
                <w:tcW w:w="4522" w:type="dxa"/>
                <w:vMerge/>
              </w:tcPr>
              <w:p>
                <w:pPr>
                  <w:rPr>
                    <w:sz w:val="23"/>
                    <w:szCs w:val="23"/>
                  </w:rPr>
                </w:pPr>
              </w:p>
            </w:tc>
            <w:tc>
              <w:tcPr>
                <w:tcW w:w="415" w:type="dxa"/>
              </w:tcPr>
              <w:p>
                <w:pPr>
                  <w:rPr>
                    <w:sz w:val="23"/>
                    <w:szCs w:val="23"/>
                  </w:rPr>
                </w:pPr>
              </w:p>
            </w:tc>
            <w:tc>
              <w:tcPr>
                <w:tcW w:w="1518" w:type="dxa"/>
              </w:tcPr>
              <w:p>
                <w:pPr>
                  <w:rPr>
                    <w:sz w:val="23"/>
                    <w:szCs w:val="23"/>
                  </w:rPr>
                </w:pPr>
              </w:p>
            </w:tc>
            <w:tc>
              <w:tcPr>
                <w:tcW w:w="2933" w:type="dxa"/>
              </w:tcPr>
              <w:p>
                <w:pPr>
                  <w:ind w:firstLine="57"/>
                  <w:rPr>
                    <w:sz w:val="23"/>
                    <w:szCs w:val="23"/>
                  </w:rPr>
                </w:pPr>
              </w:p>
            </w:tc>
          </w:tr>
        </w:tbl>
        <w:sdt>
          <w:sdtPr>
            <w:alias w:val="skirsnis"/>
            <w:tag w:val="part_ad46bb8009544300a497554ca8c30092"/>
            <w:lock w:val="sdtLocked"/>
            <w:richText/>
          </w:sdtPr>
          <w:sdtContent>
            <w:p>
              <w:pPr>
                <w:suppressLineNumbers/>
                <w:spacing w:line="30" w:lineRule="atLeast"/>
                <w:jc w:val="both"/>
                <w:rPr>
                  <w:rFonts w:eastAsia="Andale Sans UI"/>
                  <w:b/>
                  <w:szCs w:val="24"/>
                  <w:lang w:eastAsia="lt-LT" w:bidi="en-US"/>
                </w:rPr>
              </w:pPr>
              <w:sdt>
                <w:sdtPr>
                  <w:alias w:val="Pavadinimas"/>
                  <w:tag w:val="title_ad46bb8009544300a497554ca8c30092"/>
                  <w:lock w:val="sdtLocked"/>
                  <w:richText/>
                </w:sdtPr>
                <w:sdtContent>
                  <w:r>
                    <w:rPr>
                      <w:b/>
                      <w:bCs/>
                      <w:caps/>
                    </w:rPr>
                    <w:t xml:space="preserve">DĖL </w:t>
                  </w:r>
                  <w:r>
                    <w:rPr>
                      <w:rFonts w:eastAsia="Andale Sans UI"/>
                      <w:b/>
                      <w:szCs w:val="24"/>
                      <w:lang w:eastAsia="lt-LT" w:bidi="en-US"/>
                    </w:rPr>
                    <w:t>LIETUVOS RESPUBLIKOS VYRIAUSYBĖS NUTARIMO „DĖL LIETUVOS RESPUBLIKOS VYRIAUSYBĖS 2021 M. BALANDŽIO 28 D. NUTARIMO NR. 313 „DĖL LIETUVOS RESPUBLIKOS INVESTICIJŲ ĮSTATYMO 15</w:t>
                  </w:r>
                  <w:r>
                    <w:rPr>
                      <w:rFonts w:eastAsia="Andale Sans UI"/>
                      <w:b/>
                      <w:szCs w:val="24"/>
                      <w:vertAlign w:val="superscript"/>
                      <w:lang w:eastAsia="lt-LT" w:bidi="en-US"/>
                    </w:rPr>
                    <w:t>4</w:t>
                  </w:r>
                  <w:r>
                    <w:rPr>
                      <w:rFonts w:eastAsia="Andale Sans UI"/>
                      <w:b/>
                      <w:szCs w:val="24"/>
                      <w:lang w:eastAsia="lt-LT" w:bidi="en-US"/>
                    </w:rPr>
                    <w:t>, 15</w:t>
                  </w:r>
                  <w:r>
                    <w:rPr>
                      <w:rFonts w:eastAsia="Andale Sans UI"/>
                      <w:b/>
                      <w:szCs w:val="24"/>
                      <w:vertAlign w:val="superscript"/>
                      <w:lang w:eastAsia="lt-LT" w:bidi="en-US"/>
                    </w:rPr>
                    <w:t>5</w:t>
                  </w:r>
                  <w:r>
                    <w:rPr>
                      <w:rFonts w:eastAsia="Andale Sans UI"/>
                      <w:b/>
                      <w:szCs w:val="24"/>
                      <w:lang w:eastAsia="lt-LT" w:bidi="en-US"/>
                    </w:rPr>
                    <w:t>, 15</w:t>
                  </w:r>
                  <w:r>
                    <w:rPr>
                      <w:rFonts w:eastAsia="Andale Sans UI"/>
                      <w:b/>
                      <w:szCs w:val="24"/>
                      <w:vertAlign w:val="superscript"/>
                      <w:lang w:eastAsia="lt-LT" w:bidi="en-US"/>
                    </w:rPr>
                    <w:t>6</w:t>
                  </w:r>
                  <w:r>
                    <w:rPr>
                      <w:rFonts w:eastAsia="Andale Sans UI"/>
                      <w:b/>
                      <w:szCs w:val="24"/>
                      <w:lang w:eastAsia="lt-LT" w:bidi="en-US"/>
                    </w:rPr>
                    <w:t xml:space="preserve"> STRAIPSNIŲ IR LIETUVOS RESPUBLIKOS PELNO MOKESČIO ĮSTATYMO 58 STRAIPSNIO 16</w:t>
                  </w:r>
                  <w:r>
                    <w:rPr>
                      <w:rFonts w:eastAsia="Andale Sans UI"/>
                      <w:b/>
                      <w:szCs w:val="24"/>
                      <w:vertAlign w:val="superscript"/>
                      <w:lang w:eastAsia="lt-LT" w:bidi="en-US"/>
                    </w:rPr>
                    <w:t>2</w:t>
                  </w:r>
                  <w:r>
                    <w:rPr>
                      <w:rFonts w:eastAsia="Andale Sans UI"/>
                      <w:b/>
                      <w:szCs w:val="24"/>
                      <w:lang w:eastAsia="lt-LT" w:bidi="en-US"/>
                    </w:rPr>
                    <w:t xml:space="preserve"> IR 16</w:t>
                  </w:r>
                  <w:r>
                    <w:rPr>
                      <w:rFonts w:eastAsia="Andale Sans UI"/>
                      <w:b/>
                      <w:szCs w:val="24"/>
                      <w:vertAlign w:val="superscript"/>
                      <w:lang w:eastAsia="lt-LT" w:bidi="en-US"/>
                    </w:rPr>
                    <w:t>3</w:t>
                  </w:r>
                  <w:r>
                    <w:rPr>
                      <w:rFonts w:eastAsia="Andale Sans UI"/>
                      <w:b/>
                      <w:szCs w:val="24"/>
                      <w:lang w:eastAsia="lt-LT" w:bidi="en-US"/>
                    </w:rPr>
                    <w:t xml:space="preserve"> DALIŲ NUOSTATŲ ĮGYVENDINIMO“ PAKEITIMO“ PROJEKTO</w:t>
                  </w:r>
                </w:sdtContent>
              </w:sdt>
            </w:p>
            <w:p>
              <w:pPr>
                <w:jc w:val="both"/>
                <w:rPr>
                  <w:sz w:val="23"/>
                  <w:szCs w:val="23"/>
                </w:rPr>
              </w:pPr>
            </w:p>
            <w:p>
              <w:pPr>
                <w:jc w:val="both"/>
                <w:rPr>
                  <w:sz w:val="23"/>
                  <w:szCs w:val="23"/>
                </w:rPr>
              </w:pPr>
            </w:p>
            <w:p>
              <w:pPr>
                <w:ind w:firstLine="720"/>
                <w:jc w:val="both"/>
              </w:pPr>
              <w:r>
                <w:rPr>
                  <w:color w:val="000000"/>
                  <w:szCs w:val="24"/>
                </w:rPr>
                <w:t xml:space="preserve">Lietuvos </w:t>
              </w:r>
              <w:r>
                <w:t xml:space="preserve">Respublikos ekonomikos ir inovacijų ministerija (toliau – Ministerija) </w:t>
              </w:r>
              <w:r>
                <w:rPr>
                  <w:rFonts w:eastAsia="Andale Sans UI"/>
                  <w:szCs w:val="24"/>
                  <w:lang w:bidi="en-US"/>
                </w:rPr>
                <w:t>teikia išvadoms gauti Lietuvos Respublikos Vyriausybės nutarimo „</w:t>
              </w:r>
              <w:r>
                <w:rPr>
                  <w:rFonts w:eastAsia="Andale Sans UI"/>
                  <w:szCs w:val="24"/>
                  <w:lang w:eastAsia="lt-LT" w:bidi="en-US"/>
                </w:rPr>
                <w:t>Dėl Lietuvos Respublikos Vyriausybės 2021 m. balandžio 28 d. nutarimo Nr. 313 „Dėl Lietuvos Respublikos investicijų įstatymo 15</w:t>
              </w:r>
              <w:r>
                <w:rPr>
                  <w:rFonts w:eastAsia="Andale Sans UI"/>
                  <w:szCs w:val="24"/>
                  <w:vertAlign w:val="superscript"/>
                  <w:lang w:eastAsia="lt-LT" w:bidi="en-US"/>
                </w:rPr>
                <w:t>4</w:t>
              </w:r>
              <w:r>
                <w:rPr>
                  <w:rFonts w:eastAsia="Andale Sans UI"/>
                  <w:szCs w:val="24"/>
                  <w:lang w:eastAsia="lt-LT" w:bidi="en-US"/>
                </w:rPr>
                <w:t>, 15</w:t>
              </w:r>
              <w:r>
                <w:rPr>
                  <w:rFonts w:eastAsia="Andale Sans UI"/>
                  <w:szCs w:val="24"/>
                  <w:vertAlign w:val="superscript"/>
                  <w:lang w:eastAsia="lt-LT" w:bidi="en-US"/>
                </w:rPr>
                <w:t>5</w:t>
              </w:r>
              <w:r>
                <w:rPr>
                  <w:rFonts w:eastAsia="Andale Sans UI"/>
                  <w:szCs w:val="24"/>
                  <w:lang w:eastAsia="lt-LT" w:bidi="en-US"/>
                </w:rPr>
                <w:t>, 15</w:t>
              </w:r>
              <w:r>
                <w:rPr>
                  <w:rFonts w:eastAsia="Andale Sans UI"/>
                  <w:szCs w:val="24"/>
                  <w:vertAlign w:val="superscript"/>
                  <w:lang w:eastAsia="lt-LT" w:bidi="en-US"/>
                </w:rPr>
                <w:t>6</w:t>
              </w:r>
              <w:r>
                <w:rPr>
                  <w:rFonts w:eastAsia="Andale Sans UI"/>
                  <w:szCs w:val="24"/>
                  <w:lang w:eastAsia="lt-LT" w:bidi="en-US"/>
                </w:rPr>
                <w:t xml:space="preserve"> straipsnių ir Lietuvos Respublikos pelno mokesčio įstatymo 58 straipsnio 16</w:t>
              </w:r>
              <w:r>
                <w:rPr>
                  <w:rFonts w:eastAsia="Andale Sans UI"/>
                  <w:szCs w:val="24"/>
                  <w:vertAlign w:val="superscript"/>
                  <w:lang w:eastAsia="lt-LT" w:bidi="en-US"/>
                </w:rPr>
                <w:t>2</w:t>
              </w:r>
              <w:r>
                <w:rPr>
                  <w:rFonts w:eastAsia="Andale Sans UI"/>
                  <w:szCs w:val="24"/>
                  <w:lang w:eastAsia="lt-LT" w:bidi="en-US"/>
                </w:rPr>
                <w:t xml:space="preserve"> ir 16</w:t>
              </w:r>
              <w:r>
                <w:rPr>
                  <w:rFonts w:eastAsia="Andale Sans UI"/>
                  <w:szCs w:val="24"/>
                  <w:vertAlign w:val="superscript"/>
                  <w:lang w:eastAsia="lt-LT" w:bidi="en-US"/>
                </w:rPr>
                <w:t>3</w:t>
              </w:r>
              <w:r>
                <w:rPr>
                  <w:rFonts w:eastAsia="Andale Sans UI"/>
                  <w:szCs w:val="24"/>
                  <w:lang w:eastAsia="lt-LT" w:bidi="en-US"/>
                </w:rPr>
                <w:t xml:space="preserve"> dalių nuostatų įgyvendinimo“ pakeitimo“</w:t>
              </w:r>
              <w:r>
                <w:t xml:space="preserve"> projektą (toliau – Nutarimo projektas). </w:t>
              </w:r>
            </w:p>
            <w:sdt>
              <w:sdtPr>
                <w:alias w:val="1 p."/>
                <w:tag w:val="part_f46233c3a02b420da9cc7e8a72b56be6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eastAsia="Andale Sans UI"/>
                      <w:b/>
                      <w:bCs/>
                      <w:szCs w:val="24"/>
                      <w:lang w:bidi="en-US"/>
                    </w:rPr>
                  </w:pPr>
                  <w:sdt>
                    <w:sdtPr>
                      <w:alias w:val="Numeris"/>
                      <w:tag w:val="nr_f46233c3a02b420da9cc7e8a72b56be6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b/>
                          <w:bCs/>
                          <w:szCs w:val="24"/>
                          <w:lang w:bidi="en-US"/>
                        </w:rPr>
                        <w:t>1</w:t>
                      </w:r>
                    </w:sdtContent>
                  </w:sdt>
                  <w:r>
                    <w:rPr>
                      <w:rFonts w:eastAsia="Andale Sans UI"/>
                      <w:b/>
                      <w:bCs/>
                      <w:szCs w:val="24"/>
                      <w:lang w:bidi="en-US"/>
                    </w:rPr>
                    <w:t xml:space="preserve">. Projektu sprendžiama 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>problema</w:t>
                  </w:r>
                  <w:r>
                    <w:rPr>
                      <w:rFonts w:eastAsia="Andale Sans UI"/>
                      <w:b/>
                      <w:bCs/>
                      <w:szCs w:val="24"/>
                      <w:lang w:bidi="en-US"/>
                    </w:rPr>
                    <w:t xml:space="preserve"> ir Projektą rengti paskatinusios priežastys</w:t>
                  </w:r>
                </w:p>
                <w:p>
                  <w:pPr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Nutarimo projektas parengtas įgyvendinant Lietuvos Respublikos investicijų įstatymo           Nr. VIII-1312 2, 12, 13</w:t>
                  </w:r>
                  <w:r>
                    <w:rPr>
                      <w:color w:val="000000"/>
                      <w:szCs w:val="24"/>
                      <w:vertAlign w:val="superscript"/>
                    </w:rPr>
                    <w:t>1</w:t>
                  </w:r>
                  <w:r>
                    <w:rPr>
                      <w:color w:val="000000"/>
                      <w:szCs w:val="24"/>
                    </w:rPr>
                    <w:t xml:space="preserve"> ir 15</w:t>
                  </w:r>
                  <w:r>
                    <w:rPr>
                      <w:color w:val="000000"/>
                      <w:szCs w:val="24"/>
                      <w:vertAlign w:val="superscript"/>
                    </w:rPr>
                    <w:t>4</w:t>
                  </w:r>
                  <w:r>
                    <w:rPr>
                      <w:color w:val="000000"/>
                      <w:szCs w:val="24"/>
                    </w:rPr>
                    <w:t xml:space="preserve"> straipsnių pakeitimo įstatymo nuostatas.</w:t>
                  </w:r>
                </w:p>
              </w:sdtContent>
            </w:sdt>
            <w:sdt>
              <w:sdtPr>
                <w:alias w:val="2 p."/>
                <w:tag w:val="part_53ae6e60932647f48fdbf62dfa62d112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eastAsia="Andale Sans UI"/>
                      <w:b/>
                      <w:bCs/>
                      <w:szCs w:val="24"/>
                      <w:lang w:bidi="en-US"/>
                    </w:rPr>
                  </w:pPr>
                  <w:sdt>
                    <w:sdtPr>
                      <w:alias w:val="Numeris"/>
                      <w:tag w:val="nr_53ae6e60932647f48fdbf62dfa62d112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b/>
                          <w:bCs/>
                          <w:szCs w:val="24"/>
                          <w:lang w:bidi="en-US"/>
                        </w:rPr>
                        <w:t>2</w:t>
                      </w:r>
                    </w:sdtContent>
                  </w:sdt>
                  <w:r>
                    <w:rPr>
                      <w:rFonts w:eastAsia="Andale Sans UI"/>
                      <w:b/>
                      <w:bCs/>
                      <w:szCs w:val="24"/>
                      <w:lang w:bidi="en-US"/>
                    </w:rPr>
                    <w:t>. Projektu siūlomo teisinio reguliavimo esmė – problemos sprendimas</w:t>
                  </w:r>
                </w:p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color w:val="000000"/>
                      <w:szCs w:val="24"/>
                    </w:rPr>
                    <w:t xml:space="preserve">Nutarimo  projektu siūloma pakeisti Stambių projektų investicijų sutarčių sudarymo teikimo ir planuojamų investicijų projektų vertinimo tvarkos aprašo, </w:t>
                  </w:r>
                  <w:r>
                    <w:rPr>
                      <w:szCs w:val="24"/>
                      <w:lang w:eastAsia="lt-LT"/>
                    </w:rPr>
                    <w:t xml:space="preserve">Stambių projektų investicijų sutarčių rengimo, derinimo, sudarymo, vykdymo ir vykdymo priežiūros tvarkos aprašo ir </w:t>
                  </w:r>
                  <w:r>
                    <w:rPr>
                      <w:lang w:eastAsia="lt-LT"/>
                    </w:rPr>
                    <w:t>Stambių projektų įtraukimo į stambių projektų sąrašą ir išbraukimo iš šio sąrašo tvarkos</w:t>
                  </w:r>
                  <w:r>
                    <w:rPr>
                      <w:szCs w:val="24"/>
                      <w:lang w:eastAsia="lt-LT"/>
                    </w:rPr>
                    <w:t xml:space="preserve"> aprašo</w:t>
                  </w:r>
                  <w:r>
                    <w:rPr>
                      <w:b/>
                      <w:bCs/>
                      <w:szCs w:val="24"/>
                      <w:vertAlign w:val="superscript"/>
                      <w:lang w:eastAsia="lt-LT" w:bidi="en-US"/>
                    </w:rPr>
                    <w:footnoteReference w:id="2"/>
                  </w:r>
                  <w:r>
                    <w:rPr>
                      <w:szCs w:val="24"/>
                      <w:lang w:eastAsia="lt-LT"/>
                    </w:rPr>
                    <w:t xml:space="preserve"> nuostatas.</w:t>
                  </w:r>
                </w:p>
              </w:sdtContent>
            </w:sdt>
            <w:sdt>
              <w:sdtPr>
                <w:alias w:val="3 p."/>
                <w:tag w:val="part_08a8edde04894c5bb08b489381f5fc23"/>
                <w:lock w:val="sdtLocked"/>
                <w:richText/>
              </w:sdtPr>
              <w:sdtContent>
                <w:p>
                  <w:pPr>
                    <w:spacing w:line="30" w:lineRule="atLeast"/>
                    <w:ind w:firstLine="567"/>
                    <w:jc w:val="both"/>
                    <w:rPr>
                      <w:szCs w:val="24"/>
                      <w:lang w:eastAsia="lt-LT" w:bidi="en-US"/>
                    </w:rPr>
                  </w:pPr>
                  <w:sdt>
                    <w:sdtPr>
                      <w:alias w:val="Numeris"/>
                      <w:tag w:val="nr_08a8edde04894c5bb08b489381f5fc2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 w:bidi="en-US"/>
                        </w:rPr>
                        <w:t>3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 w:bidi="en-US"/>
                    </w:rPr>
                    <w:t>. Lietuvos Respublikos Vyriausybės programos</w:t>
                  </w:r>
                  <w:r>
                    <w:rPr>
                      <w:b/>
                      <w:bCs/>
                      <w:szCs w:val="24"/>
                      <w:vertAlign w:val="superscript"/>
                      <w:lang w:eastAsia="lt-LT" w:bidi="en-US"/>
                    </w:rPr>
                    <w:footnoteReference w:id="3"/>
                  </w:r>
                  <w:r>
                    <w:rPr>
                      <w:b/>
                      <w:bCs/>
                      <w:szCs w:val="24"/>
                      <w:lang w:eastAsia="lt-LT" w:bidi="en-US"/>
                    </w:rPr>
                    <w:t xml:space="preserve"> nuostatų įgyvendinimas </w:t>
                  </w:r>
                </w:p>
                <w:p>
                  <w:pPr>
                    <w:spacing w:line="30" w:lineRule="atLeast"/>
                    <w:ind w:firstLine="567"/>
                    <w:jc w:val="both"/>
                    <w:rPr>
                      <w:rFonts w:eastAsia="Andale Sans UI"/>
                      <w:szCs w:val="24"/>
                      <w:lang w:bidi="en-US"/>
                    </w:rPr>
                  </w:pPr>
                  <w:r>
                    <w:rPr>
                      <w:rFonts w:ascii="MS Gothic" w:eastAsia="MS Gothic" w:hAnsi="MS Gothic"/>
                      <w:szCs w:val="24"/>
                      <w:lang w:bidi="en-US"/>
                    </w:rPr>
                    <w:t>☒</w:t>
                  </w:r>
                  <w:r>
                    <w:rPr>
                      <w:rFonts w:eastAsia="Andale Sans UI"/>
                      <w:szCs w:val="24"/>
                      <w:lang w:bidi="en-US"/>
                    </w:rPr>
                    <w:t xml:space="preserve"> Projektas neprieštarauja Aštuonioliktosios Lietuvos Respublikos Vyriausybės programai.</w:t>
                  </w:r>
                </w:p>
              </w:sdtContent>
            </w:sdt>
            <w:sdt>
              <w:sdtPr>
                <w:alias w:val="4 p."/>
                <w:tag w:val="part_be142343304d4008bd8bcafb5d93391c"/>
                <w:lock w:val="sdtLocked"/>
                <w:richText/>
              </w:sdtPr>
              <w:sdtContent>
                <w:p>
                  <w:pPr>
                    <w:spacing w:line="30" w:lineRule="atLeast"/>
                    <w:ind w:firstLine="567"/>
                    <w:jc w:val="both"/>
                    <w:rPr>
                      <w:szCs w:val="24"/>
                      <w:lang w:eastAsia="lt-LT" w:bidi="en-US"/>
                    </w:rPr>
                  </w:pPr>
                  <w:sdt>
                    <w:sdtPr>
                      <w:alias w:val="Numeris"/>
                      <w:tag w:val="nr_be142343304d4008bd8bcafb5d93391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eastAsia="lt-LT" w:bidi="en-US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eastAsia="lt-LT" w:bidi="en-US"/>
                    </w:rPr>
                    <w:t xml:space="preserve">. Europos Sąjungos teisės aktų perkėlimas ir (ar) įgyvendinimas </w:t>
                  </w:r>
                </w:p>
                <w:p>
                  <w:pPr>
                    <w:spacing w:line="30" w:lineRule="atLeast"/>
                    <w:ind w:firstLine="567"/>
                    <w:jc w:val="both"/>
                    <w:rPr>
                      <w:rFonts w:eastAsia="Andale Sans UI"/>
                      <w:szCs w:val="24"/>
                      <w:lang w:bidi="en-US"/>
                    </w:rPr>
                  </w:pPr>
                  <w:r>
                    <w:rPr>
                      <w:rFonts w:ascii="MS Gothic" w:eastAsia="MS Gothic" w:hAnsi="MS Gothic"/>
                      <w:szCs w:val="24"/>
                      <w:lang w:bidi="en-US"/>
                    </w:rPr>
                    <w:t>☒</w:t>
                  </w:r>
                  <w:r>
                    <w:rPr>
                      <w:rFonts w:eastAsia="Andale Sans UI"/>
                      <w:szCs w:val="24"/>
                      <w:lang w:bidi="en-US"/>
                    </w:rPr>
                    <w:t xml:space="preserve"> Projektu neperkeliamos ir neįgyvendinamos Europos Sąjungos teisės aktų nuostatos.</w:t>
                  </w:r>
                </w:p>
              </w:sdtContent>
            </w:sdt>
            <w:sdt>
              <w:sdtPr>
                <w:alias w:val="5 p."/>
                <w:tag w:val="part_c2cf27b3e9bf4f049ebdaf197e2f1cdc"/>
                <w:lock w:val="sdtLocked"/>
                <w:richText/>
              </w:sdtPr>
              <w:sdtContent>
                <w:p>
                  <w:pPr>
                    <w:spacing w:line="30" w:lineRule="atLeast"/>
                    <w:ind w:firstLine="567"/>
                    <w:jc w:val="both"/>
                    <w:rPr>
                      <w:szCs w:val="24"/>
                      <w:lang w:eastAsia="lt-LT" w:bidi="en-US"/>
                    </w:rPr>
                  </w:pPr>
                  <w:sdt>
                    <w:sdtPr>
                      <w:alias w:val="Numeris"/>
                      <w:tag w:val="nr_c2cf27b3e9bf4f049ebdaf197e2f1cdc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b/>
                          <w:bCs/>
                          <w:szCs w:val="24"/>
                          <w:lang w:bidi="en-US"/>
                        </w:rPr>
                        <w:t>5</w:t>
                      </w:r>
                    </w:sdtContent>
                  </w:sdt>
                  <w:r>
                    <w:rPr>
                      <w:rFonts w:eastAsia="Andale Sans UI"/>
                      <w:b/>
                      <w:bCs/>
                      <w:szCs w:val="24"/>
                      <w:lang w:bidi="en-US"/>
                    </w:rPr>
                    <w:t>. Notifikavimas</w:t>
                  </w:r>
                  <w:r>
                    <w:rPr>
                      <w:rFonts w:eastAsia="Andale Sans UI"/>
                      <w:b/>
                      <w:bCs/>
                      <w:szCs w:val="24"/>
                      <w:vertAlign w:val="superscript"/>
                      <w:lang w:bidi="en-US"/>
                    </w:rPr>
                    <w:footnoteReference w:id="4"/>
                  </w:r>
                  <w:r>
                    <w:rPr>
                      <w:rFonts w:eastAsia="Andale Sans UI"/>
                      <w:b/>
                      <w:bCs/>
                      <w:szCs w:val="24"/>
                      <w:lang w:bidi="en-US"/>
                    </w:rPr>
                    <w:t xml:space="preserve"> Europos Komisijai </w:t>
                  </w:r>
                </w:p>
                <w:p>
                  <w:pPr>
                    <w:spacing w:line="30" w:lineRule="atLeast"/>
                    <w:ind w:firstLine="567"/>
                    <w:jc w:val="both"/>
                    <w:rPr>
                      <w:rFonts w:eastAsia="Andale Sans UI"/>
                      <w:szCs w:val="24"/>
                      <w:lang w:bidi="en-US"/>
                    </w:rPr>
                  </w:pPr>
                  <w:r>
                    <w:rPr>
                      <w:rFonts w:ascii="MS Gothic" w:eastAsia="MS Gothic" w:hAnsi="MS Gothic"/>
                      <w:szCs w:val="24"/>
                      <w:lang w:bidi="en-US"/>
                    </w:rPr>
                    <w:t>☒</w:t>
                  </w:r>
                  <w:r>
                    <w:rPr>
                      <w:rFonts w:eastAsia="Andale Sans UI"/>
                      <w:szCs w:val="24"/>
                      <w:lang w:bidi="en-US"/>
                    </w:rPr>
                    <w:t xml:space="preserve"> Projektas nenotifikuotinas Europos Komisijai.</w:t>
                  </w:r>
                </w:p>
              </w:sdtContent>
            </w:sdt>
            <w:sdt>
              <w:sdtPr>
                <w:alias w:val="6 p."/>
                <w:tag w:val="part_15c51946a0ff449cab08d7091fbfbb56"/>
                <w:lock w:val="sdtLocked"/>
                <w:richText/>
              </w:sdtPr>
              <w:sdtContent>
                <w:p>
                  <w:pPr>
                    <w:spacing w:line="30" w:lineRule="atLeast"/>
                    <w:ind w:firstLine="567"/>
                    <w:jc w:val="both"/>
                    <w:rPr>
                      <w:rFonts w:eastAsia="Andale Sans UI"/>
                      <w:b/>
                      <w:bCs/>
                      <w:szCs w:val="24"/>
                      <w:lang w:bidi="en-US"/>
                    </w:rPr>
                  </w:pPr>
                  <w:sdt>
                    <w:sdtPr>
                      <w:alias w:val="Numeris"/>
                      <w:tag w:val="nr_15c51946a0ff449cab08d7091fbfbb56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b/>
                          <w:bCs/>
                          <w:szCs w:val="24"/>
                          <w:lang w:bidi="en-US"/>
                        </w:rPr>
                        <w:t>6</w:t>
                      </w:r>
                    </w:sdtContent>
                  </w:sdt>
                  <w:r>
                    <w:rPr>
                      <w:rFonts w:eastAsia="Andale Sans UI"/>
                      <w:b/>
                      <w:bCs/>
                      <w:szCs w:val="24"/>
                      <w:lang w:bidi="en-US"/>
                    </w:rPr>
                    <w:t>. Numatomo teisinio reguliavimo poveikio vertinimas</w:t>
                  </w:r>
                  <w:r>
                    <w:rPr>
                      <w:rFonts w:eastAsia="Andale Sans UI"/>
                      <w:b/>
                      <w:bCs/>
                      <w:szCs w:val="24"/>
                      <w:vertAlign w:val="superscript"/>
                      <w:lang w:bidi="en-US"/>
                    </w:rPr>
                    <w:footnoteReference w:id="5"/>
                  </w:r>
                  <w:r>
                    <w:rPr>
                      <w:rFonts w:eastAsia="Andale Sans UI"/>
                      <w:b/>
                      <w:bCs/>
                      <w:szCs w:val="24"/>
                      <w:lang w:bidi="en-US"/>
                    </w:rPr>
                    <w:t xml:space="preserve"> </w:t>
                  </w:r>
                </w:p>
                <w:p>
                  <w:pPr>
                    <w:widowControl w:val="0"/>
                    <w:spacing w:line="30" w:lineRule="atLeast"/>
                    <w:ind w:firstLine="567"/>
                    <w:jc w:val="both"/>
                    <w:rPr>
                      <w:rFonts w:eastAsia="Andale Sans UI"/>
                      <w:szCs w:val="24"/>
                      <w:lang w:bidi="en-US"/>
                    </w:rPr>
                  </w:pPr>
                  <w:r>
                    <w:rPr>
                      <w:rFonts w:ascii="MS Gothic" w:eastAsia="MS Gothic" w:hAnsi="MS Gothic"/>
                      <w:szCs w:val="24"/>
                      <w:lang w:bidi="en-US"/>
                    </w:rPr>
                    <w:t>☒</w:t>
                  </w:r>
                  <w:r>
                    <w:rPr>
                      <w:rFonts w:eastAsia="Andale Sans UI"/>
                      <w:szCs w:val="24"/>
                      <w:lang w:bidi="en-US"/>
                    </w:rPr>
                    <w:t xml:space="preserve"> Projekto numatomo teisinio reguliavimo poveikio vertinimas atliekamas.</w:t>
                  </w:r>
                </w:p>
              </w:sdtContent>
            </w:sdt>
            <w:sdt>
              <w:sdtPr>
                <w:alias w:val="7 p."/>
                <w:tag w:val="part_60b085ee0d2f42d6b1dbe8d7667b4050"/>
                <w:lock w:val="sdtLocked"/>
                <w:richText/>
              </w:sdtPr>
              <w:sdtContent>
                <w:p>
                  <w:pPr>
                    <w:spacing w:line="30" w:lineRule="atLeast"/>
                    <w:ind w:firstLine="567"/>
                    <w:jc w:val="both"/>
                    <w:rPr>
                      <w:rFonts w:eastAsia="Andale Sans UI"/>
                      <w:b/>
                      <w:bCs/>
                      <w:szCs w:val="24"/>
                      <w:lang w:bidi="en-US"/>
                    </w:rPr>
                  </w:pPr>
                  <w:sdt>
                    <w:sdtPr>
                      <w:alias w:val="Numeris"/>
                      <w:tag w:val="nr_60b085ee0d2f42d6b1dbe8d7667b4050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b/>
                          <w:bCs/>
                          <w:szCs w:val="24"/>
                          <w:lang w:bidi="en-US"/>
                        </w:rPr>
                        <w:t>7</w:t>
                      </w:r>
                    </w:sdtContent>
                  </w:sdt>
                  <w:r>
                    <w:rPr>
                      <w:rFonts w:eastAsia="Andale Sans UI"/>
                      <w:b/>
                      <w:bCs/>
                      <w:szCs w:val="24"/>
                      <w:lang w:bidi="en-US"/>
                    </w:rPr>
                    <w:t>. Teisės aktai, kuriuos reikės priimti, pakeisti arba pripažinti netekusiais galios</w:t>
                  </w:r>
                </w:p>
                <w:p>
                  <w:pPr>
                    <w:spacing w:line="30" w:lineRule="atLeast"/>
                    <w:ind w:firstLine="567"/>
                    <w:jc w:val="both"/>
                    <w:rPr>
                      <w:rFonts w:eastAsia="Andale Sans UI"/>
                      <w:szCs w:val="24"/>
                      <w:lang w:bidi="en-US"/>
                    </w:rPr>
                  </w:pPr>
                  <w:r>
                    <w:rPr>
                      <w:rFonts w:ascii="MS Gothic" w:eastAsia="MS Gothic" w:hAnsi="MS Gothic"/>
                      <w:szCs w:val="24"/>
                      <w:lang w:bidi="en-US"/>
                    </w:rPr>
                    <w:t>☒</w:t>
                  </w:r>
                  <w:r>
                    <w:rPr>
                      <w:rFonts w:eastAsia="Andale Sans UI"/>
                      <w:szCs w:val="24"/>
                      <w:lang w:bidi="en-US"/>
                    </w:rPr>
                    <w:t xml:space="preserve"> Projektui įtraukti į teisės sistemą kitų teisės aktų priimti nereikės.</w:t>
                  </w:r>
                </w:p>
              </w:sdtContent>
            </w:sdt>
            <w:sdt>
              <w:sdtPr>
                <w:alias w:val="8 p."/>
                <w:tag w:val="part_30799ab253e14c2a96f3a0c5b55ed61c"/>
                <w:lock w:val="sdtLocked"/>
                <w:richText/>
              </w:sdtPr>
              <w:sdtContent>
                <w:p>
                  <w:pPr>
                    <w:spacing w:line="30" w:lineRule="atLeast"/>
                    <w:ind w:firstLine="567"/>
                    <w:jc w:val="both"/>
                    <w:rPr>
                      <w:rFonts w:eastAsia="Andale Sans UI"/>
                      <w:b/>
                      <w:bCs/>
                      <w:szCs w:val="24"/>
                      <w:lang w:bidi="en-US"/>
                    </w:rPr>
                  </w:pPr>
                  <w:sdt>
                    <w:sdtPr>
                      <w:alias w:val="Numeris"/>
                      <w:tag w:val="nr_30799ab253e14c2a96f3a0c5b55ed61c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b/>
                          <w:bCs/>
                          <w:szCs w:val="24"/>
                          <w:lang w:bidi="en-US"/>
                        </w:rPr>
                        <w:t>8</w:t>
                      </w:r>
                    </w:sdtContent>
                  </w:sdt>
                  <w:r>
                    <w:rPr>
                      <w:rFonts w:eastAsia="Andale Sans UI"/>
                      <w:b/>
                      <w:bCs/>
                      <w:szCs w:val="24"/>
                      <w:lang w:bidi="en-US"/>
                    </w:rPr>
                    <w:t>. Informacija apie sąvokų įvertinimą Lietuvos Respublikos terminų banko įstatymo ir jo įgyvendinamųjų teisės aktų nustatyta tvarka</w:t>
                  </w:r>
                </w:p>
                <w:p>
                  <w:pPr>
                    <w:spacing w:line="30" w:lineRule="atLeast"/>
                    <w:ind w:firstLine="567"/>
                    <w:jc w:val="both"/>
                    <w:rPr>
                      <w:rFonts w:eastAsia="Andale Sans UI"/>
                      <w:szCs w:val="24"/>
                      <w:lang w:bidi="en-US"/>
                    </w:rPr>
                  </w:pPr>
                  <w:r>
                    <w:rPr>
                      <w:rFonts w:ascii="MS Gothic" w:eastAsia="MS Gothic" w:hAnsi="MS Gothic"/>
                      <w:szCs w:val="24"/>
                      <w:lang w:bidi="en-US"/>
                    </w:rPr>
                    <w:t>☒</w:t>
                  </w:r>
                  <w:r>
                    <w:rPr>
                      <w:rFonts w:eastAsia="Andale Sans UI"/>
                      <w:szCs w:val="24"/>
                      <w:lang w:bidi="en-US"/>
                    </w:rPr>
                    <w:t xml:space="preserve"> Projekte naujų sąvokų nėra.</w:t>
                  </w:r>
                </w:p>
              </w:sdtContent>
            </w:sdt>
            <w:sdt>
              <w:sdtPr>
                <w:alias w:val="9 p."/>
                <w:tag w:val="part_f1ec79c2235e4c0bad2cf426881154b2"/>
                <w:lock w:val="sdtLocked"/>
                <w:richText/>
              </w:sdtPr>
              <w:sdtContent>
                <w:p>
                  <w:pPr>
                    <w:spacing w:line="30" w:lineRule="atLeast"/>
                    <w:ind w:firstLine="567"/>
                    <w:jc w:val="both"/>
                    <w:rPr>
                      <w:rFonts w:eastAsia="Andale Sans UI"/>
                      <w:b/>
                      <w:bCs/>
                      <w:color w:val="000000"/>
                      <w:szCs w:val="24"/>
                      <w:lang w:bidi="en-US"/>
                    </w:rPr>
                  </w:pPr>
                  <w:sdt>
                    <w:sdtPr>
                      <w:alias w:val="Numeris"/>
                      <w:tag w:val="nr_f1ec79c2235e4c0bad2cf426881154b2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b/>
                          <w:bCs/>
                          <w:szCs w:val="24"/>
                          <w:lang w:bidi="en-US"/>
                        </w:rPr>
                        <w:t>9</w:t>
                      </w:r>
                    </w:sdtContent>
                  </w:sdt>
                  <w:r>
                    <w:rPr>
                      <w:rFonts w:eastAsia="Andale Sans UI"/>
                      <w:b/>
                      <w:bCs/>
                      <w:szCs w:val="24"/>
                      <w:lang w:bidi="en-US"/>
                    </w:rPr>
                    <w:t>. Kita reikalinga informacija</w:t>
                  </w:r>
                </w:p>
                <w:p>
                  <w:pPr>
                    <w:shd w:val="clear" w:color="auto" w:fill="FFFFFF"/>
                    <w:spacing w:line="30" w:lineRule="atLeast"/>
                    <w:ind w:firstLine="567"/>
                    <w:jc w:val="both"/>
                    <w:textAlignment w:val="center"/>
                    <w:rPr>
                      <w:rFonts w:eastAsia="Andale Sans UI"/>
                      <w:szCs w:val="24"/>
                      <w:lang w:eastAsia="lt-LT" w:bidi="en-US"/>
                    </w:rPr>
                  </w:pPr>
                  <w:r>
                    <w:rPr>
                      <w:rFonts w:eastAsia="Andale Sans UI"/>
                      <w:szCs w:val="24"/>
                      <w:lang w:bidi="en-US"/>
                    </w:rPr>
                    <w:t>Priimtas Nutarimo projektas</w:t>
                  </w:r>
                  <w:r>
                    <w:rPr>
                      <w:rFonts w:eastAsia="Andale Sans UI"/>
                      <w:szCs w:val="24"/>
                      <w:lang w:eastAsia="lt-LT" w:bidi="en-US"/>
                    </w:rPr>
                    <w:t xml:space="preserve"> turės teigiamą įtaką verslo sąlygoms ir jo plėtrai. Bus atnaujinta </w:t>
                  </w:r>
                  <w:r>
                    <w:rPr>
                      <w:color w:val="000000"/>
                      <w:szCs w:val="24"/>
                    </w:rPr>
                    <w:t xml:space="preserve">Stambių projektų investicijų sutarčių sudarymo teikimo ir planuojamų investicijų projektų vertinimo tvarkos, </w:t>
                  </w:r>
                  <w:r>
                    <w:rPr>
                      <w:szCs w:val="24"/>
                      <w:lang w:eastAsia="lt-LT"/>
                    </w:rPr>
                    <w:t xml:space="preserve">Stambių projektų investicijų sutarčių rengimo, derinimo, sudarymo, vykdymo ir vykdymo priežiūros tvarkos aprašo ir </w:t>
                  </w:r>
                  <w:r>
                    <w:rPr>
                      <w:lang w:eastAsia="lt-LT"/>
                    </w:rPr>
                    <w:t>Stambių projektų įtraukimo į stambių projektų sąrašą ir išbraukimo iš šio sąrašo tvarkos</w:t>
                  </w:r>
                  <w:r>
                    <w:rPr>
                      <w:szCs w:val="24"/>
                      <w:lang w:eastAsia="lt-LT"/>
                    </w:rPr>
                    <w:t xml:space="preserve"> aprašo nuostatos ir </w:t>
                  </w:r>
                  <w:r>
                    <w:rPr>
                      <w:rFonts w:eastAsia="Andale Sans UI"/>
                      <w:szCs w:val="24"/>
                      <w:lang w:eastAsia="lt-LT" w:bidi="en-US"/>
                    </w:rPr>
                    <w:t>sudaryta galimybė investuotojams teikti paraiškas dėl Stambių projektų investicijų sutarčių sudarymo.</w:t>
                  </w:r>
                </w:p>
              </w:sdtContent>
            </w:sdt>
            <w:sdt>
              <w:sdtPr>
                <w:alias w:val="10 p."/>
                <w:tag w:val="part_5b103285b7884593a2e6dbb194965422"/>
                <w:lock w:val="sdtLocked"/>
                <w:richText/>
              </w:sdtPr>
              <w:sdtContent>
                <w:p>
                  <w:pPr>
                    <w:spacing w:line="30" w:lineRule="atLeast"/>
                    <w:ind w:firstLine="567"/>
                    <w:jc w:val="both"/>
                    <w:rPr>
                      <w:i/>
                      <w:iCs/>
                      <w:color w:val="000000"/>
                      <w:szCs w:val="24"/>
                      <w:lang w:eastAsia="lt-LT" w:bidi="en-US"/>
                    </w:rPr>
                  </w:pPr>
                  <w:sdt>
                    <w:sdtPr>
                      <w:alias w:val="Numeris"/>
                      <w:tag w:val="nr_5b103285b7884593a2e6dbb194965422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b/>
                          <w:bCs/>
                          <w:szCs w:val="24"/>
                          <w:lang w:bidi="en-US"/>
                        </w:rPr>
                        <w:t>10</w:t>
                      </w:r>
                    </w:sdtContent>
                  </w:sdt>
                  <w:r>
                    <w:rPr>
                      <w:rFonts w:eastAsia="Andale Sans UI"/>
                      <w:b/>
                      <w:bCs/>
                      <w:szCs w:val="24"/>
                      <w:lang w:bidi="en-US"/>
                    </w:rPr>
                    <w:t>. Konsultavimasis su visuomene portalo</w:t>
                  </w:r>
                  <w:r>
                    <w:rPr>
                      <w:rFonts w:eastAsia="Andale Sans UI"/>
                      <w:i/>
                      <w:color w:val="000000"/>
                      <w:szCs w:val="24"/>
                      <w:lang w:bidi="en-US"/>
                    </w:rPr>
                    <w:t xml:space="preserve"> </w:t>
                  </w:r>
                  <w:r>
                    <w:rPr>
                      <w:rFonts w:eastAsia="Andale Sans UI"/>
                      <w:b/>
                      <w:bCs/>
                      <w:i/>
                      <w:color w:val="000000"/>
                      <w:szCs w:val="24"/>
                      <w:lang w:bidi="en-US"/>
                    </w:rPr>
                    <w:t>Mano Vyriausybė</w:t>
                  </w:r>
                  <w:r>
                    <w:rPr>
                      <w:rFonts w:eastAsia="Andale Sans UI"/>
                      <w:b/>
                      <w:bCs/>
                      <w:color w:val="000000"/>
                      <w:szCs w:val="24"/>
                      <w:lang w:bidi="en-US"/>
                    </w:rPr>
                    <w:t xml:space="preserve"> interneto svetainėje </w:t>
                  </w:r>
                  <w:r>
                    <w:rPr>
                      <w:rFonts w:eastAsia="Andale Sans UI"/>
                      <w:b/>
                      <w:bCs/>
                      <w:i/>
                      <w:color w:val="000000"/>
                      <w:szCs w:val="24"/>
                      <w:lang w:bidi="en-US"/>
                    </w:rPr>
                    <w:t xml:space="preserve">E. pilietis </w:t>
                  </w:r>
                </w:p>
                <w:p>
                  <w:pPr>
                    <w:spacing w:line="30" w:lineRule="atLeast"/>
                    <w:ind w:firstLine="567"/>
                    <w:jc w:val="both"/>
                    <w:rPr>
                      <w:color w:val="000000"/>
                      <w:szCs w:val="24"/>
                      <w:lang w:eastAsia="lt-LT" w:bidi="en-US"/>
                    </w:rPr>
                  </w:pPr>
                  <w:r>
                    <w:rPr>
                      <w:rFonts w:ascii="MS Gothic" w:eastAsia="MS Gothic" w:hAnsi="MS Gothic"/>
                      <w:szCs w:val="24"/>
                      <w:lang w:bidi="en-US"/>
                    </w:rPr>
                    <w:t>☒</w:t>
                  </w:r>
                  <w:r>
                    <w:rPr>
                      <w:rFonts w:eastAsia="Andale Sans UI"/>
                      <w:szCs w:val="24"/>
                      <w:lang w:bidi="en-US"/>
                    </w:rPr>
                    <w:t xml:space="preserve"> P</w:t>
                  </w:r>
                  <w:r>
                    <w:rPr>
                      <w:rFonts w:eastAsia="Andale Sans UI"/>
                      <w:color w:val="000000"/>
                      <w:szCs w:val="24"/>
                      <w:lang w:bidi="en-US"/>
                    </w:rPr>
                    <w:t xml:space="preserve">rojekto skelbti viešosioms konsultacijoms portalo </w:t>
                  </w:r>
                  <w:r>
                    <w:rPr>
                      <w:rFonts w:eastAsia="Andale Sans UI"/>
                      <w:i/>
                      <w:color w:val="000000"/>
                      <w:szCs w:val="24"/>
                      <w:lang w:bidi="en-US"/>
                    </w:rPr>
                    <w:t>Mano Vyriausybė</w:t>
                  </w:r>
                  <w:r>
                    <w:rPr>
                      <w:rFonts w:eastAsia="Andale Sans UI"/>
                      <w:color w:val="000000"/>
                      <w:szCs w:val="24"/>
                      <w:lang w:bidi="en-US"/>
                    </w:rPr>
                    <w:t xml:space="preserve"> interneto svetainėje </w:t>
                  </w:r>
                  <w:r>
                    <w:rPr>
                      <w:rFonts w:eastAsia="Andale Sans UI"/>
                      <w:i/>
                      <w:color w:val="000000"/>
                      <w:szCs w:val="24"/>
                      <w:lang w:bidi="en-US"/>
                    </w:rPr>
                    <w:t>E. pilietis</w:t>
                  </w:r>
                  <w:r>
                    <w:rPr>
                      <w:rFonts w:eastAsia="Andale Sans UI"/>
                      <w:szCs w:val="24"/>
                      <w:lang w:bidi="en-US"/>
                    </w:rPr>
                    <w:t xml:space="preserve"> </w:t>
                  </w:r>
                  <w:r>
                    <w:rPr>
                      <w:color w:val="000000"/>
                      <w:szCs w:val="24"/>
                      <w:lang w:eastAsia="lt-LT" w:bidi="en-US"/>
                    </w:rPr>
                    <w:t>neplanuojama.</w:t>
                  </w:r>
                </w:p>
              </w:sdtContent>
            </w:sdt>
            <w:sdt>
              <w:sdtPr>
                <w:alias w:val="11 p."/>
                <w:tag w:val="part_5894e53ee0d54d808d26fb7c5cdd8880"/>
                <w:lock w:val="sdtLocked"/>
                <w:richText/>
              </w:sdtPr>
              <w:sdtContent>
                <w:p>
                  <w:pPr>
                    <w:spacing w:line="30" w:lineRule="atLeast"/>
                    <w:ind w:firstLine="567"/>
                    <w:jc w:val="both"/>
                    <w:rPr>
                      <w:rFonts w:eastAsia="Andale Sans UI"/>
                      <w:b/>
                      <w:bCs/>
                      <w:color w:val="000000"/>
                      <w:szCs w:val="24"/>
                      <w:lang w:bidi="en-US"/>
                    </w:rPr>
                  </w:pPr>
                  <w:sdt>
                    <w:sdtPr>
                      <w:alias w:val="Numeris"/>
                      <w:tag w:val="nr_5894e53ee0d54d808d26fb7c5cdd8880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b/>
                          <w:bCs/>
                          <w:szCs w:val="24"/>
                          <w:lang w:bidi="en-US"/>
                        </w:rPr>
                        <w:t>11</w:t>
                      </w:r>
                    </w:sdtContent>
                  </w:sdt>
                  <w:r>
                    <w:rPr>
                      <w:rFonts w:eastAsia="Andale Sans UI"/>
                      <w:b/>
                      <w:bCs/>
                      <w:szCs w:val="24"/>
                      <w:lang w:bidi="en-US"/>
                    </w:rPr>
                    <w:t>. Derinimas su suinteresuotomis institucijomis ir visuomene</w:t>
                  </w:r>
                </w:p>
                <w:p>
                  <w:pPr>
                    <w:spacing w:line="30" w:lineRule="atLeast"/>
                    <w:ind w:firstLine="567"/>
                    <w:jc w:val="both"/>
                    <w:rPr>
                      <w:rFonts w:eastAsia="Andale Sans UI"/>
                      <w:szCs w:val="24"/>
                      <w:lang w:bidi="en-US"/>
                    </w:rPr>
                  </w:pPr>
                  <w:r>
                    <w:rPr>
                      <w:rFonts w:eastAsia="Andale Sans UI"/>
                      <w:szCs w:val="24"/>
                      <w:lang w:bidi="en-US"/>
                    </w:rPr>
                    <w:t>Projektas skelbiamas Lietuvos Respublikos Seimo kanceliarijos teisės aktų informacinėje sistemoje (TAIS).</w:t>
                  </w:r>
                </w:p>
                <w:p>
                  <w:pPr>
                    <w:spacing w:line="30" w:lineRule="atLeast"/>
                    <w:ind w:firstLine="567"/>
                    <w:jc w:val="both"/>
                    <w:rPr>
                      <w:rFonts w:eastAsia="Andale Sans UI"/>
                      <w:szCs w:val="24"/>
                      <w:lang w:bidi="en-US"/>
                    </w:rPr>
                  </w:pPr>
                  <w:r>
                    <w:rPr>
                      <w:rFonts w:eastAsia="Andale Sans UI"/>
                      <w:szCs w:val="24"/>
                      <w:lang w:bidi="en-US"/>
                    </w:rPr>
                    <w:t>Derinimo terminas:</w:t>
                  </w:r>
                </w:p>
                <w:p>
                  <w:pPr>
                    <w:spacing w:line="30" w:lineRule="atLeast"/>
                    <w:ind w:firstLine="567"/>
                    <w:jc w:val="both"/>
                    <w:rPr>
                      <w:rFonts w:eastAsia="Andale Sans UI"/>
                      <w:szCs w:val="24"/>
                      <w:lang w:bidi="en-US"/>
                    </w:rPr>
                  </w:pPr>
                  <w:r>
                    <w:rPr>
                      <w:rFonts w:ascii="MS Gothic" w:eastAsia="MS Gothic" w:hAnsi="MS Gothic"/>
                      <w:szCs w:val="24"/>
                      <w:lang w:bidi="en-US"/>
                    </w:rPr>
                    <w:t>☒</w:t>
                  </w:r>
                  <w:r>
                    <w:rPr>
                      <w:rFonts w:eastAsia="Andale Sans UI"/>
                      <w:szCs w:val="24"/>
                      <w:lang w:bidi="en-US"/>
                    </w:rPr>
                    <w:t xml:space="preserve"> 10 darbo dienų.</w:t>
                  </w:r>
                </w:p>
              </w:sdtContent>
            </w:sdt>
            <w:sdt>
              <w:sdtPr>
                <w:alias w:val="12 p."/>
                <w:tag w:val="part_2c2f9644bf314fe1afb32e706d798584"/>
                <w:lock w:val="sdtLocked"/>
                <w:richText/>
              </w:sdtPr>
              <w:sdtContent>
                <w:p>
                  <w:pPr>
                    <w:spacing w:line="60" w:lineRule="atLeast"/>
                    <w:ind w:firstLine="567"/>
                    <w:jc w:val="both"/>
                    <w:rPr>
                      <w:rFonts w:eastAsia="Andale Sans UI"/>
                      <w:szCs w:val="24"/>
                      <w:lang w:bidi="en-US"/>
                    </w:rPr>
                  </w:pPr>
                  <w:sdt>
                    <w:sdtPr>
                      <w:alias w:val="Numeris"/>
                      <w:tag w:val="nr_2c2f9644bf314fe1afb32e706d798584"/>
                      <w:lock w:val="sdtLocked"/>
                      <w:richText/>
                    </w:sdtPr>
                    <w:sdtContent>
                      <w:r>
                        <w:rPr>
                          <w:rFonts w:eastAsia="Andale Sans UI"/>
                          <w:b/>
                          <w:bCs/>
                          <w:szCs w:val="24"/>
                          <w:lang w:bidi="en-US"/>
                        </w:rPr>
                        <w:t>12</w:t>
                      </w:r>
                    </w:sdtContent>
                  </w:sdt>
                  <w:r>
                    <w:rPr>
                      <w:rFonts w:eastAsia="Andale Sans UI"/>
                      <w:b/>
                      <w:bCs/>
                      <w:szCs w:val="24"/>
                      <w:lang w:bidi="en-US"/>
                    </w:rPr>
                    <w:t>. Projekto rengėjai</w:t>
                  </w:r>
                  <w:r>
                    <w:rPr>
                      <w:rFonts w:eastAsia="Andale Sans UI"/>
                      <w:szCs w:val="24"/>
                      <w:lang w:bidi="en-US"/>
                    </w:rPr>
                    <w:t xml:space="preserve"> </w:t>
                  </w:r>
                </w:p>
                <w:p>
                  <w:pPr>
                    <w:ind w:firstLine="720"/>
                    <w:jc w:val="both"/>
                  </w:pPr>
                  <w:r>
                    <w:t xml:space="preserve">Nutarimo projektą parengė Ekonomikos ir inovacijų ministerijos Ekonominės plėtros grupės (grupės vadovė – Gina Jaugielavičienė, tel. 8 698 02 867, el. p. Gina.Jaugielaviciene@eimin.lt) patarėjas Žygimantas Račkys, tel. 8 636 75 197, el. p. zygimantas.rackys@eimin.lt. </w:t>
                  </w:r>
                </w:p>
                <w:p>
                  <w:pPr>
                    <w:ind w:firstLine="720"/>
                    <w:jc w:val="both"/>
                  </w:pPr>
                </w:p>
                <w:p>
                  <w:pPr>
                    <w:ind w:firstLine="720"/>
                    <w:jc w:val="both"/>
                  </w:pPr>
                </w:p>
                <w:p>
                  <w:pPr>
                    <w:ind w:firstLine="720"/>
                    <w:jc w:val="both"/>
                  </w:pPr>
                  <w:r>
                    <w:t>PRIDEDAMA:</w:t>
                  </w:r>
                </w:p>
              </w:sdtContent>
            </w:sdt>
            <w:sdt>
              <w:sdtPr>
                <w:alias w:val="1 p."/>
                <w:tag w:val="part_be48809aadf84b3bb0af0deb40850923"/>
                <w:lock w:val="sdtLocked"/>
                <w:richText/>
              </w:sdtPr>
              <w:sdtContent>
                <w:p>
                  <w:pPr>
                    <w:ind w:left="1080" w:hanging="360"/>
                    <w:jc w:val="both"/>
                  </w:pPr>
                  <w:sdt>
                    <w:sdtPr>
                      <w:alias w:val="Numeris"/>
                      <w:tag w:val="nr_be48809aadf84b3bb0af0deb40850923"/>
                      <w:lock w:val="sdtLocked"/>
                      <w:richText/>
                    </w:sdtPr>
                    <w:sdtContent>
                      <w:r>
                        <w:t>1</w:t>
                      </w:r>
                    </w:sdtContent>
                  </w:sdt>
                  <w:r>
                    <w:t>.</w:t>
                    <w:tab/>
                    <w:t>Nutarimo projektas, 4 lapas;</w:t>
                  </w:r>
                </w:p>
              </w:sdtContent>
            </w:sdt>
            <w:sdt>
              <w:sdtPr>
                <w:alias w:val="2 p."/>
                <w:tag w:val="part_35eb1df6b63c429c94368bd715e385ef"/>
                <w:lock w:val="sdtLocked"/>
                <w:richText/>
              </w:sdtPr>
              <w:sdtContent>
                <w:p>
                  <w:pPr>
                    <w:ind w:left="1080" w:hanging="360"/>
                    <w:jc w:val="both"/>
                  </w:pPr>
                  <w:sdt>
                    <w:sdtPr>
                      <w:alias w:val="Numeris"/>
                      <w:tag w:val="nr_35eb1df6b63c429c94368bd715e385ef"/>
                      <w:lock w:val="sdtLocked"/>
                      <w:richText/>
                    </w:sdtPr>
                    <w:sdtContent>
                      <w:r>
                        <w:t>2</w:t>
                      </w:r>
                    </w:sdtContent>
                  </w:sdt>
                  <w:r>
                    <w:t>.</w:t>
                    <w:tab/>
                    <w:t>Nutarimo lyginamasis variantas, 4 lapas;</w:t>
                  </w:r>
                </w:p>
              </w:sdtContent>
            </w:sdt>
            <w:sdt>
              <w:sdtPr>
                <w:alias w:val="3 p."/>
                <w:tag w:val="part_babf572252ce4b53a94efa85d1354883"/>
                <w:lock w:val="sdtLocked"/>
                <w:richText/>
              </w:sdtPr>
              <w:sdtContent>
                <w:p>
                  <w:pPr>
                    <w:ind w:left="1080" w:hanging="360"/>
                    <w:jc w:val="both"/>
                  </w:pPr>
                  <w:sdt>
                    <w:sdtPr>
                      <w:alias w:val="Numeris"/>
                      <w:tag w:val="nr_babf572252ce4b53a94efa85d1354883"/>
                      <w:lock w:val="sdtLocked"/>
                      <w:richText/>
                    </w:sdtPr>
                    <w:sdtContent>
                      <w:r>
                        <w:t>3</w:t>
                      </w:r>
                    </w:sdtContent>
                  </w:sdt>
                  <w:r>
                    <w:t>.</w:t>
                    <w:tab/>
                    <w:t>Numatomo teisinio reguliavimo poveikio vertinimo pažyma, 1 lapas;</w:t>
                  </w:r>
                </w:p>
                <w:p>
                  <w:pPr>
                    <w:ind w:firstLine="720"/>
                    <w:jc w:val="both"/>
                    <w:rPr>
                      <w:sz w:val="23"/>
                      <w:szCs w:val="23"/>
                    </w:rPr>
                  </w:pPr>
                </w:p>
                <w:p>
                  <w:pPr>
                    <w:ind w:firstLine="567"/>
                    <w:jc w:val="both"/>
                    <w:rPr>
                      <w:szCs w:val="24"/>
                    </w:rPr>
                  </w:pPr>
                </w:p>
                <w:p>
                  <w:pPr>
                    <w:ind w:firstLine="567"/>
                    <w:jc w:val="both"/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  <w:lang w:val="en-US"/>
                    </w:rPr>
                  </w:pPr>
                  <w:r>
                    <w:rPr>
                      <w:szCs w:val="24"/>
                    </w:rPr>
                    <w:t xml:space="preserve">Ekonomikos ir inovacijų viceministras                                                                  Karolis Žemaitis</w:t>
                  </w: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rPr>
                      <w:szCs w:val="24"/>
                    </w:rPr>
                  </w:pPr>
                </w:p>
                <w:p>
                  <w:pPr>
                    <w:jc w:val="both"/>
                    <w:rPr>
                      <w:sz w:val="20"/>
                    </w:rPr>
                  </w:pPr>
                  <w:r>
                    <w:rPr>
                      <w:sz w:val="20"/>
                    </w:rPr>
                    <w:t xml:space="preserve">Ž. Račkys, tel. 8 636 75 197, el. p. </w:t>
                  </w:r>
                  <w:r>
                    <w:rPr>
                      <w:color w:val="0000FF"/>
                      <w:sz w:val="20"/>
                      <w:u w:val="single"/>
                    </w:rPr>
                    <w:t>zygimantas.rackys@eimin.lt</w:t>
                  </w:r>
                  <w:r>
                    <w:rPr>
                      <w:sz w:val="20"/>
                    </w:rPr>
                    <w:t>.</w:t>
                  </w:r>
                </w:p>
                <w:p>
                  <w:pPr>
                    <w:jc w:val="both"/>
                    <w:rPr>
                      <w:sz w:val="20"/>
                    </w:rPr>
                  </w:pPr>
                </w:p>
                <w:p>
                  <w:pPr>
                    <w:jc w:val="both"/>
                    <w:rPr>
                      <w:sz w:val="20"/>
                    </w:rPr>
                  </w:pPr>
                </w:p>
                <w:p>
                  <w:pPr>
                    <w:jc w:val="both"/>
                    <w:rPr>
                      <w:sz w:val="20"/>
                    </w:rPr>
                  </w:pPr>
                </w:p>
                <w:p>
                  <w:pPr>
                    <w:jc w:val="both"/>
                    <w:rPr>
                      <w:sz w:val="20"/>
                    </w:rPr>
                  </w:pPr>
                </w:p>
                <w:p>
                  <w:pPr>
                    <w:jc w:val="both"/>
                    <w:rPr>
                      <w:sz w:val="20"/>
                    </w:rPr>
                  </w:pPr>
                </w:p>
                <w:p>
                  <w:pPr>
                    <w:jc w:val="both"/>
                    <w:rPr>
                      <w:sz w:val="20"/>
                    </w:rPr>
                  </w:pPr>
                </w:p>
              </w:sdtContent>
            </w:sdt>
          </w:sdtContent>
        </w:sdt>
        <w:sdt>
          <w:sdtPr>
            <w:alias w:val="skirsnis"/>
            <w:tag w:val="part_b3038322a6e14b0c82a164b85c5067f2"/>
            <w:lock w:val="sdtLocked"/>
            <w:richText/>
          </w:sdtPr>
          <w:sdtContent>
            <w:p>
              <w:pPr>
                <w:jc w:val="center"/>
                <w:rPr>
                  <w:rFonts w:eastAsia="Andale Sans UI" w:cs="Tahoma"/>
                  <w:szCs w:val="24"/>
                  <w:lang w:bidi="en-US"/>
                </w:rPr>
              </w:pPr>
              <w:sdt>
                <w:sdtPr>
                  <w:alias w:val="Pavadinimas"/>
                  <w:tag w:val="title_b3038322a6e14b0c82a164b85c5067f2"/>
                  <w:lock w:val="sdtLocked"/>
                  <w:richText/>
                </w:sdtPr>
                <w:sdtContent>
                  <w:r>
                    <w:rPr>
                      <w:rFonts w:eastAsia="Andale Sans UI" w:cs="Tahoma"/>
                      <w:szCs w:val="24"/>
                      <w:lang w:bidi="en-US"/>
                    </w:rPr>
                    <w:t>ADRESATŲ SĄRAŠAS</w:t>
                  </w:r>
                </w:sdtContent>
              </w:sdt>
            </w:p>
            <w:p>
              <w:pPr>
                <w:widowControl w:val="0"/>
                <w:suppressAutoHyphens/>
                <w:spacing w:line="276" w:lineRule="auto"/>
                <w:jc w:val="both"/>
                <w:rPr>
                  <w:rFonts w:eastAsia="Andale Sans UI;Times New Roman" w:cs="Tahoma"/>
                  <w:szCs w:val="24"/>
                  <w:lang w:eastAsia="zh-CN" w:bidi="en-US"/>
                </w:rPr>
              </w:pPr>
            </w:p>
            <w:p>
              <w:pPr>
                <w:widowControl w:val="0"/>
                <w:suppressAutoHyphens/>
                <w:spacing w:line="276" w:lineRule="auto"/>
                <w:jc w:val="both"/>
                <w:rPr>
                  <w:rFonts w:eastAsia="Andale Sans UI;Times New Roman" w:cs="Tahoma"/>
                  <w:szCs w:val="24"/>
                  <w:lang w:eastAsia="zh-CN" w:bidi="en-US"/>
                </w:rPr>
              </w:pPr>
            </w:p>
          </w:sdtContent>
        </w:sdt>
        <w:sdt>
          <w:sdtPr>
            <w:alias w:val="signatura"/>
            <w:tag w:val="part_03310f625e354912bb036b024569204d"/>
            <w:lock w:val="sdtLocked"/>
            <w:richText/>
          </w:sdtPr>
          <w:sdtContent>
            <w:p>
              <w:pPr>
                <w:widowControl w:val="0"/>
                <w:suppressAutoHyphens/>
                <w:spacing w:line="276" w:lineRule="auto"/>
                <w:jc w:val="both"/>
                <w:rPr>
                  <w:rFonts w:eastAsia="Andale Sans UI;Times New Roman" w:cs="Tahoma"/>
                  <w:szCs w:val="24"/>
                  <w:lang w:eastAsia="zh-CN" w:bidi="en-US"/>
                </w:rPr>
              </w:pPr>
              <w:r>
                <w:rPr>
                  <w:rFonts w:eastAsia="Andale Sans UI;Times New Roman" w:cs="Tahoma"/>
                  <w:szCs w:val="24"/>
                  <w:lang w:eastAsia="zh-CN" w:bidi="en-US"/>
                </w:rPr>
                <w:t>Lietuvos Respublikos finansų ministerija</w:t>
              </w:r>
            </w:p>
            <w:p>
              <w:pPr>
                <w:widowControl w:val="0"/>
                <w:suppressAutoHyphens/>
                <w:spacing w:line="276" w:lineRule="auto"/>
                <w:jc w:val="both"/>
                <w:rPr>
                  <w:rFonts w:eastAsia="Andale Sans UI;Times New Roman" w:cs="Tahoma"/>
                  <w:szCs w:val="24"/>
                  <w:lang w:eastAsia="zh-CN" w:bidi="en-US"/>
                </w:rPr>
              </w:pPr>
              <w:r>
                <w:rPr>
                  <w:rFonts w:eastAsia="Andale Sans UI;Times New Roman" w:cs="Tahoma"/>
                  <w:szCs w:val="24"/>
                  <w:lang w:eastAsia="zh-CN" w:bidi="en-US"/>
                </w:rPr>
                <w:t>Lietuvos Respublikos vidaus reikalų ministerija</w:t>
              </w:r>
            </w:p>
            <w:p>
              <w:pPr>
                <w:widowControl w:val="0"/>
                <w:suppressAutoHyphens/>
                <w:spacing w:line="276" w:lineRule="auto"/>
                <w:jc w:val="both"/>
                <w:rPr>
                  <w:rFonts w:eastAsia="Andale Sans UI;Times New Roman" w:cs="Tahoma"/>
                  <w:szCs w:val="24"/>
                  <w:lang w:eastAsia="zh-CN" w:bidi="en-US"/>
                </w:rPr>
              </w:pPr>
              <w:r>
                <w:rPr>
                  <w:rFonts w:eastAsia="Andale Sans UI;Times New Roman" w:cs="Tahoma"/>
                  <w:szCs w:val="24"/>
                  <w:lang w:eastAsia="zh-CN" w:bidi="en-US"/>
                </w:rPr>
                <w:t>Lietuvos Respublikos teisingumo ministerija</w:t>
              </w:r>
            </w:p>
            <w:p>
              <w:pPr>
                <w:widowControl w:val="0"/>
                <w:suppressAutoHyphens/>
                <w:spacing w:line="276" w:lineRule="auto"/>
                <w:jc w:val="both"/>
                <w:rPr>
                  <w:rFonts w:eastAsia="Andale Sans UI;Times New Roman" w:cs="Tahoma"/>
                  <w:szCs w:val="24"/>
                  <w:lang w:eastAsia="zh-CN" w:bidi="en-US"/>
                </w:rPr>
              </w:pPr>
              <w:r>
                <w:rPr>
                  <w:rFonts w:eastAsia="Andale Sans UI;Times New Roman" w:cs="Tahoma"/>
                  <w:szCs w:val="24"/>
                  <w:lang w:eastAsia="zh-CN" w:bidi="en-US"/>
                </w:rPr>
                <w:t>Lietuvos Respublikos susisiekimo ministerija</w:t>
              </w:r>
            </w:p>
            <w:p>
              <w:pPr>
                <w:widowControl w:val="0"/>
                <w:suppressAutoHyphens/>
                <w:spacing w:line="276" w:lineRule="auto"/>
                <w:jc w:val="both"/>
                <w:rPr>
                  <w:rFonts w:eastAsia="Andale Sans UI;Times New Roman" w:cs="Tahoma"/>
                  <w:szCs w:val="24"/>
                  <w:lang w:eastAsia="zh-CN" w:bidi="en-US"/>
                </w:rPr>
              </w:pPr>
              <w:r>
                <w:rPr>
                  <w:rFonts w:eastAsia="Andale Sans UI;Times New Roman" w:cs="Tahoma"/>
                  <w:szCs w:val="24"/>
                  <w:lang w:eastAsia="zh-CN" w:bidi="en-US"/>
                </w:rPr>
                <w:t>Lietuvos Respublikos aplinkos ministerija</w:t>
              </w:r>
            </w:p>
            <w:p>
              <w:pPr>
                <w:widowControl w:val="0"/>
                <w:suppressAutoHyphens/>
                <w:spacing w:line="276" w:lineRule="auto"/>
                <w:jc w:val="both"/>
                <w:rPr>
                  <w:rFonts w:eastAsia="Andale Sans UI;Times New Roman" w:cs="Tahoma"/>
                  <w:szCs w:val="24"/>
                  <w:lang w:eastAsia="zh-CN" w:bidi="en-US"/>
                </w:rPr>
              </w:pPr>
              <w:r>
                <w:rPr>
                  <w:rFonts w:eastAsia="Andale Sans UI;Times New Roman" w:cs="Tahoma"/>
                  <w:szCs w:val="24"/>
                  <w:lang w:eastAsia="zh-CN" w:bidi="en-US"/>
                </w:rPr>
                <w:t>Lietuvos Respublikos energetikos ministerija</w:t>
              </w:r>
            </w:p>
            <w:p>
              <w:pPr>
                <w:widowControl w:val="0"/>
                <w:suppressAutoHyphens/>
                <w:spacing w:line="276" w:lineRule="auto"/>
                <w:jc w:val="both"/>
                <w:rPr>
                  <w:rFonts w:eastAsia="Andale Sans UI;Times New Roman" w:cs="Tahoma"/>
                  <w:szCs w:val="24"/>
                  <w:lang w:eastAsia="zh-CN" w:bidi="en-US"/>
                </w:rPr>
              </w:pPr>
              <w:r>
                <w:rPr>
                  <w:rFonts w:eastAsia="Andale Sans UI;Times New Roman" w:cs="Tahoma"/>
                  <w:szCs w:val="24"/>
                  <w:lang w:eastAsia="zh-CN" w:bidi="en-US"/>
                </w:rPr>
                <w:t>Lietuvos savivaldybių asociacija</w:t>
              </w:r>
            </w:p>
            <w:p>
              <w:pPr>
                <w:widowControl w:val="0"/>
                <w:suppressAutoHyphens/>
                <w:spacing w:line="276" w:lineRule="auto"/>
                <w:jc w:val="both"/>
                <w:rPr>
                  <w:rFonts w:eastAsia="Andale Sans UI;Times New Roman" w:cs="Tahoma"/>
                  <w:szCs w:val="24"/>
                  <w:lang w:eastAsia="zh-CN" w:bidi="en-US"/>
                </w:rPr>
              </w:pPr>
              <w:r>
                <w:rPr>
                  <w:rFonts w:eastAsia="Andale Sans UI;Times New Roman" w:cs="Tahoma"/>
                  <w:szCs w:val="24"/>
                  <w:lang w:eastAsia="zh-CN" w:bidi="en-US"/>
                </w:rPr>
                <w:t>Lietuvos Respublikos konkurencijos taryba</w:t>
              </w:r>
            </w:p>
            <w:p>
              <w:pPr>
                <w:jc w:val="both"/>
                <w:rPr>
                  <w:sz w:val="20"/>
                </w:rPr>
              </w:pPr>
            </w:p>
          </w:sdtContent>
        </w:sdt>
      </w:sdtContent>
    </w:sdt>
    <w:sectPr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276" w:right="566" w:bottom="1134" w:left="1701" w:header="709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jc w:val="both"/>
      </w:pPr>
      <w:r>
        <w:separator/>
      </w:r>
    </w:p>
  </w:endnote>
  <w:endnote w:type="continuationSeparator" w:id="0">
    <w:p>
      <w:pPr>
        <w:jc w:val="both"/>
      </w:pPr>
      <w:r>
        <w:continuationSeparator/>
      </w:r>
    </w:p>
  </w:endnote>
  <w:endnote w:type="continuationNotice" w:id="1">
    <w:p/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BA"/>
    <w:family w:val="swiss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ndale Sans UI;Times New Roman">
    <w:altName w:val="Cambria"/>
    <w:panose1 w:val="00000000000000000000"/>
    <w:charset w:val="00"/>
    <w:family w:val="roman"/>
    <w:notTrueType/>
    <w:pitch w:val="default"/>
  </w:font>
  <w:font w:name="Malgun Gothic">
    <w:altName w:val="맑은 고딕"/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jc w:val="both"/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>
    <w:pPr>
      <w:tabs>
        <w:tab w:val="center" w:pos="4153"/>
        <w:tab w:val="right" w:pos="8306"/>
      </w:tabs>
      <w:jc w:val="both"/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both"/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7088"/>
        <w:tab w:val="left" w:pos="9072"/>
      </w:tabs>
      <w:jc w:val="both"/>
    </w:pPr>
    <w:r>
      <w:rPr>
        <w:lang w:val="en-US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3476E6F2" wp14:editId="5086A9CE">
              <wp:simplePos x="0" y="0"/>
              <wp:positionH relativeFrom="column">
                <wp:posOffset>4234816</wp:posOffset>
              </wp:positionH>
              <wp:positionV relativeFrom="paragraph">
                <wp:posOffset>-241300</wp:posOffset>
              </wp:positionV>
              <wp:extent cx="1562100" cy="523875"/>
              <wp:effectExtent l="0" t="0" r="0" b="9525"/>
              <wp:wrapNone/>
              <wp:docPr id="20" name="Teksto laukas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62100" cy="523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476E6F2" id="_x0000_t202" coordsize="21600,21600" o:spt="202" path="m,l,21600r21600,l21600,xe">
              <v:stroke joinstyle="miter"/>
              <v:path gradientshapeok="t" o:connecttype="rect"/>
            </v:shapetype>
            <v:shape id="Teksto laukas 20" o:spid="_x0000_s1026" type="#_x0000_t202" style="position:absolute;left:0;text-align:left;margin-left:333.45pt;margin-top:-19pt;width:123pt;height:41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DE5v6MRwIAAIAEAAAOAAAAZHJzL2Uyb0RvYy54bWysVFFv2jAQfp+0/2D5fQQo0C4iVIyKaRJq K8HUZ+M4JKrj8+yDhP36nR2grNvTtBfn7Dt/vvu+u0zv21qzg3K+ApPxQa/PmTIS8srsMv59s/x0 x5lHYXKhwaiMH5Xn97OPH6aNTdUQStC5coxAjE8bm/ES0aZJ4mWpauF7YJUhZwGuFkhbt0tyJxpC r3Uy7PcnSQMutw6k8p5OHzonn0X8olASn4rCK2Q645QbxtXFdRvWZDYV6c4JW1bylIb4hyxqURl6 9AL1IFCwvav+gKor6cBDgT0JdQJFUUkVa6BqBv131axLYVWshcjx9kKT/3+w8vHw7FiVZ3xI9BhR k0Yb9eoRmBb7V+EZnRNJjfUpxa4tRWP7BVoS+3zu6TDU3hauDl+qipGf8I4XilWLTIZL48lw0CeX JN94eHN3Ow4wydtt6zx+VVCzYGTckYSRWXFYeexCzyHhMQ+6ypeV1nET2kYttGMHQYJrjDkS+G9R 2rAm45ObcT8CGwjXO2RtKJdQa1dTsLDdticCtpAfqX4HXRt5K5cVJbkSHp+Fo76humgW8ImWQgM9 AieLsxLcz7+dh3iSk7ycNdSHGfc/9sIpzvQ3Q0J/HoxGBItxMxrfBpnctWd77TH7egFU+YCmzspo hnjUZ7NwUL/QyMzDq+QSRtLbGcezucBuOmjkpJrPYxC1qhW4MmsrA3RgOkiwaV+EsyedkBR+hHPH ivSdXF1suGlgvkcoqqhlILhj9cQ7tXnshtNIhjm63seotx/H7BcAAAD//wMAUEsDBBQABgAIAAAA IQBs5DKP4gAAAAoBAAAPAAAAZHJzL2Rvd25yZXYueG1sTI9NT8MwDIbvSPyHyEhc0JZu3cpWmk4I AZO4sfIhbllj2orGqZqsLf8ec4Kj7UevnzfbTbYVA/a+caRgMY9AIJXONFQpeCkeZhsQPmgyunWE Cr7Rwy4/P8t0atxIzzgcQiU4hHyqFdQhdKmUvqzRaj93HRLfPl1vdeCxr6Tp9cjhtpXLKEqk1Q3x h1p3eFdj+XU4WQUfV9X7k58eX8d4HXf3+6G4fjOFUpcX0+0NiIBT+IPhV5/VIWenozuR8aJVkCTJ llEFs3jDpZjYLpa8OSpYrdYg80z+r5D/AAAA//8DAFBLAQItABQABgAIAAAAIQC2gziS/gAAAOEB AAATAAAAAAAAAAAAAAAAAAAAAABbQ29udGVudF9UeXBlc10ueG1sUEsBAi0AFAAGAAgAAAAhADj9 If/WAAAAlAEAAAsAAAAAAAAAAAAAAAAALwEAAF9yZWxzLy5yZWxzUEsBAi0AFAAGAAgAAAAhAMTm /oxHAgAAgAQAAA4AAAAAAAAAAAAAAAAALgIAAGRycy9lMm9Eb2MueG1sUEsBAi0AFAAGAAgAAAAh AGzkMo/iAAAACgEAAA8AAAAAAAAAAAAAAAAAoQQAAGRycy9kb3ducmV2LnhtbFBLBQYAAAAABAAE APMAAACwBQAAAAA= " fillcolor="white [3201]" stroked="f" strokeweight=".5pt">
              <v:textbox>
                <w:txbxContent>
                  <w:p w14:paraId="24160374" w14:textId="77777777"/>
                  <w:pPr>
                    <w:jc w:val="both"/>
                    <w:rPr>
                      <w:rFonts w:ascii="Times New Roman" w:hAnsi="Times New Roman" w:eastAsia="Times New Roman" w:cs="Times New Roman"/>
                    </w:rPr>
                  </w:pPr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jc w:val="both"/>
      </w:pPr>
      <w:r>
        <w:separator/>
      </w:r>
    </w:p>
  </w:footnote>
  <w:footnote w:type="continuationSeparator" w:id="0">
    <w:p>
      <w:pPr>
        <w:jc w:val="both"/>
      </w:pPr>
      <w:r>
        <w:continuationSeparator/>
      </w:r>
    </w:p>
  </w:footnote>
  <w:footnote w:type="continuationNotice" w:id="1">
    <w:p/>
  </w:footnote>
  <w:footnote w:id="2">
    <w:p>
      <w:pPr>
        <w:tabs>
          <w:tab w:val="left" w:pos="2127"/>
        </w:tabs>
        <w:jc w:val="both"/>
        <w:rPr>
          <w:rFonts w:eastAsia="Andale Sans UI"/>
          <w:sz w:val="20"/>
        </w:rPr>
      </w:pPr>
      <w:r>
        <w:rPr>
          <w:rFonts w:eastAsia="Andale Sans UI"/>
          <w:sz w:val="20"/>
          <w:vertAlign w:val="superscript"/>
        </w:rPr>
        <w:footnoteRef/>
      </w:r>
      <w:r>
        <w:rPr>
          <w:rFonts w:eastAsia="Andale Sans UI"/>
          <w:sz w:val="20"/>
        </w:rPr>
        <w:t xml:space="preserve"> </w:t>
      </w:r>
      <w:r>
        <w:rPr>
          <w:sz w:val="20"/>
        </w:rPr>
        <w:t>Patvirtinta Lietuvos Respublikos Vyriausybės 2021 m. balandžio 28 d. nutarimu Nr. 313 „Dėl Lietuvos Respublikos Investicijų įstatymo 15</w:t>
      </w:r>
      <w:r>
        <w:rPr>
          <w:sz w:val="20"/>
          <w:vertAlign w:val="superscript"/>
        </w:rPr>
        <w:t>4</w:t>
      </w:r>
      <w:r>
        <w:rPr>
          <w:sz w:val="20"/>
        </w:rPr>
        <w:t>, 15</w:t>
      </w:r>
      <w:r>
        <w:rPr>
          <w:sz w:val="20"/>
          <w:vertAlign w:val="superscript"/>
        </w:rPr>
        <w:t>5</w:t>
      </w:r>
      <w:r>
        <w:rPr>
          <w:sz w:val="20"/>
        </w:rPr>
        <w:t>, 15</w:t>
      </w:r>
      <w:r>
        <w:rPr>
          <w:sz w:val="20"/>
          <w:vertAlign w:val="superscript"/>
        </w:rPr>
        <w:t>6</w:t>
      </w:r>
      <w:r>
        <w:rPr>
          <w:sz w:val="20"/>
        </w:rPr>
        <w:t xml:space="preserve"> straipsnių ir Lietuvos Respublikos pelno mokesčio įstatymo 58 straipsnio 16</w:t>
      </w:r>
      <w:r>
        <w:rPr>
          <w:sz w:val="20"/>
          <w:vertAlign w:val="superscript"/>
        </w:rPr>
        <w:t>2</w:t>
      </w:r>
      <w:r>
        <w:rPr>
          <w:sz w:val="20"/>
        </w:rPr>
        <w:t xml:space="preserve"> ir 16</w:t>
      </w:r>
      <w:r>
        <w:rPr>
          <w:sz w:val="20"/>
          <w:vertAlign w:val="superscript"/>
        </w:rPr>
        <w:t>3</w:t>
      </w:r>
      <w:r>
        <w:rPr>
          <w:sz w:val="20"/>
        </w:rPr>
        <w:t xml:space="preserve"> dalių nuostatų įgyvendinimo</w:t>
      </w:r>
      <w:r>
        <w:rPr>
          <w:rFonts w:eastAsia="Andale Sans UI"/>
          <w:sz w:val="20"/>
        </w:rPr>
        <w:t>“.</w:t>
      </w:r>
    </w:p>
  </w:footnote>
  <w:footnote w:id="3">
    <w:p>
      <w:pPr>
        <w:tabs>
          <w:tab w:val="left" w:pos="2127"/>
        </w:tabs>
        <w:jc w:val="both"/>
        <w:rPr>
          <w:rFonts w:eastAsia="Andale Sans UI"/>
          <w:sz w:val="20"/>
        </w:rPr>
      </w:pPr>
      <w:r>
        <w:rPr>
          <w:rFonts w:eastAsia="Andale Sans UI"/>
          <w:sz w:val="20"/>
          <w:vertAlign w:val="superscript"/>
        </w:rPr>
        <w:footnoteRef/>
      </w:r>
      <w:r>
        <w:rPr>
          <w:rFonts w:eastAsia="Andale Sans UI"/>
          <w:sz w:val="20"/>
        </w:rPr>
        <w:t xml:space="preserve"> </w:t>
      </w:r>
      <w:hyperlink r:id="rId1" w:history="1">
        <w:r>
          <w:rPr>
            <w:rFonts w:eastAsia="Andale Sans UI"/>
            <w:color w:val="000080"/>
            <w:sz w:val="20"/>
            <w:u w:val="single"/>
          </w:rPr>
          <w:t>Aštuonioliktosios Lietuvos Respublikos Vyriausybės programa</w:t>
        </w:r>
      </w:hyperlink>
      <w:r>
        <w:rPr>
          <w:rFonts w:eastAsia="Andale Sans UI"/>
          <w:sz w:val="20"/>
        </w:rPr>
        <w:t xml:space="preserve">, kuriai pritarta Lietuvos Respublikos Seimo 2020 m. gruodžio 11 d. nutarimu Nr. XIV-72 „Dėl </w:t>
      </w:r>
      <w:r>
        <w:rPr>
          <w:rFonts w:eastAsia="Andale Sans UI"/>
          <w:sz w:val="20"/>
          <w:shd w:val="clear" w:color="auto" w:fill="FFFFFF"/>
        </w:rPr>
        <w:t>Aštuonioliktosios Lietuvos Respublikos Vyriausybės programos</w:t>
      </w:r>
      <w:r>
        <w:rPr>
          <w:rFonts w:eastAsia="Andale Sans UI"/>
          <w:sz w:val="20"/>
        </w:rPr>
        <w:t>“.</w:t>
      </w:r>
    </w:p>
  </w:footnote>
  <w:footnote w:id="4">
    <w:p>
      <w:pPr>
        <w:tabs>
          <w:tab w:val="left" w:pos="2127"/>
        </w:tabs>
        <w:jc w:val="both"/>
        <w:rPr>
          <w:rFonts w:eastAsia="Andale Sans UI"/>
          <w:sz w:val="20"/>
        </w:rPr>
      </w:pPr>
      <w:r>
        <w:rPr>
          <w:rFonts w:eastAsia="Andale Sans UI"/>
          <w:sz w:val="20"/>
          <w:vertAlign w:val="superscript"/>
        </w:rPr>
        <w:footnoteRef/>
      </w:r>
      <w:r>
        <w:rPr>
          <w:rFonts w:eastAsia="Andale Sans UI"/>
          <w:sz w:val="20"/>
        </w:rPr>
        <w:t xml:space="preserve"> </w:t>
      </w:r>
      <w:hyperlink r:id="rId2" w:history="1">
        <w:r>
          <w:rPr>
            <w:color w:val="000080"/>
            <w:sz w:val="20"/>
            <w:u w:val="single"/>
            <w:lang w:eastAsia="lt-LT"/>
          </w:rPr>
          <w:t>Informacijos apie techninius reglamentus ir atitikties įvertinimo procedūras teikimo taisyklės</w:t>
        </w:r>
      </w:hyperlink>
      <w:r>
        <w:rPr>
          <w:sz w:val="20"/>
          <w:lang w:eastAsia="lt-LT"/>
        </w:rPr>
        <w:t>, patvirtintos Lietuvos Respublikos Vyriausybės 1999 m. gegužės 20 d. nutarimu Nr. 617 „Dėl Informacijos apie techninius reglamentus ir atitikties įvertinimo procedūras teikimo taisyklių patvirtinimo“.</w:t>
      </w:r>
    </w:p>
  </w:footnote>
  <w:footnote w:id="5">
    <w:p>
      <w:pPr>
        <w:tabs>
          <w:tab w:val="left" w:pos="2127"/>
        </w:tabs>
        <w:jc w:val="both"/>
        <w:rPr>
          <w:sz w:val="20"/>
          <w:lang w:eastAsia="lt-LT"/>
        </w:rPr>
      </w:pPr>
      <w:r>
        <w:rPr>
          <w:rFonts w:eastAsia="Andale Sans UI"/>
          <w:sz w:val="20"/>
          <w:vertAlign w:val="superscript"/>
        </w:rPr>
        <w:footnoteRef/>
      </w:r>
      <w:r>
        <w:rPr>
          <w:rFonts w:eastAsia="Andale Sans UI"/>
          <w:sz w:val="20"/>
        </w:rPr>
        <w:t xml:space="preserve"> </w:t>
      </w:r>
      <w:hyperlink r:id="rId3" w:history="1">
        <w:r>
          <w:rPr>
            <w:color w:val="000080"/>
            <w:sz w:val="20"/>
            <w:u w:val="single"/>
            <w:lang w:eastAsia="lt-LT"/>
          </w:rPr>
          <w:t>Numatomo teisinio reguliavimo poveikio vertinimo metodikos</w:t>
        </w:r>
      </w:hyperlink>
      <w:r>
        <w:rPr>
          <w:sz w:val="20"/>
          <w:lang w:eastAsia="lt-LT"/>
        </w:rPr>
        <w:t>, patvirtintos Lietuvos Respublikos Vyriausybės 2003 m. vasario 26 d. nutarimu Nr. 276 „Dėl Numatomo teisinio reguliavimo poveikio vertinimo metodikos patvirtinimo“, 4 punktas.</w:t>
      </w:r>
    </w:p>
    <w:p>
      <w:pPr>
        <w:tabs>
          <w:tab w:val="left" w:pos="2127"/>
        </w:tabs>
        <w:jc w:val="both"/>
        <w:rPr>
          <w:rFonts w:eastAsia="Andale Sans UI"/>
          <w:szCs w:val="24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both"/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center"/>
      <w:rPr>
        <w:sz w:val="23"/>
        <w:szCs w:val="23"/>
      </w:rPr>
    </w:pPr>
    <w:r>
      <w:rPr>
        <w:sz w:val="23"/>
        <w:szCs w:val="23"/>
      </w:rPr>
      <w:fldChar w:fldCharType="begin"/>
    </w:r>
    <w:r>
      <w:rPr>
        <w:sz w:val="23"/>
        <w:szCs w:val="23"/>
      </w:rPr>
      <w:instrText xml:space="preserve"> PAGE </w:instrText>
    </w:r>
    <w:r>
      <w:rPr>
        <w:sz w:val="23"/>
        <w:szCs w:val="23"/>
      </w:rPr>
      <w:fldChar w:fldCharType="separate"/>
    </w:r>
    <w:r>
      <w:rPr>
        <w:sz w:val="23"/>
        <w:szCs w:val="23"/>
      </w:rPr>
      <w:t>5</w:t>
    </w:r>
    <w:r>
      <w:rPr>
        <w:sz w:val="23"/>
        <w:szCs w:val="23"/>
      </w:rPr>
      <w:fldChar w:fldCharType="end"/>
    </w: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jc w:val="both"/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5:docId w15:val="{E45EAD54-6EE0-41A3-9D90-613C1FBB25D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495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7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179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8383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8255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2076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3705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7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13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9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15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31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1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image" Target="media/image1.png"/>
  <Relationship Id="rId12" Type="http://schemas.openxmlformats.org/officeDocument/2006/relationships/header" Target="header1.xml"/>
  <Relationship Id="rId13" Type="http://schemas.openxmlformats.org/officeDocument/2006/relationships/header" Target="header2.xml"/>
  <Relationship Id="rId14" Type="http://schemas.openxmlformats.org/officeDocument/2006/relationships/footer" Target="footer1.xml"/>
  <Relationship Id="rId15" Type="http://schemas.openxmlformats.org/officeDocument/2006/relationships/footer" Target="footer2.xml"/>
  <Relationship Id="rId16" Type="http://schemas.openxmlformats.org/officeDocument/2006/relationships/header" Target="header3.xml"/>
  <Relationship Id="rId17" Type="http://schemas.openxmlformats.org/officeDocument/2006/relationships/footer" Target="footer3.xml"/>
  <Relationship Id="rId18" Type="http://schemas.openxmlformats.org/officeDocument/2006/relationships/fontTable" Target="fontTable.xml"/>
  <Relationship Id="rId19" Type="http://schemas.openxmlformats.org/officeDocument/2006/relationships/theme" Target="theme/theme1.xml"/>
  <Relationship Id="rId2" Type="http://schemas.openxmlformats.org/officeDocument/2006/relationships/customXml" Target="../customXml/item2.xml"/>
  <Relationship Id="rId20" Type="http://schemas.openxmlformats.org/officeDocument/2006/relationships/customXml" Target="../customXml/item5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_rels/footnotes.xml.rels><?xml version="1.0" encoding="UTF-8"?>

<Relationships xmlns="http://schemas.openxmlformats.org/package/2006/relationships">
  <Relationship Id="rId1" Type="http://schemas.openxmlformats.org/officeDocument/2006/relationships/hyperlink" TargetMode="External" Target="https://www.e-tar.lt/portal/lt/legalAct/ed22bb703bc311eb8d9fe110e148c770"/>
  <Relationship Id="rId2" Type="http://schemas.openxmlformats.org/officeDocument/2006/relationships/hyperlink" TargetMode="External" Target="https://www.e-tar.lt/portal/lt/legalAct/TAR.EDD5FD371B32/asr"/>
  <Relationship Id="rId3" Type="http://schemas.openxmlformats.org/officeDocument/2006/relationships/hyperlink" TargetMode="External" Target="https://www.e-tar.lt/portal/lt/legalAct/TAR.814F485EB18B/asr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2BD2F29E5B5F542949C1C4026C45AF4" ma:contentTypeVersion="15" ma:contentTypeDescription="Create a new document." ma:contentTypeScope="" ma:versionID="0be46fb6899aee8de7252eab90945ebf">
  <xsd:schema xmlns:xsd="http://www.w3.org/2001/XMLSchema" xmlns:xs="http://www.w3.org/2001/XMLSchema" xmlns:p="http://schemas.microsoft.com/office/2006/metadata/properties" xmlns:ns1="http://schemas.microsoft.com/sharepoint/v3" xmlns:ns2="752a3dfa-8898-408b-92ab-8ef9575acc10" xmlns:ns3="8afa0e58-a02a-4d05-8508-1c92ad068056" targetNamespace="http://schemas.microsoft.com/office/2006/metadata/properties" ma:root="true" ma:fieldsID="b33e37d24b1009ed4786771c4d356162" ns1:_="" ns2:_="" ns3:_="">
    <xsd:import namespace="http://schemas.microsoft.com/sharepoint/v3"/>
    <xsd:import namespace="752a3dfa-8898-408b-92ab-8ef9575acc10"/>
    <xsd:import namespace="8afa0e58-a02a-4d05-8508-1c92ad0680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52a3dfa-8898-408b-92ab-8ef9575acc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fa0e58-a02a-4d05-8508-1c92ad06805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SharedWithUsers xmlns="8afa0e58-a02a-4d05-8508-1c92ad068056">
      <UserInfo>
        <DisplayName/>
        <AccountId xsi:nil="true"/>
        <AccountType/>
      </UserInfo>
    </SharedWithUsers>
    <MediaLengthInSeconds xmlns="752a3dfa-8898-408b-92ab-8ef9575acc10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arts xmlns="http://lrs.lt/TAIS/DocParts">
  <Part Type="pagrindine" DocPartId="afae671ba3ee467182efeeda32b97c7a" PartId="a29d6c25b58b4a2199291ecc003229f6">
    <Part Type="skirsnis" Title="DĖL LIETUVOS RESPUBLIKOS VYRIAUSYBĖS NUTARIMO „DĖL LIETUVOS RESPUBLIKOS VYRIAUSYBĖS 2021 M. BALANDŽIO 28 D. NUTARIMO NR. 313 „DĖL LIETUVOS RESPUBLIKOS INVESTICIJŲ ĮSTATYMO 15⁴, 15⁵, 15⁶ STRAIPSNIŲ IR LIETUVOS RESPUBLIKOS PELNO MOKESČIO ĮSTATYMO 58 STRAIPSNIO 16² IR 16³ DALIŲ NUOSTATŲ ĮGYVENDINIMO“ PAKEITIMO“ PROJEKTO" DocPartId="3c16a3cfcff24d8c93b91814fd90610e" PartId="ad46bb8009544300a497554ca8c30092">
      <Part Type="punktas" Nr="1" Abbr="1 p." DocPartId="1bdcd652aa2a46c6960ee0a7a902d2f4" PartId="f46233c3a02b420da9cc7e8a72b56be6"/>
      <Part Type="punktas" Nr="2" Abbr="2 p." DocPartId="583f3cbdfd7c42779636ecdd09436d71" PartId="53ae6e60932647f48fdbf62dfa62d112"/>
      <Part Type="punktas" Nr="3" Abbr="3 p." DocPartId="b1bae08fa881484bb43fa0df16659cfc" PartId="08a8edde04894c5bb08b489381f5fc23"/>
      <Part Type="punktas" Nr="4" Abbr="4 p." DocPartId="24fa385bd5234540af10eca5eb780b0c" PartId="be142343304d4008bd8bcafb5d93391c"/>
      <Part Type="punktas" Nr="5" Abbr="5 p." DocPartId="c8fa89e679e54ad3ba83dda581a81e82" PartId="c2cf27b3e9bf4f049ebdaf197e2f1cdc"/>
      <Part Type="punktas" Nr="6" Abbr="6 p." DocPartId="f609f53aa8304843a8ecde34883044ed" PartId="15c51946a0ff449cab08d7091fbfbb56"/>
      <Part Type="punktas" Nr="7" Abbr="7 p." DocPartId="e7ec5b9ba520414abe9b9c8a54bafe4e" PartId="60b085ee0d2f42d6b1dbe8d7667b4050"/>
      <Part Type="punktas" Nr="8" Abbr="8 p." DocPartId="a54d3796987b4922b4d008d068bf218a" PartId="30799ab253e14c2a96f3a0c5b55ed61c"/>
      <Part Type="punktas" Nr="9" Abbr="9 p." DocPartId="e298809de12e445892381edb06a63adc" PartId="f1ec79c2235e4c0bad2cf426881154b2"/>
      <Part Type="punktas" Nr="10" Abbr="10 p." DocPartId="fc90b231c531495ab10f71be9c014fdc" PartId="5b103285b7884593a2e6dbb194965422"/>
      <Part Type="punktas" Nr="11" Abbr="11 p." DocPartId="327ea5cde9164d6aaca8c916546044cf" PartId="5894e53ee0d54d808d26fb7c5cdd8880"/>
      <Part Type="punktas" Nr="12" Abbr="12 p." DocPartId="291dcb88fe2346de8eb0ca772d4e905e" PartId="2c2f9644bf314fe1afb32e706d798584"/>
      <Part Type="punktas" Nr="1" Abbr="1 p." Notes="Numeris ne iš eilės. Trūksta dalių? [DocDalys]" DocPartId="485b5bd904004be1a388f3177c1b468f" PartId="be48809aadf84b3bb0af0deb40850923"/>
      <Part Type="punktas" Nr="2" Abbr="2 p." DocPartId="56043d3e7c914e2eb6b0f9af2a9f9991" PartId="35eb1df6b63c429c94368bd715e385ef"/>
      <Part Type="punktas" Nr="3" Abbr="3 p." DocPartId="38c8856b31a2496bbb601bf4f783ca76" PartId="babf572252ce4b53a94efa85d1354883"/>
    </Part>
    <Part Type="skirsnis" Title="ADRESATŲ SĄRAŠAS" DocPartId="683b65d9742a4396a0903bfea66253f7" PartId="b3038322a6e14b0c82a164b85c5067f2"/>
    <Part Type="signatura" DocPartId="e8ec96401dfc49c49eec4e80cc522830" PartId="03310f625e354912bb036b024569204d"/>
  </Part>
</Parts>
</file>

<file path=customXml/itemProps1.xml><?xml version="1.0" encoding="utf-8"?>
<ds:datastoreItem xmlns:ds="http://schemas.openxmlformats.org/officeDocument/2006/customXml" ds:itemID="{4C0519F2-F9DB-42E2-85E1-7FE4BA838D2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C80A88D-A286-4575-BF99-FC08D7246C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752a3dfa-8898-408b-92ab-8ef9575acc10"/>
    <ds:schemaRef ds:uri="8afa0e58-a02a-4d05-8508-1c92ad0680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C0BA87-092B-412E-B2C6-E20FFFC625F2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8afa0e58-a02a-4d05-8508-1c92ad068056"/>
    <ds:schemaRef ds:uri="752a3dfa-8898-408b-92ab-8ef9575acc10"/>
  </ds:schemaRefs>
</ds:datastoreItem>
</file>

<file path=customXml/itemProps4.xml><?xml version="1.0" encoding="utf-8"?>
<ds:datastoreItem xmlns:ds="http://schemas.openxmlformats.org/officeDocument/2006/customXml" ds:itemID="{E4F4DEA5-C3D5-4400-BA41-DF8BC140C645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21B9107B-5165-47BF-BD43-98867BEC02C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563</Words>
  <Characters>4080</Characters>
  <Application>Microsoft Office Word</Application>
  <DocSecurity>4</DocSecurity>
  <Lines>116</Lines>
  <Paragraphs>58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KPC</Company>
  <LinksUpToDate>false</LinksUpToDate>
  <CharactersWithSpaces>4585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2024-06-04T13:13:00Z</dcterms:created>
  <dc:creator>Žygimantas Račkys</dc:creator>
  <lastModifiedBy>adlibuser</lastModifiedBy>
  <lastPrinted>2020-07-27T11:25:00Z</lastPrinted>
  <dcterms:modified xsi:type="dcterms:W3CDTF">2024-06-04T13:13:00Z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0x01010042BD2F29E5B5F542949C1C4026C45AF4</vt:lpwstr>
  </property>
  <property fmtid="{D5CDD505-2E9C-101B-9397-08002B2CF9AE}" pid="3" name="Order">
    <vt:r8>1225000</vt:r8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</Properties>
</file>