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c4ab73b771415c91e52c7018e9da8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2025-03-06 Nr. TR-81</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2023 M. RUGPJŪČIO 28 D. SPRENDIMO NR. </w:t>
          </w:r>
          <w:r>
            <w:rPr>
              <w:rFonts w:ascii="Verdana" w:hAnsi="Verdana"/>
              <w:b/>
              <w:szCs w:val="24"/>
              <w:lang w:eastAsia="lt-LT"/>
            </w:rPr>
            <w:t>1-231</w:t>
          </w:r>
          <w:r>
            <w:rPr>
              <w:rFonts w:ascii="Verdana" w:hAnsi="Verdana"/>
              <w:b/>
              <w:szCs w:val="24"/>
              <w:lang w:eastAsia="lt-LT"/>
            </w:rPr>
            <w:t xml:space="preserve"> „DĖL LAISVĖS KOVOMS ĮAMŽINTI MARIJAMPOLĖS SAVIVALDYBĖJE KOMISIJOS </w:t>
          </w:r>
          <w:r>
            <w:rPr>
              <w:rFonts w:ascii="Verdana" w:hAnsi="Verdana"/>
              <w:b/>
              <w:bCs/>
              <w:szCs w:val="24"/>
              <w:lang w:eastAsia="lt-LT"/>
            </w:rPr>
            <w:t>SUDARYMO IR JOS VEIKLOS NUOSTATŲ PATVIRTINIMO“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418" w:right="567" w:bottom="1418"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760281247ef84538839df2ba4c6d8dba"/>
            <w:lock w:val="sdtLocked"/>
            <w:richText/>
          </w:sdtPr>
          <w:sdtContent>
            <w:p>
              <w:pPr>
                <w:ind w:firstLine="720"/>
                <w:jc w:val="both"/>
                <w:rPr>
                  <w:rFonts w:ascii="Verdana" w:hAnsi="Verdana"/>
                  <w:spacing w:val="40"/>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22 straipsnio 10 dalimi, Marijampolės savivaldybės taryba </w:t>
              </w:r>
              <w:r>
                <w:rPr>
                  <w:rFonts w:ascii="Verdana" w:hAnsi="Verdana"/>
                  <w:spacing w:val="40"/>
                  <w:szCs w:val="24"/>
                  <w:lang w:eastAsia="lt-LT"/>
                </w:rPr>
                <w:t>nusprendžia:</w:t>
              </w:r>
            </w:p>
          </w:sdtContent>
        </w:sdt>
        <w:sdt>
          <w:sdtPr>
            <w:alias w:val="1 p."/>
            <w:tag w:val="part_d3a8b3074d1041e0a0b234339a030a67"/>
            <w:lock w:val="sdtLocked"/>
            <w:richText/>
          </w:sdtPr>
          <w:sdtContent>
            <w:p>
              <w:pPr>
                <w:ind w:firstLine="720"/>
                <w:jc w:val="both"/>
                <w:rPr>
                  <w:rFonts w:ascii="Verdana" w:hAnsi="Verdana"/>
                  <w:szCs w:val="24"/>
                  <w:lang w:eastAsia="lt-LT"/>
                </w:rPr>
              </w:pPr>
              <w:sdt>
                <w:sdtPr>
                  <w:alias w:val="Numeris"/>
                  <w:tag w:val="nr_d3a8b3074d1041e0a0b234339a030a67"/>
                  <w:lock w:val="sdtLocked"/>
                  <w:richText/>
                </w:sdtPr>
                <w:sdtContent>
                  <w:r>
                    <w:rPr>
                      <w:rFonts w:ascii="Verdana" w:hAnsi="Verdana"/>
                      <w:szCs w:val="24"/>
                      <w:lang w:eastAsia="lt-LT"/>
                    </w:rPr>
                    <w:t>1</w:t>
                  </w:r>
                </w:sdtContent>
              </w:sdt>
              <w:r>
                <w:rPr>
                  <w:rFonts w:ascii="Verdana" w:hAnsi="Verdana"/>
                  <w:szCs w:val="24"/>
                  <w:lang w:eastAsia="lt-LT"/>
                </w:rPr>
                <w:t xml:space="preserve">. Pakeisti Laisvės kovoms įamžinti Marijampolės savivaldybėje komisijos veiklos nuostatus, patvirtintus Marijampolės savivaldybės tarybos 2023 m. rugpjūčio 28 d. sprendimu Nr. </w:t>
              </w:r>
              <w:r>
                <w:rPr>
                  <w:rFonts w:ascii="Verdana" w:hAnsi="Verdana"/>
                  <w:szCs w:val="24"/>
                  <w:lang w:eastAsia="lt-LT"/>
                </w:rPr>
                <w:t>1-231</w:t>
              </w:r>
              <w:r>
                <w:rPr>
                  <w:rFonts w:ascii="Verdana" w:hAnsi="Verdana"/>
                  <w:szCs w:val="24"/>
                  <w:lang w:eastAsia="lt-LT"/>
                </w:rPr>
                <w:t xml:space="preserve"> „Dėl Laisvės kovoms įamžinti Marijampolės savivaldybėje komisijos sudarymo ir jos veiklos nuostatų patvirtinimo“, ir 13 punktą išdėstyti taip:</w:t>
              </w:r>
            </w:p>
            <w:sdt>
              <w:sdtPr>
                <w:alias w:val="citata"/>
                <w:tag w:val="part_7cd3747d4ded441daba5e791e6b6962a"/>
                <w:lock w:val="sdtLocked"/>
                <w:richText/>
              </w:sdtPr>
              <w:sdtContent>
                <w:sdt>
                  <w:sdtPr>
                    <w:alias w:val="13 p."/>
                    <w:tag w:val="part_ff0e26d43e9d4bd4b6b50da01a64d4f6"/>
                    <w:lock w:val="sdtLocked"/>
                    <w:richText/>
                  </w:sdtPr>
                  <w:sdtContent>
                    <w:p>
                      <w:pPr>
                        <w:shd w:val="clear" w:color="auto" w:fill="FFFFFF"/>
                        <w:ind w:firstLine="720"/>
                        <w:jc w:val="both"/>
                        <w:rPr>
                          <w:rFonts w:ascii="Verdana" w:hAnsi="Verdana"/>
                          <w:szCs w:val="24"/>
                          <w:lang w:eastAsia="lt-LT"/>
                        </w:rPr>
                      </w:pPr>
                      <w:r>
                        <w:rPr>
                          <w:rFonts w:ascii="Verdana" w:hAnsi="Verdana"/>
                          <w:szCs w:val="24"/>
                          <w:lang w:eastAsia="lt-LT"/>
                        </w:rPr>
                        <w:t>„</w:t>
                      </w:r>
                      <w:sdt>
                        <w:sdtPr>
                          <w:alias w:val="Numeris"/>
                          <w:tag w:val="nr_ff0e26d43e9d4bd4b6b50da01a64d4f6"/>
                          <w:lock w:val="sdtLocked"/>
                          <w:richText/>
                        </w:sdtPr>
                        <w:sdtContent>
                          <w:r>
                            <w:rPr>
                              <w:rFonts w:ascii="Verdana" w:hAnsi="Verdana"/>
                              <w:szCs w:val="24"/>
                              <w:lang w:eastAsia="lt-LT"/>
                            </w:rPr>
                            <w:t>13</w:t>
                          </w:r>
                        </w:sdtContent>
                      </w:sdt>
                      <w:r>
                        <w:rPr>
                          <w:rFonts w:ascii="Verdana" w:hAnsi="Verdana"/>
                          <w:szCs w:val="24"/>
                          <w:lang w:eastAsia="lt-LT"/>
                        </w:rPr>
                        <w:t xml:space="preserve">. Komisijos sprendimai yra priimami, jei už juos balsuoja daugiau kaip pusė posėdyje dalyvaujančių Komisijos narių, ir jie yra rekomendacinio pobūdžio: </w:t>
                      </w:r>
                    </w:p>
                    <w:sdt>
                      <w:sdtPr>
                        <w:alias w:val="13.1 pp."/>
                        <w:tag w:val="part_c61c7cfef2694506a8b4a4f66ba269e9"/>
                        <w:lock w:val="sdtLocked"/>
                        <w:richText/>
                      </w:sdtPr>
                      <w:sdtContent>
                        <w:p>
                          <w:pPr>
                            <w:ind w:firstLine="720"/>
                            <w:jc w:val="both"/>
                            <w:rPr>
                              <w:rFonts w:ascii="Verdana" w:hAnsi="Verdana"/>
                              <w:szCs w:val="24"/>
                              <w:lang w:eastAsia="lt-LT"/>
                            </w:rPr>
                          </w:pPr>
                          <w:sdt>
                            <w:sdtPr>
                              <w:alias w:val="Numeris"/>
                              <w:tag w:val="nr_c61c7cfef2694506a8b4a4f66ba269e9"/>
                              <w:lock w:val="sdtLocked"/>
                              <w:richText/>
                            </w:sdtPr>
                            <w:sdtContent>
                              <w:r>
                                <w:rPr>
                                  <w:rFonts w:ascii="Verdana" w:hAnsi="Verdana"/>
                                  <w:szCs w:val="24"/>
                                  <w:lang w:eastAsia="lt-LT"/>
                                </w:rPr>
                                <w:t>13.1</w:t>
                              </w:r>
                            </w:sdtContent>
                          </w:sdt>
                          <w:r>
                            <w:rPr>
                              <w:rFonts w:ascii="Verdana" w:hAnsi="Verdana"/>
                              <w:szCs w:val="24"/>
                              <w:lang w:eastAsia="lt-LT"/>
                            </w:rPr>
                            <w:t>. Jeigu balsai pasiskirsto po lygiai (laikoma, kad balsai pasiskirstė po lygiai tada, kai balsų už gauta tiek pat, kiek prieš, taip pat, kai balsų už gauta tiek pat, kiek prieš ir susilaikiusiųjų kartu sudėjus), balsuojama dar kartą.</w:t>
                          </w:r>
                        </w:p>
                      </w:sdtContent>
                    </w:sdt>
                    <w:sdt>
                      <w:sdtPr>
                        <w:alias w:val="13.2 pp."/>
                        <w:tag w:val="part_b9d4ee89c90b400ca027e5a688d373a3"/>
                        <w:lock w:val="sdtLocked"/>
                        <w:richText/>
                      </w:sdtPr>
                      <w:sdtContent>
                        <w:p>
                          <w:pPr>
                            <w:ind w:firstLine="720"/>
                            <w:jc w:val="both"/>
                            <w:rPr>
                              <w:rFonts w:ascii="Verdana" w:hAnsi="Verdana"/>
                              <w:szCs w:val="24"/>
                              <w:lang w:eastAsia="lt-LT"/>
                            </w:rPr>
                          </w:pPr>
                          <w:sdt>
                            <w:sdtPr>
                              <w:alias w:val="Numeris"/>
                              <w:tag w:val="nr_b9d4ee89c90b400ca027e5a688d373a3"/>
                              <w:lock w:val="sdtLocked"/>
                              <w:richText/>
                            </w:sdtPr>
                            <w:sdtContent>
                              <w:r>
                                <w:rPr>
                                  <w:rFonts w:ascii="Verdana" w:hAnsi="Verdana"/>
                                  <w:szCs w:val="24"/>
                                  <w:lang w:eastAsia="lt-LT"/>
                                </w:rPr>
                                <w:t>13.2</w:t>
                              </w:r>
                            </w:sdtContent>
                          </w:sdt>
                          <w:r>
                            <w:rPr>
                              <w:rFonts w:ascii="Verdana" w:hAnsi="Verdana"/>
                              <w:szCs w:val="24"/>
                              <w:lang w:eastAsia="lt-LT"/>
                            </w:rPr>
                            <w:t>. Jeigu balsavus dar kartą balsai pasiskirsto po lygiai, skelbiama pertrauka, kurios metu komisijos nariai kartu su posėdžio pirmininku aptaria nesutarimus dėl sprendimo, derina pozicijas ir siekia kompromiso:</w:t>
                          </w:r>
                        </w:p>
                        <w:sdt>
                          <w:sdtPr>
                            <w:alias w:val="13.2.1 pp."/>
                            <w:tag w:val="part_25844d94160a4f2bb41ea45aaca146f2"/>
                            <w:lock w:val="sdtLocked"/>
                            <w:richText/>
                          </w:sdtPr>
                          <w:sdtContent>
                            <w:p>
                              <w:pPr>
                                <w:ind w:firstLine="720"/>
                                <w:jc w:val="both"/>
                                <w:rPr>
                                  <w:rFonts w:ascii="Verdana" w:hAnsi="Verdana"/>
                                  <w:szCs w:val="24"/>
                                  <w:lang w:eastAsia="lt-LT"/>
                                </w:rPr>
                              </w:pPr>
                              <w:sdt>
                                <w:sdtPr>
                                  <w:alias w:val="Numeris"/>
                                  <w:tag w:val="nr_25844d94160a4f2bb41ea45aaca146f2"/>
                                  <w:lock w:val="sdtLocked"/>
                                  <w:richText/>
                                </w:sdtPr>
                                <w:sdtContent>
                                  <w:r>
                                    <w:rPr>
                                      <w:rFonts w:ascii="Verdana" w:hAnsi="Verdana"/>
                                      <w:szCs w:val="24"/>
                                      <w:lang w:eastAsia="lt-LT"/>
                                    </w:rPr>
                                    <w:t>13.2.1</w:t>
                                  </w:r>
                                </w:sdtContent>
                              </w:sdt>
                              <w:r>
                                <w:rPr>
                                  <w:rFonts w:ascii="Verdana" w:hAnsi="Verdana"/>
                                  <w:szCs w:val="24"/>
                                  <w:lang w:eastAsia="lt-LT"/>
                                </w:rPr>
                                <w:t xml:space="preserve">. pertraukos trukmė negali būti ilgesnė nei 30 minučių; </w:t>
                              </w:r>
                            </w:p>
                          </w:sdtContent>
                        </w:sdt>
                        <w:sdt>
                          <w:sdtPr>
                            <w:alias w:val="13.2.2 pp."/>
                            <w:tag w:val="part_540fb197b8194dfdb9af36a52e8dea58"/>
                            <w:lock w:val="sdtLocked"/>
                            <w:richText/>
                          </w:sdtPr>
                          <w:sdtContent>
                            <w:p>
                              <w:pPr>
                                <w:ind w:firstLine="720"/>
                                <w:jc w:val="both"/>
                                <w:rPr>
                                  <w:rFonts w:ascii="Verdana" w:hAnsi="Verdana"/>
                                  <w:szCs w:val="24"/>
                                  <w:lang w:eastAsia="lt-LT"/>
                                </w:rPr>
                              </w:pPr>
                              <w:sdt>
                                <w:sdtPr>
                                  <w:alias w:val="Numeris"/>
                                  <w:tag w:val="nr_540fb197b8194dfdb9af36a52e8dea58"/>
                                  <w:lock w:val="sdtLocked"/>
                                  <w:richText/>
                                </w:sdtPr>
                                <w:sdtContent>
                                  <w:r>
                                    <w:rPr>
                                      <w:rFonts w:ascii="Verdana" w:hAnsi="Verdana"/>
                                      <w:szCs w:val="24"/>
                                      <w:lang w:eastAsia="lt-LT"/>
                                    </w:rPr>
                                    <w:t>13.2.2</w:t>
                                  </w:r>
                                </w:sdtContent>
                              </w:sdt>
                              <w:r>
                                <w:rPr>
                                  <w:rFonts w:ascii="Verdana" w:hAnsi="Verdana"/>
                                  <w:szCs w:val="24"/>
                                  <w:lang w:eastAsia="lt-LT"/>
                                </w:rPr>
                                <w:t>. konkrečią pertraukos trukmę nustato Komisija.</w:t>
                              </w:r>
                            </w:p>
                          </w:sdtContent>
                        </w:sdt>
                      </w:sdtContent>
                    </w:sdt>
                    <w:sdt>
                      <w:sdtPr>
                        <w:alias w:val="13.3 pp."/>
                        <w:tag w:val="part_b720a0f721114ee28c012503250989e6"/>
                        <w:lock w:val="sdtLocked"/>
                        <w:richText/>
                      </w:sdtPr>
                      <w:sdtContent>
                        <w:p>
                          <w:pPr>
                            <w:ind w:firstLine="720"/>
                            <w:jc w:val="both"/>
                            <w:rPr>
                              <w:rFonts w:ascii="Verdana" w:hAnsi="Verdana"/>
                              <w:szCs w:val="24"/>
                              <w:lang w:eastAsia="lt-LT"/>
                            </w:rPr>
                          </w:pPr>
                          <w:sdt>
                            <w:sdtPr>
                              <w:alias w:val="Numeris"/>
                              <w:tag w:val="nr_b720a0f721114ee28c012503250989e6"/>
                              <w:lock w:val="sdtLocked"/>
                              <w:richText/>
                            </w:sdtPr>
                            <w:sdtContent>
                              <w:r>
                                <w:rPr>
                                  <w:rFonts w:ascii="Verdana" w:hAnsi="Verdana"/>
                                  <w:szCs w:val="24"/>
                                  <w:lang w:eastAsia="lt-LT"/>
                                </w:rPr>
                                <w:t>13.3</w:t>
                              </w:r>
                            </w:sdtContent>
                          </w:sdt>
                          <w:r>
                            <w:rPr>
                              <w:rFonts w:ascii="Verdana" w:hAnsi="Verdana"/>
                              <w:szCs w:val="24"/>
                              <w:lang w:eastAsia="lt-LT"/>
                            </w:rPr>
                            <w:t>. Po pertraukos balsavimas tęsiamas balsuojant trečią kartą. Jei ir po šio balsavimo balsai pasiskirsto po lygiai, laikoma, kad sprendimas nepriimtas.“.</w:t>
                          </w:r>
                        </w:p>
                      </w:sdtContent>
                    </w:sdt>
                  </w:sdtContent>
                </w:sdt>
              </w:sdtContent>
            </w:sdt>
          </w:sdtContent>
        </w:sdt>
        <w:sdt>
          <w:sdtPr>
            <w:alias w:val="2 p."/>
            <w:tag w:val="part_bd68c14211a841d8973686671ee59184"/>
            <w:lock w:val="sdtLocked"/>
            <w:richText/>
          </w:sdtPr>
          <w:sdtContent>
            <w:p>
              <w:pPr>
                <w:ind w:firstLine="720"/>
                <w:jc w:val="both"/>
                <w:rPr>
                  <w:rFonts w:ascii="Verdana" w:hAnsi="Verdana"/>
                  <w:szCs w:val="24"/>
                  <w:lang w:eastAsia="lt-LT"/>
                </w:rPr>
              </w:pPr>
              <w:sdt>
                <w:sdtPr>
                  <w:alias w:val="Numeris"/>
                  <w:tag w:val="nr_bd68c14211a841d8973686671ee59184"/>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szCs w:val="24"/>
                  <w:shd w:val="clear" w:color="auto" w:fill="FFFFFF"/>
                  <w:lang w:eastAsia="lt-LT"/>
                </w:rPr>
                <w:t>, jeigu įstatymai nenustato kitaip,</w:t>
              </w:r>
              <w:r>
                <w:rPr>
                  <w:szCs w:val="24"/>
                  <w:shd w:val="clear" w:color="auto" w:fill="FFFFFF"/>
                  <w:lang w:eastAsia="lt-LT"/>
                </w:rPr>
                <w:t xml:space="preserve"> </w:t>
              </w:r>
              <w:r>
                <w:rPr>
                  <w:rFonts w:ascii="Verdana" w:hAnsi="Verdana"/>
                  <w:szCs w:val="24"/>
                  <w:lang w:eastAsia="lt-LT"/>
                </w:rPr>
                <w:t xml:space="preserve">gali būti skundžiamas Lietuvos administracinių ginčų komisijos Kauno apygardos skyriui (adresu: </w:t>
              </w:r>
              <w:r>
                <w:rPr>
                  <w:rFonts w:ascii="Verdana" w:hAnsi="Verdana" w:cs="Arial"/>
                  <w:szCs w:val="24"/>
                  <w:shd w:val="clear" w:color="auto" w:fill="FFFFFF"/>
                  <w:lang w:eastAsia="lt-LT"/>
                </w:rPr>
                <w:t>L. Sapiegos g. 10, 44251 Kaunas)</w:t>
              </w:r>
              <w:r>
                <w:rPr>
                  <w:rFonts w:ascii="Verdana" w:hAnsi="Verdana"/>
                  <w:szCs w:val="24"/>
                  <w:lang w:eastAsia="lt-LT"/>
                </w:rPr>
                <w:t xml:space="preserve"> Lietuvos Respublikos ikiteisminio administracinių ginčų nagrinėjimo tvarkos įstatymo nustatyta tvarka arba </w:t>
              </w:r>
              <w:r>
                <w:rPr>
                  <w:rFonts w:ascii="Verdana" w:hAnsi="Verdana"/>
                  <w:szCs w:val="24"/>
                  <w:shd w:val="clear" w:color="auto" w:fill="FFFFFF"/>
                  <w:lang w:eastAsia="lt-LT"/>
                </w:rPr>
                <w:t xml:space="preserve">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w:t>
              </w:r>
              <w:r>
                <w:rPr>
                  <w:rFonts w:ascii="Verdana" w:hAnsi="Verdana"/>
                  <w:szCs w:val="24"/>
                  <w:bdr w:val="none" w:sz="0" w:space="0" w:color="auto" w:frame="1"/>
                  <w:shd w:val="clear" w:color="auto" w:fill="FFFFFF"/>
                  <w:lang w:eastAsia="lt-LT"/>
                </w:rPr>
                <w:t>https://e.teismas.lt</w:t>
              </w:r>
              <w:r>
                <w:rPr>
                  <w:rFonts w:ascii="Verdana" w:hAnsi="Verdana"/>
                  <w:szCs w:val="24"/>
                  <w:shd w:val="clear" w:color="auto" w:fill="FFFFFF"/>
                  <w:lang w:eastAsia="lt-LT"/>
                </w:rPr>
                <w:t>) Lietuvos Respublikos administracinių bylų teisenos įstatymu nustatyta tvarka.</w:t>
              </w:r>
            </w:p>
            <w:p>
              <w:pPr>
                <w:rPr>
                  <w:rFonts w:ascii="Verdana" w:hAnsi="Verdana"/>
                  <w:szCs w:val="24"/>
                  <w:lang w:eastAsia="lt-LT"/>
                </w:rPr>
              </w:pPr>
            </w:p>
            <w:p>
              <w:pPr>
                <w:rPr>
                  <w:rFonts w:ascii="Verdana" w:hAnsi="Verdana"/>
                  <w:szCs w:val="24"/>
                  <w:lang w:eastAsia="lt-LT"/>
                </w:rPr>
                <w:sectPr>
                  <w:type w:val="continuous"/>
                  <w:pgSz w:w="11906" w:h="16838" w:code="9"/>
                  <w:pgMar w:top="1701" w:right="567" w:bottom="1418"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Zina Eklerienė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418" w:right="567" w:bottom="1418"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66bccf4a6da1494ca0fa1dfa042f23b1"/>
            <w:lock w:val="sdtLocked"/>
            <w:richText/>
          </w:sdtPr>
          <w:sdtContent>
            <w:p>
              <w:pPr>
                <w:jc w:val="center"/>
                <w:rPr>
                  <w:rFonts w:ascii="Verdana" w:hAnsi="Verdana"/>
                  <w:b/>
                  <w:szCs w:val="24"/>
                  <w:lang w:eastAsia="lt-LT"/>
                </w:rPr>
              </w:pPr>
              <w:sdt>
                <w:sdtPr>
                  <w:alias w:val="Pavadinimas"/>
                  <w:tag w:val="title_66bccf4a6da1494ca0fa1dfa042f23b1"/>
                  <w:lock w:val="sdtLocked"/>
                  <w:richText/>
                </w:sdtPr>
                <w:sdtContent>
                  <w:r>
                    <w:rPr>
                      <w:rFonts w:ascii="Verdana" w:hAnsi="Verdana"/>
                      <w:b/>
                      <w:szCs w:val="24"/>
                      <w:lang w:eastAsia="lt-LT"/>
                    </w:rPr>
                    <w:t>MARIJAMPOLĖS SAVIVALDYBĖS ADMINISTRACIJOS</w:t>
                  </w:r>
                </w:sdtContent>
              </w:sdt>
            </w:p>
          </w:sdtContent>
        </w:sdt>
        <w:sdt>
          <w:sdtPr>
            <w:alias w:val="skyrius"/>
            <w:tag w:val="part_d5096856b1654446b1f85aaab607385c"/>
            <w:lock w:val="sdtLocked"/>
            <w:richText/>
          </w:sdtPr>
          <w:sdtContent>
            <w:p>
              <w:pPr>
                <w:jc w:val="center"/>
                <w:rPr>
                  <w:rFonts w:ascii="Verdana" w:hAnsi="Verdana"/>
                  <w:szCs w:val="24"/>
                  <w:lang w:eastAsia="lt-LT"/>
                </w:rPr>
              </w:pPr>
              <w:r>
                <w:rPr>
                  <w:rFonts w:ascii="Verdana" w:hAnsi="Verdana"/>
                  <w:b/>
                  <w:szCs w:val="24"/>
                  <w:lang w:eastAsia="lt-LT"/>
                </w:rPr>
                <w:t>BENDRŲJŲ REIKALŲ SKYRIUS</w:t>
              </w:r>
            </w:p>
            <w:p>
              <w:pPr>
                <w:tabs>
                  <w:tab w:val="left" w:pos="5557"/>
                  <w:tab w:val="left" w:pos="6840"/>
                  <w:tab w:val="left" w:pos="7020"/>
                </w:tabs>
                <w:jc w:val="center"/>
                <w:rPr>
                  <w:rFonts w:ascii="Verdana" w:hAnsi="Verdana"/>
                  <w:szCs w:val="24"/>
                  <w:lang w:eastAsia="lt-LT"/>
                </w:rPr>
              </w:pPr>
            </w:p>
            <w:sdt>
              <w:sdtPr>
                <w:alias w:val="Pavadinimas"/>
                <w:tag w:val="title_d5096856b1654446b1f85aaab607385c"/>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2023 M. RUGPJŪČIO 28 D. SPRENDIMO NR. </w:t>
                  </w:r>
                  <w:r>
                    <w:rPr>
                      <w:rFonts w:ascii="Verdana" w:hAnsi="Verdana"/>
                      <w:b/>
                      <w:szCs w:val="24"/>
                      <w:lang w:eastAsia="lt-LT"/>
                    </w:rPr>
                    <w:t>1-231</w:t>
                  </w:r>
                  <w:r>
                    <w:rPr>
                      <w:rFonts w:ascii="Verdana" w:hAnsi="Verdana"/>
                      <w:b/>
                      <w:szCs w:val="24"/>
                      <w:lang w:eastAsia="lt-LT"/>
                    </w:rPr>
                    <w:t xml:space="preserve"> „DĖL LAISVĖS KOVOMS ĮAMŽINTI MARIJAMPOLĖS SAVIVALDYBĖJE KOMISIJOS </w:t>
                  </w:r>
                  <w:r>
                    <w:rPr>
                      <w:rFonts w:ascii="Verdana" w:hAnsi="Verdana"/>
                      <w:b/>
                      <w:bCs/>
                      <w:szCs w:val="24"/>
                      <w:lang w:eastAsia="lt-LT"/>
                    </w:rPr>
                    <w:t>SUDARYMO IR JOS VEIKLOS NUOSTATŲ PATVIRTINIMO“ PAKEITIMO</w:t>
                  </w:r>
                </w:p>
              </w:sdtContent>
            </w:sdt>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jc w:val="both"/>
                      <w:rPr>
                        <w:rFonts w:ascii="Verdana" w:hAnsi="Verdana"/>
                        <w:bCs/>
                        <w:szCs w:val="24"/>
                        <w:lang w:eastAsia="lt-LT"/>
                      </w:rPr>
                    </w:pPr>
                    <w:r>
                      <w:rPr>
                        <w:rFonts w:ascii="Verdana" w:hAnsi="Verdana"/>
                        <w:bCs/>
                        <w:szCs w:val="24"/>
                        <w:lang w:eastAsia="lt-LT"/>
                      </w:rPr>
                      <w:t xml:space="preserve">Dėl Marijampolės savivaldybės tarybos 2023 m. rugpjūčio 28 d. sprendimo Nr. </w:t>
                    </w:r>
                    <w:r>
                      <w:rPr>
                        <w:rFonts w:ascii="Verdana" w:hAnsi="Verdana"/>
                        <w:bCs/>
                        <w:szCs w:val="24"/>
                        <w:lang w:eastAsia="lt-LT"/>
                      </w:rPr>
                      <w:t>1-231</w:t>
                    </w:r>
                    <w:r>
                      <w:rPr>
                        <w:rFonts w:ascii="Verdana" w:hAnsi="Verdana"/>
                        <w:bCs/>
                        <w:szCs w:val="24"/>
                        <w:lang w:eastAsia="lt-LT"/>
                      </w:rPr>
                      <w:t xml:space="preserve"> „Dėl Laisvės kovoms įamžinti Marijampolės savivaldybėje komisijos sudarymo ir jos veiklos nuostatų patvirtinimo“ pakeitimo</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Pasikeitus Vietos savivaldos įstatymo nuostatoms dėl balsavimo priimant sprendimus, reikia patikslinti </w:t>
                    </w:r>
                    <w:r>
                      <w:rPr>
                        <w:rFonts w:ascii="Verdana" w:hAnsi="Verdana"/>
                        <w:bCs/>
                        <w:szCs w:val="24"/>
                        <w:lang w:eastAsia="lt-LT"/>
                      </w:rPr>
                      <w:t xml:space="preserve">Laisvės kovoms įamžinti Marijampolės savivaldybėje </w:t>
                    </w:r>
                    <w:r>
                      <w:rPr>
                        <w:rFonts w:ascii="Verdana" w:hAnsi="Verdana"/>
                        <w:szCs w:val="24"/>
                        <w:lang w:eastAsia="lt-LT"/>
                      </w:rPr>
                      <w:t xml:space="preserve">komisijos nuostatus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Sprendimas neturi įtakos kitiems teisės aktams. </w:t>
                    </w:r>
                  </w:p>
                  <w:p>
                    <w:pPr>
                      <w:jc w:val="both"/>
                      <w:rPr>
                        <w:rFonts w:ascii="Verdana" w:hAnsi="Verdana"/>
                        <w:strike/>
                        <w:szCs w:val="24"/>
                        <w:lang w:eastAsia="lt-LT"/>
                      </w:rPr>
                    </w:pPr>
                    <w:r>
                      <w:rPr>
                        <w:rFonts w:ascii="Verdana" w:hAnsi="Verdana"/>
                        <w:szCs w:val="24"/>
                        <w:lang w:eastAsia="lt-LT"/>
                      </w:rPr>
                      <w:t>Komisijos nuostatai atitiks galiojantį teisinį reglamentavimą</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Biudžeto lėšų poreikis priklausys nuo komisijos posėdžių ir tarybos narių, turinčių teisę gauti darbo užmokestį už darbą komisijose, skaičiaus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Komisijos sekretorė Zina Eklerienė, Bendrųjų reikalų skyriaus vyriausioji specialistė (kalbos tvarkytoja)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Bendrųjų reikalų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Vilija Vainalavičienė</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Komisijos nariams</w:t>
                    </w:r>
                  </w:p>
                </w:tc>
              </w:tr>
            </w:tbl>
            <w:p>
              <w:pPr>
                <w:rPr>
                  <w:szCs w:val="24"/>
                  <w:lang w:eastAsia="lt-LT"/>
                </w:rPr>
              </w:pPr>
            </w:p>
          </w:sdtContent>
        </w:sdt>
        <w:sdt>
          <w:sdtPr>
            <w:alias w:val="signatura"/>
            <w:tag w:val="part_33471670d151417fa6ece26af75a7f5a"/>
            <w:lock w:val="sdtLocked"/>
            <w:richText/>
          </w:sdtPr>
          <w:sdtContent>
            <w:p>
              <w:pPr>
                <w:jc w:val="center"/>
                <w:rPr>
                  <w:rFonts w:ascii="Verdana" w:hAnsi="Verdana"/>
                  <w:szCs w:val="24"/>
                  <w:lang w:eastAsia="lt-LT"/>
                </w:rPr>
              </w:pPr>
              <w:r>
                <w:rPr>
                  <w:rFonts w:ascii="Verdana" w:hAnsi="Verdana"/>
                  <w:szCs w:val="24"/>
                  <w:lang w:eastAsia="lt-LT"/>
                </w:rPr>
                <w:t>________________________</w:t>
              </w:r>
            </w:p>
          </w:sdtContent>
        </w:sdt>
      </w:sdtContent>
    </w:sdt>
    <w:sectPr>
      <w:pgSz w:w="11906" w:h="16838" w:code="9"/>
      <w:pgMar w:top="851" w:right="567" w:bottom="567"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B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1B4041FE-9590-4B31-805C-E35521407D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6" Type="http://schemas.openxmlformats.org/officeDocument/2006/relationships/header" Target="header4.xml"/>
  <Relationship Id="rId17" Type="http://schemas.openxmlformats.org/officeDocument/2006/relationships/customXml" Target="../customXml/item1.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1fd8fbc3af4d468cab42a42e2b89b3" PartId="bfc4ab73b771415c91e52c7018e9da84">
    <Part Type="preambule" DocPartId="401fec94d6fe40d5b1e510b42972c729" PartId="760281247ef84538839df2ba4c6d8dba"/>
    <Part Type="punktas" Nr="1" Abbr="1 p." DocPartId="b87631f2b51d417d9be0221386f637f2" PartId="d3a8b3074d1041e0a0b234339a030a67">
      <Part Type="citata" DocPartId="ebec020c60a5440981ca0dfe15c4badb" PartId="7cd3747d4ded441daba5e791e6b6962a">
        <Part Type="punktas" Nr="13" Abbr="13 p." DocPartId="8d8978c10b804ffbbee0a4a9eac2855d" PartId="ff0e26d43e9d4bd4b6b50da01a64d4f6">
          <Part Type="papunktis" Nr="13.1" Abbr="13.1 pp." DocPartId="99108648f3c347fd888de192bbb89a24" PartId="c61c7cfef2694506a8b4a4f66ba269e9"/>
          <Part Type="papunktis" Nr="13.2" Abbr="13.2 pp." DocPartId="ddd205accb7e493681df776c7bd41b3e" PartId="b9d4ee89c90b400ca027e5a688d373a3">
            <Part Type="papunktis" Nr="13.2.1" Abbr="13.2.1 pp." DocPartId="2d26c2d816c240318ec45ef3dc0f6a3d" PartId="25844d94160a4f2bb41ea45aaca146f2"/>
            <Part Type="papunktis" Nr="13.2.2" Abbr="13.2.2 pp." DocPartId="55b2803558a145ccaeab5ac5b841ba36" PartId="540fb197b8194dfdb9af36a52e8dea58"/>
          </Part>
          <Part Type="papunktis" Nr="13.3" Abbr="13.3 pp." DocPartId="aaf2839d58f44ec38ca7fb94ad337965" PartId="b720a0f721114ee28c012503250989e6"/>
        </Part>
      </Part>
    </Part>
    <Part Type="punktas" Nr="2" Abbr="2 p." DocPartId="3903656966bd4a0ba399fb42d81637b5" PartId="bd68c14211a841d8973686671ee59184"/>
    <Part Type="skirsnis" Title="MARIJAMPOLĖS SAVIVALDYBĖS ADMINISTRACIJOS" DocPartId="4a26e73c328b428a96f7176b767f4d4c" PartId="66bccf4a6da1494ca0fa1dfa042f23b1"/>
    <Part Type="skyrius" Nr="999" Title="AIŠKINAMASIS RAŠTAS DĖL MARIJAMPOLĖS SAVIVALDYBĖS TARYBOS 2023 M. RUGPJŪČIO 28 D. SPRENDIMO NR. 1-231 „DĖL LAISVĖS KOVOMS ĮAMŽINTI MARIJAMPOLĖS SAVIVALDYBĖJE KOMISIJOS SUDARYMO IR JOS VEIKLOS NUOSTATŲ PATVIRTINIMO“ PAKEITIMO" DocPartId="df76d2b9246d45a3b2bff1af0ff97ccc" PartId="d5096856b1654446b1f85aaab607385c"/>
    <Part Type="signatura" DocPartId="0ae5f26906b14ef5b60171cc810ed581" PartId="33471670d151417fa6ece26af75a7f5a"/>
  </Part>
</Parts>
</file>

<file path=customXml/itemProps1.xml><?xml version="1.0" encoding="utf-8"?>
<ds:datastoreItem xmlns:ds="http://schemas.openxmlformats.org/officeDocument/2006/customXml" ds:itemID="{AA507078-81BC-4E9C-B26E-C40671576C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591</Words>
  <Characters>4257</Characters>
  <Application>Microsoft Office Word</Application>
  <DocSecurity>4</DocSecurity>
  <Lines>185</Lines>
  <Paragraphs>51</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4797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2025-03-06T15:58:00Z</dcterms:created>
  <dc:creator>Giedrė Česnavičiūtė</dc:creator>
  <lastModifiedBy>adlibuser</lastModifiedBy>
  <lastPrinted>1899-12-31T22:00:00Z</lastPrinted>
  <dcterms:modified xsi:type="dcterms:W3CDTF">2025-03-06T15:58:00Z</dcterms:modified>
  <revision>2</revision>
  <dc:title/>
</coreProperties>
</file>