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ae29fff55704135bc9b831097ae2dbb"/>
        <w:lock w:val="sdtLocked"/>
        <w:richText/>
      </w:sdtPr>
      <w:sdtContent>
        <w:p>
          <w:pPr>
            <w:jc w:val="center"/>
            <w:rPr>
              <w:b/>
              <w:bCs/>
              <w:caps/>
              <w:color w:val="000000"/>
              <w:sz w:val="27"/>
              <w:szCs w:val="27"/>
              <w:lang w:eastAsia="lt-LT"/>
            </w:rPr>
          </w:pPr>
        </w:p>
        <w:p>
          <w:pPr>
            <w:spacing w:line="276" w:lineRule="auto"/>
            <w:ind w:firstLine="2880"/>
            <w:jc w:val="right"/>
            <w:rPr>
              <w:color w:val="000000"/>
              <w:szCs w:val="24"/>
              <w:lang w:eastAsia="lt-LT"/>
            </w:rPr>
          </w:pPr>
          <w:r>
            <w:rPr>
              <w:b/>
              <w:bCs/>
              <w:color w:val="000000"/>
              <w:szCs w:val="24"/>
              <w:lang w:eastAsia="lt-LT"/>
            </w:rPr>
            <w:t>Projektas</w:t>
          </w:r>
        </w:p>
        <w:p>
          <w:pPr>
            <w:rPr>
              <w:sz w:val="18"/>
              <w:szCs w:val="18"/>
            </w:rPr>
          </w:pPr>
        </w:p>
        <w:p>
          <w:pPr>
            <w:jc w:val="center"/>
            <w:rPr>
              <w:b/>
              <w:bCs/>
              <w:caps/>
              <w:color w:val="000000"/>
              <w:sz w:val="27"/>
              <w:szCs w:val="27"/>
              <w:lang w:eastAsia="lt-LT"/>
            </w:rPr>
          </w:pPr>
        </w:p>
        <w:p>
          <w:pPr>
            <w:jc w:val="center"/>
            <w:rPr>
              <w:b/>
              <w:bCs/>
              <w:caps/>
              <w:color w:val="000000"/>
              <w:sz w:val="27"/>
              <w:szCs w:val="27"/>
              <w:lang w:eastAsia="lt-LT"/>
            </w:rPr>
          </w:pPr>
        </w:p>
        <w:p>
          <w:pPr>
            <w:jc w:val="center"/>
            <w:rPr>
              <w:color w:val="000000"/>
              <w:szCs w:val="24"/>
              <w:lang w:eastAsia="lt-LT"/>
            </w:rPr>
          </w:pPr>
          <w:r>
            <w:rPr>
              <w:b/>
              <w:bCs/>
              <w:caps/>
              <w:color w:val="000000"/>
              <w:szCs w:val="24"/>
              <w:lang w:eastAsia="lt-LT"/>
            </w:rPr>
            <w:t>LIETUVOS RESPUBLIKOS</w:t>
          </w:r>
        </w:p>
        <w:p>
          <w:pPr>
            <w:spacing w:line="276" w:lineRule="auto"/>
            <w:jc w:val="center"/>
            <w:rPr>
              <w:color w:val="000000"/>
              <w:szCs w:val="24"/>
              <w:lang w:eastAsia="lt-LT"/>
            </w:rPr>
          </w:pPr>
          <w:r>
            <w:rPr>
              <w:b/>
              <w:bCs/>
              <w:caps/>
              <w:color w:val="000000"/>
              <w:szCs w:val="24"/>
              <w:lang w:eastAsia="lt-LT"/>
            </w:rPr>
            <w:t>Finansinės APSKAITOS ĮSTATYMO NR. IX-574 7 STRAIPSNIo PAKEITIMO ĮSTATYMAS</w:t>
          </w:r>
        </w:p>
        <w:p>
          <w:pPr>
            <w:rPr>
              <w:sz w:val="18"/>
              <w:szCs w:val="18"/>
            </w:rPr>
          </w:pPr>
        </w:p>
        <w:p>
          <w:pPr>
            <w:ind w:firstLine="67"/>
            <w:jc w:val="center"/>
            <w:rPr>
              <w:color w:val="000000"/>
              <w:sz w:val="27"/>
              <w:szCs w:val="27"/>
              <w:lang w:eastAsia="lt-LT"/>
            </w:rPr>
          </w:pPr>
        </w:p>
        <w:p>
          <w:pPr>
            <w:jc w:val="center"/>
            <w:rPr>
              <w:color w:val="000000"/>
              <w:sz w:val="27"/>
              <w:szCs w:val="27"/>
              <w:lang w:eastAsia="lt-LT"/>
            </w:rPr>
          </w:pPr>
          <w:r>
            <w:rPr>
              <w:color w:val="000000"/>
              <w:sz w:val="22"/>
              <w:szCs w:val="22"/>
              <w:lang w:eastAsia="lt-LT"/>
            </w:rPr>
            <w:t xml:space="preserve">2023 m.                        d. Nr. </w:t>
          </w:r>
        </w:p>
        <w:p>
          <w:pPr>
            <w:jc w:val="center"/>
            <w:rPr>
              <w:color w:val="000000"/>
              <w:sz w:val="27"/>
              <w:szCs w:val="27"/>
              <w:lang w:eastAsia="lt-LT"/>
            </w:rPr>
          </w:pPr>
          <w:r>
            <w:rPr>
              <w:color w:val="000000"/>
              <w:sz w:val="22"/>
              <w:szCs w:val="22"/>
              <w:lang w:eastAsia="lt-LT"/>
            </w:rPr>
            <w:t>Vilnius</w:t>
          </w:r>
        </w:p>
        <w:p>
          <w:pPr>
            <w:ind w:firstLine="57"/>
            <w:jc w:val="center"/>
            <w:rPr>
              <w:color w:val="000000"/>
              <w:sz w:val="27"/>
              <w:szCs w:val="27"/>
              <w:lang w:eastAsia="lt-LT"/>
            </w:rPr>
          </w:pPr>
        </w:p>
        <w:p>
          <w:pPr>
            <w:ind w:firstLine="67"/>
            <w:rPr>
              <w:color w:val="000000"/>
              <w:sz w:val="27"/>
              <w:szCs w:val="27"/>
              <w:lang w:eastAsia="lt-LT"/>
            </w:rPr>
          </w:pPr>
        </w:p>
        <w:sdt>
          <w:sdtPr>
            <w:alias w:val="1 str."/>
            <w:tag w:val="part_16f6d9222be943b18cc0dd3d6255c0df"/>
            <w:lock w:val="sdtLocked"/>
            <w:richText/>
          </w:sdtPr>
          <w:sdtContent>
            <w:p>
              <w:pPr>
                <w:spacing w:line="360" w:lineRule="auto"/>
                <w:ind w:firstLine="720"/>
                <w:jc w:val="both"/>
                <w:rPr>
                  <w:color w:val="000000"/>
                  <w:szCs w:val="24"/>
                  <w:lang w:eastAsia="lt-LT"/>
                </w:rPr>
              </w:pPr>
              <w:sdt>
                <w:sdtPr>
                  <w:alias w:val="Numeris"/>
                  <w:tag w:val="nr_16f6d9222be943b18cc0dd3d6255c0df"/>
                  <w:lock w:val="sdtLocked"/>
                  <w:richText/>
                </w:sdtPr>
                <w:sdtContent>
                  <w:r>
                    <w:rPr>
                      <w:b/>
                      <w:bCs/>
                      <w:szCs w:val="24"/>
                    </w:rPr>
                    <w:t>1</w:t>
                  </w:r>
                </w:sdtContent>
              </w:sdt>
              <w:r>
                <w:rPr>
                  <w:b/>
                  <w:bCs/>
                  <w:szCs w:val="24"/>
                </w:rPr>
                <w:t xml:space="preserve"> straipsnis. </w:t>
              </w:r>
              <w:sdt>
                <w:sdtPr>
                  <w:alias w:val="Pavadinimas"/>
                  <w:tag w:val="title_16f6d9222be943b18cc0dd3d6255c0df"/>
                  <w:lock w:val="sdtLocked"/>
                  <w:richText/>
                </w:sdtPr>
                <w:sdtContent>
                  <w:r>
                    <w:rPr>
                      <w:b/>
                      <w:bCs/>
                      <w:szCs w:val="24"/>
                    </w:rPr>
                    <w:t>7</w:t>
                  </w:r>
                  <w:r>
                    <w:rPr>
                      <w:b/>
                      <w:bCs/>
                      <w:color w:val="000000"/>
                      <w:szCs w:val="24"/>
                      <w:lang w:eastAsia="lt-LT"/>
                    </w:rPr>
                    <w:t xml:space="preserve"> straipsnio pakeitimas </w:t>
                  </w:r>
                </w:sdtContent>
              </w:sdt>
            </w:p>
            <w:sdt>
              <w:sdtPr>
                <w:alias w:val="1 str. 1 d."/>
                <w:tag w:val="part_45ae4a4c3f184327b9b5fa082f4bd825"/>
                <w:lock w:val="sdtLocked"/>
                <w:richText/>
              </w:sdtPr>
              <w:sdtContent>
                <w:p>
                  <w:pPr>
                    <w:spacing w:line="336" w:lineRule="auto"/>
                    <w:ind w:firstLine="720"/>
                    <w:jc w:val="both"/>
                    <w:rPr>
                      <w:color w:val="000000"/>
                      <w:szCs w:val="24"/>
                      <w:lang w:eastAsia="lt-LT"/>
                    </w:rPr>
                  </w:pPr>
                  <w:r>
                    <w:rPr>
                      <w:color w:val="000000"/>
                      <w:szCs w:val="24"/>
                      <w:lang w:eastAsia="lt-LT"/>
                    </w:rPr>
                    <w:t>Pakeisti 7 straipsnio 1 dalies 5 punktą ir jį išdėstyti taip:</w:t>
                  </w:r>
                </w:p>
                <w:sdt>
                  <w:sdtPr>
                    <w:alias w:val="citata"/>
                    <w:tag w:val="part_9d3618480af54ea9a4c119fbb3eb2e09"/>
                    <w:lock w:val="sdtLocked"/>
                    <w:richText/>
                  </w:sdtPr>
                  <w:sdtContent>
                    <w:sdt>
                      <w:sdtPr>
                        <w:alias w:val="5 p."/>
                        <w:tag w:val="part_4e08f870be9046768a9a49fe2a585cce"/>
                        <w:lock w:val="sdtLocked"/>
                        <w:richText/>
                      </w:sdtPr>
                      <w:sdtContent>
                        <w:p>
                          <w:pPr>
                            <w:spacing w:line="336" w:lineRule="auto"/>
                            <w:ind w:firstLine="720"/>
                            <w:jc w:val="both"/>
                            <w:rPr>
                              <w:szCs w:val="24"/>
                            </w:rPr>
                          </w:pPr>
                          <w:r>
                            <w:rPr>
                              <w:szCs w:val="24"/>
                              <w:lang w:eastAsia="lt-LT"/>
                            </w:rPr>
                            <w:t>„</w:t>
                          </w:r>
                          <w:sdt>
                            <w:sdtPr>
                              <w:alias w:val="Numeris"/>
                              <w:tag w:val="nr_4e08f870be9046768a9a49fe2a585cce"/>
                              <w:lock w:val="sdtLocked"/>
                              <w:richText/>
                            </w:sdtPr>
                            <w:sdtContent>
                              <w:r>
                                <w:rPr>
                                  <w:szCs w:val="24"/>
                                </w:rPr>
                                <w:t>5</w:t>
                              </w:r>
                            </w:sdtContent>
                          </w:sdt>
                          <w:r>
                            <w:rPr>
                              <w:szCs w:val="24"/>
                            </w:rPr>
                            <w:t>) ūkinės operacijos rezultatas pinigine ir (arba) kiekybine išraiška. Taikant Lietuvos Respublikos atsiskaitymų grynaisiais pinigais apvalinimo įstatymą, apskaitos dokumentuose, išskyrus PVM sąskaitoje faktūroje, be kitų rekvizitų, turi būti nurodoma apvalinimo suma, kuri lygi skirtumui tarp bendros mokėtinos sumos</w:t>
                          </w:r>
                          <w:r>
                            <w:rPr>
                              <w:color w:val="000000"/>
                              <w:szCs w:val="24"/>
                              <w:lang w:eastAsia="lt-LT"/>
                            </w:rPr>
                            <w:t xml:space="preserve"> už vienu metu grąžinamas prekes (prekę), įsigyjamas ar parduodamas prekes (paslaugas)</w:t>
                          </w:r>
                          <w:r>
                            <w:rPr>
                              <w:szCs w:val="24"/>
                            </w:rPr>
                            <w:t xml:space="preserve"> ir bendros mokėtinos sumos pritaikius apvalinimą, ir bendra mokėtina suma pritaikius apvalinimą. Kai ūkinės operacijos rezultatas nurodomas kiekybine išraiška, turi būti nurodyti mato vienetai;“.</w:t>
                          </w:r>
                        </w:p>
                        <w:p>
                          <w:pPr>
                            <w:spacing w:line="336" w:lineRule="auto"/>
                            <w:ind w:firstLine="720"/>
                            <w:jc w:val="both"/>
                            <w:rPr>
                              <w:szCs w:val="24"/>
                            </w:rPr>
                          </w:pPr>
                        </w:p>
                      </w:sdtContent>
                    </w:sdt>
                  </w:sdtContent>
                </w:sdt>
              </w:sdtContent>
            </w:sdt>
          </w:sdtContent>
        </w:sdt>
        <w:sdt>
          <w:sdtPr>
            <w:alias w:val="2 str."/>
            <w:tag w:val="part_abaf9499161e4d40a14ebea44f9a8d18"/>
            <w:lock w:val="sdtLocked"/>
            <w:richText/>
          </w:sdtPr>
          <w:sdtContent>
            <w:p>
              <w:pPr>
                <w:spacing w:line="360" w:lineRule="auto"/>
                <w:ind w:firstLine="720"/>
                <w:jc w:val="both"/>
                <w:rPr>
                  <w:bCs/>
                  <w:szCs w:val="24"/>
                </w:rPr>
              </w:pPr>
              <w:sdt>
                <w:sdtPr>
                  <w:alias w:val="Numeris"/>
                  <w:tag w:val="nr_abaf9499161e4d40a14ebea44f9a8d18"/>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abaf9499161e4d40a14ebea44f9a8d18"/>
                  <w:lock w:val="sdtLocked"/>
                  <w:richText/>
                </w:sdtPr>
                <w:sdtContent>
                  <w:r>
                    <w:rPr>
                      <w:b/>
                      <w:bCs/>
                      <w:color w:val="000000"/>
                      <w:szCs w:val="24"/>
                      <w:lang w:eastAsia="lt-LT"/>
                    </w:rPr>
                    <w:t>Įstatymo įgyvendinimas ir taikymas</w:t>
                  </w:r>
                  <w:r>
                    <w:rPr>
                      <w:bCs/>
                      <w:szCs w:val="24"/>
                    </w:rPr>
                    <w:t xml:space="preserve"> </w:t>
                  </w:r>
                </w:sdtContent>
              </w:sdt>
            </w:p>
            <w:sdt>
              <w:sdtPr>
                <w:alias w:val="2 str. 1 d."/>
                <w:tag w:val="part_e909952f4ae74da484eb71a31a7f157e"/>
                <w:lock w:val="sdtLocked"/>
                <w:richText/>
              </w:sdtPr>
              <w:sdtContent>
                <w:p>
                  <w:pPr>
                    <w:spacing w:line="360" w:lineRule="auto"/>
                    <w:ind w:firstLine="720"/>
                    <w:jc w:val="both"/>
                    <w:rPr>
                      <w:bCs/>
                      <w:szCs w:val="24"/>
                    </w:rPr>
                  </w:pPr>
                  <w:sdt>
                    <w:sdtPr>
                      <w:alias w:val="Numeris"/>
                      <w:tag w:val="nr_e909952f4ae74da484eb71a31a7f157e"/>
                      <w:lock w:val="sdtLocked"/>
                      <w:richText/>
                    </w:sdtPr>
                    <w:sdtContent>
                      <w:r>
                        <w:rPr>
                          <w:bCs/>
                          <w:szCs w:val="24"/>
                        </w:rPr>
                        <w:t>1</w:t>
                      </w:r>
                    </w:sdtContent>
                  </w:sdt>
                  <w:r>
                    <w:rPr>
                      <w:bCs/>
                      <w:szCs w:val="24"/>
                    </w:rPr>
                    <w:t>. Šis įstatymas, išskyrus šio straipsnio 2 dalį, įsigalioja 2025 m. gegužės 1 d.</w:t>
                  </w:r>
                </w:p>
              </w:sdtContent>
            </w:sdt>
            <w:sdt>
              <w:sdtPr>
                <w:alias w:val="2 str. 2 d."/>
                <w:tag w:val="part_4c2c5ceb127f4871a5045dfaeb7da913"/>
                <w:lock w:val="sdtLocked"/>
                <w:richText/>
              </w:sdtPr>
              <w:sdtContent>
                <w:p>
                  <w:pPr>
                    <w:spacing w:line="360" w:lineRule="auto"/>
                    <w:ind w:firstLine="720"/>
                    <w:jc w:val="both"/>
                    <w:rPr>
                      <w:bCs/>
                      <w:szCs w:val="24"/>
                    </w:rPr>
                  </w:pPr>
                  <w:sdt>
                    <w:sdtPr>
                      <w:alias w:val="Numeris"/>
                      <w:tag w:val="nr_4c2c5ceb127f4871a5045dfaeb7da913"/>
                      <w:lock w:val="sdtLocked"/>
                      <w:richText/>
                    </w:sdtPr>
                    <w:sdtContent>
                      <w:r>
                        <w:rPr>
                          <w:bCs/>
                          <w:szCs w:val="24"/>
                        </w:rPr>
                        <w:t>2</w:t>
                      </w:r>
                    </w:sdtContent>
                  </w:sdt>
                  <w:r>
                    <w:rPr>
                      <w:bCs/>
                      <w:szCs w:val="24"/>
                    </w:rPr>
                    <w:t xml:space="preserve">. Lietuvos Respublikos Vyriausybė </w:t>
                  </w:r>
                  <w:r>
                    <w:rPr>
                      <w:color w:val="000000"/>
                      <w:szCs w:val="24"/>
                      <w:lang w:eastAsia="lt-LT"/>
                    </w:rPr>
                    <w:t xml:space="preserve">iki 2024 m. spalio 31 d. </w:t>
                  </w:r>
                  <w:r>
                    <w:rPr>
                      <w:bCs/>
                      <w:szCs w:val="24"/>
                    </w:rPr>
                    <w:t>priima šio įstatymo įgyvendinamuosius teisės aktus.</w:t>
                  </w:r>
                </w:p>
                <w:p>
                  <w:pPr>
                    <w:spacing w:line="312" w:lineRule="auto"/>
                    <w:ind w:firstLine="720"/>
                    <w:jc w:val="both"/>
                    <w:rPr>
                      <w:bCs/>
                      <w:szCs w:val="24"/>
                    </w:rPr>
                  </w:pPr>
                </w:p>
                <w:p>
                  <w:pPr>
                    <w:spacing w:line="360" w:lineRule="atLeast"/>
                    <w:ind w:firstLine="720"/>
                    <w:jc w:val="both"/>
                    <w:rPr>
                      <w:i/>
                      <w:iCs/>
                      <w:color w:val="000000"/>
                      <w:szCs w:val="24"/>
                      <w:lang w:eastAsia="lt-LT"/>
                    </w:rPr>
                  </w:pPr>
                </w:p>
              </w:sdtContent>
            </w:sdt>
          </w:sdtContent>
        </w:sdt>
        <w:sdt>
          <w:sdtPr>
            <w:alias w:val="signatura"/>
            <w:tag w:val="part_ef1fe240c3d145839ec57d257570e4a3"/>
            <w:lock w:val="sdtLocked"/>
            <w:richText/>
          </w:sdtPr>
          <w:sdtContent>
            <w:p>
              <w:pPr>
                <w:spacing w:line="360" w:lineRule="atLeast"/>
                <w:ind w:firstLine="720"/>
                <w:jc w:val="both"/>
                <w:rPr>
                  <w:color w:val="000000"/>
                  <w:szCs w:val="24"/>
                  <w:lang w:eastAsia="lt-LT"/>
                </w:rPr>
              </w:pPr>
              <w:r>
                <w:rPr>
                  <w:i/>
                  <w:iCs/>
                  <w:color w:val="000000"/>
                  <w:szCs w:val="24"/>
                  <w:lang w:eastAsia="lt-LT"/>
                </w:rPr>
                <w:t>Skelbiu šį Lietuvos Respublikos Seimo priimtą įstatymą.</w:t>
              </w:r>
            </w:p>
            <w:p>
              <w:pPr>
                <w:spacing w:line="360" w:lineRule="atLeast"/>
                <w:ind w:firstLine="782"/>
                <w:jc w:val="both"/>
                <w:rPr>
                  <w:color w:val="000000"/>
                  <w:szCs w:val="24"/>
                  <w:lang w:eastAsia="lt-LT"/>
                </w:rPr>
              </w:pPr>
            </w:p>
            <w:p>
              <w:pPr>
                <w:rPr>
                  <w:color w:val="000000"/>
                  <w:szCs w:val="24"/>
                  <w:lang w:eastAsia="lt-LT"/>
                </w:rPr>
              </w:pPr>
              <w:r>
                <w:rPr>
                  <w:color w:val="000000"/>
                  <w:szCs w:val="24"/>
                  <w:lang w:eastAsia="lt-LT"/>
                </w:rPr>
                <w:t>Respublikos Prezidentas</w:t>
              </w:r>
            </w:p>
            <w:p>
              <w:pPr>
                <w:rPr>
                  <w:color w:val="000000"/>
                  <w:szCs w:val="24"/>
                  <w:lang w:eastAsia="lt-LT"/>
                </w:rPr>
              </w:pPr>
            </w:p>
            <w:p>
              <w:pPr>
                <w:rPr>
                  <w:color w:val="000000"/>
                  <w:szCs w:val="24"/>
                  <w:lang w:eastAsia="lt-LT"/>
                </w:rPr>
              </w:pPr>
            </w:p>
            <w:p>
              <w:pPr>
                <w:rPr>
                  <w:caps/>
                  <w:color w:val="000000"/>
                  <w:szCs w:val="24"/>
                  <w:lang w:eastAsia="lt-LT"/>
                </w:rPr>
              </w:pPr>
              <w:r>
                <w:rPr>
                  <w:color w:val="000000"/>
                  <w:szCs w:val="24"/>
                  <w:lang w:eastAsia="lt-LT"/>
                </w:rPr>
                <w:t>Teikia:</w:t>
              </w:r>
              <w:r>
                <w:rPr>
                  <w:caps/>
                  <w:color w:val="000000"/>
                  <w:szCs w:val="24"/>
                  <w:lang w:eastAsia="lt-LT"/>
                </w:rPr>
                <w:t>     </w:t>
              </w:r>
            </w:p>
            <w:p>
              <w:pPr>
                <w:rPr>
                  <w:caps/>
                  <w:color w:val="000000"/>
                  <w:szCs w:val="24"/>
                  <w:lang w:eastAsia="lt-LT"/>
                </w:rPr>
              </w:pPr>
            </w:p>
            <w:p>
              <w:pPr>
                <w:rPr>
                  <w:caps/>
                  <w:color w:val="000000"/>
                  <w:szCs w:val="24"/>
                  <w:lang w:eastAsia="lt-LT"/>
                </w:rPr>
              </w:pPr>
            </w:p>
            <w:p>
              <w:pPr>
                <w:ind w:firstLine="5332"/>
                <w:rPr>
                  <w:color w:val="000000"/>
                  <w:szCs w:val="24"/>
                  <w:lang w:eastAsia="lt-LT"/>
                </w:rPr>
              </w:pPr>
            </w:p>
            <w:p/>
          </w:sdtContent>
        </w:sdt>
      </w:sdtContent>
    </w:sdt>
    <w:sectPr>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39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A48DB855-B447-4E8D-9065-18CEA1D0441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4037376">
      <w:bodyDiv w:val="1"/>
      <w:marLeft w:val="0"/>
      <w:marRight w:val="0"/>
      <w:marTop w:val="0"/>
      <w:marBottom w:val="0"/>
      <w:divBdr>
        <w:top w:val="none" w:sz="0" w:space="0" w:color="auto"/>
        <w:left w:val="none" w:sz="0" w:space="0" w:color="auto"/>
        <w:bottom w:val="none" w:sz="0" w:space="0" w:color="auto"/>
        <w:right w:val="none" w:sz="0" w:space="0" w:color="auto"/>
      </w:divBdr>
    </w:div>
    <w:div w:id="208685755">
      <w:bodyDiv w:val="1"/>
      <w:marLeft w:val="0"/>
      <w:marRight w:val="0"/>
      <w:marTop w:val="0"/>
      <w:marBottom w:val="0"/>
      <w:divBdr>
        <w:top w:val="none" w:sz="0" w:space="0" w:color="auto"/>
        <w:left w:val="none" w:sz="0" w:space="0" w:color="auto"/>
        <w:bottom w:val="none" w:sz="0" w:space="0" w:color="auto"/>
        <w:right w:val="none" w:sz="0" w:space="0" w:color="auto"/>
      </w:divBdr>
      <w:divsChild>
        <w:div w:id="1626347992">
          <w:marLeft w:val="0"/>
          <w:marRight w:val="0"/>
          <w:marTop w:val="0"/>
          <w:marBottom w:val="0"/>
          <w:divBdr>
            <w:top w:val="none" w:sz="0" w:space="0" w:color="auto"/>
            <w:left w:val="none" w:sz="0" w:space="0" w:color="auto"/>
            <w:bottom w:val="none" w:sz="0" w:space="0" w:color="auto"/>
            <w:right w:val="none" w:sz="0" w:space="0" w:color="auto"/>
          </w:divBdr>
        </w:div>
        <w:div w:id="299655277">
          <w:marLeft w:val="0"/>
          <w:marRight w:val="0"/>
          <w:marTop w:val="0"/>
          <w:marBottom w:val="0"/>
          <w:divBdr>
            <w:top w:val="none" w:sz="0" w:space="0" w:color="auto"/>
            <w:left w:val="none" w:sz="0" w:space="0" w:color="auto"/>
            <w:bottom w:val="none" w:sz="0" w:space="0" w:color="auto"/>
            <w:right w:val="none" w:sz="0" w:space="0" w:color="auto"/>
          </w:divBdr>
        </w:div>
        <w:div w:id="1547183570">
          <w:marLeft w:val="0"/>
          <w:marRight w:val="0"/>
          <w:marTop w:val="0"/>
          <w:marBottom w:val="0"/>
          <w:divBdr>
            <w:top w:val="none" w:sz="0" w:space="0" w:color="auto"/>
            <w:left w:val="none" w:sz="0" w:space="0" w:color="auto"/>
            <w:bottom w:val="none" w:sz="0" w:space="0" w:color="auto"/>
            <w:right w:val="none" w:sz="0" w:space="0" w:color="auto"/>
          </w:divBdr>
        </w:div>
      </w:divsChild>
    </w:div>
    <w:div w:id="252785809">
      <w:bodyDiv w:val="1"/>
      <w:marLeft w:val="0"/>
      <w:marRight w:val="0"/>
      <w:marTop w:val="0"/>
      <w:marBottom w:val="0"/>
      <w:divBdr>
        <w:top w:val="none" w:sz="0" w:space="0" w:color="auto"/>
        <w:left w:val="none" w:sz="0" w:space="0" w:color="auto"/>
        <w:bottom w:val="none" w:sz="0" w:space="0" w:color="auto"/>
        <w:right w:val="none" w:sz="0" w:space="0" w:color="auto"/>
      </w:divBdr>
      <w:divsChild>
        <w:div w:id="13387915">
          <w:marLeft w:val="0"/>
          <w:marRight w:val="0"/>
          <w:marTop w:val="0"/>
          <w:marBottom w:val="0"/>
          <w:divBdr>
            <w:top w:val="none" w:sz="0" w:space="0" w:color="auto"/>
            <w:left w:val="none" w:sz="0" w:space="0" w:color="auto"/>
            <w:bottom w:val="none" w:sz="0" w:space="0" w:color="auto"/>
            <w:right w:val="none" w:sz="0" w:space="0" w:color="auto"/>
          </w:divBdr>
          <w:divsChild>
            <w:div w:id="1447650211">
              <w:marLeft w:val="0"/>
              <w:marRight w:val="0"/>
              <w:marTop w:val="0"/>
              <w:marBottom w:val="0"/>
              <w:divBdr>
                <w:top w:val="none" w:sz="0" w:space="0" w:color="auto"/>
                <w:left w:val="none" w:sz="0" w:space="0" w:color="auto"/>
                <w:bottom w:val="none" w:sz="0" w:space="0" w:color="auto"/>
                <w:right w:val="none" w:sz="0" w:space="0" w:color="auto"/>
              </w:divBdr>
              <w:divsChild>
                <w:div w:id="1916282211">
                  <w:marLeft w:val="0"/>
                  <w:marRight w:val="0"/>
                  <w:marTop w:val="0"/>
                  <w:marBottom w:val="0"/>
                  <w:divBdr>
                    <w:top w:val="none" w:sz="0" w:space="0" w:color="auto"/>
                    <w:left w:val="none" w:sz="0" w:space="0" w:color="auto"/>
                    <w:bottom w:val="none" w:sz="0" w:space="0" w:color="auto"/>
                    <w:right w:val="none" w:sz="0" w:space="0" w:color="auto"/>
                  </w:divBdr>
                  <w:divsChild>
                    <w:div w:id="1093018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0304707">
              <w:marLeft w:val="0"/>
              <w:marRight w:val="0"/>
              <w:marTop w:val="0"/>
              <w:marBottom w:val="0"/>
              <w:divBdr>
                <w:top w:val="none" w:sz="0" w:space="0" w:color="auto"/>
                <w:left w:val="none" w:sz="0" w:space="0" w:color="auto"/>
                <w:bottom w:val="none" w:sz="0" w:space="0" w:color="auto"/>
                <w:right w:val="none" w:sz="0" w:space="0" w:color="auto"/>
              </w:divBdr>
              <w:divsChild>
                <w:div w:id="838811962">
                  <w:marLeft w:val="0"/>
                  <w:marRight w:val="0"/>
                  <w:marTop w:val="0"/>
                  <w:marBottom w:val="0"/>
                  <w:divBdr>
                    <w:top w:val="none" w:sz="0" w:space="0" w:color="auto"/>
                    <w:left w:val="none" w:sz="0" w:space="0" w:color="auto"/>
                    <w:bottom w:val="none" w:sz="0" w:space="0" w:color="auto"/>
                    <w:right w:val="none" w:sz="0" w:space="0" w:color="auto"/>
                  </w:divBdr>
                  <w:divsChild>
                    <w:div w:id="54597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6845812">
          <w:marLeft w:val="0"/>
          <w:marRight w:val="0"/>
          <w:marTop w:val="0"/>
          <w:marBottom w:val="0"/>
          <w:divBdr>
            <w:top w:val="none" w:sz="0" w:space="0" w:color="auto"/>
            <w:left w:val="none" w:sz="0" w:space="0" w:color="auto"/>
            <w:bottom w:val="none" w:sz="0" w:space="0" w:color="auto"/>
            <w:right w:val="none" w:sz="0" w:space="0" w:color="auto"/>
          </w:divBdr>
          <w:divsChild>
            <w:div w:id="342514318">
              <w:marLeft w:val="0"/>
              <w:marRight w:val="0"/>
              <w:marTop w:val="0"/>
              <w:marBottom w:val="0"/>
              <w:divBdr>
                <w:top w:val="none" w:sz="0" w:space="0" w:color="auto"/>
                <w:left w:val="none" w:sz="0" w:space="0" w:color="auto"/>
                <w:bottom w:val="none" w:sz="0" w:space="0" w:color="auto"/>
                <w:right w:val="none" w:sz="0" w:space="0" w:color="auto"/>
              </w:divBdr>
            </w:div>
            <w:div w:id="366372684">
              <w:marLeft w:val="0"/>
              <w:marRight w:val="0"/>
              <w:marTop w:val="0"/>
              <w:marBottom w:val="0"/>
              <w:divBdr>
                <w:top w:val="none" w:sz="0" w:space="0" w:color="auto"/>
                <w:left w:val="none" w:sz="0" w:space="0" w:color="auto"/>
                <w:bottom w:val="none" w:sz="0" w:space="0" w:color="auto"/>
                <w:right w:val="none" w:sz="0" w:space="0" w:color="auto"/>
              </w:divBdr>
            </w:div>
            <w:div w:id="1746800231">
              <w:marLeft w:val="0"/>
              <w:marRight w:val="0"/>
              <w:marTop w:val="0"/>
              <w:marBottom w:val="0"/>
              <w:divBdr>
                <w:top w:val="none" w:sz="0" w:space="0" w:color="auto"/>
                <w:left w:val="none" w:sz="0" w:space="0" w:color="auto"/>
                <w:bottom w:val="none" w:sz="0" w:space="0" w:color="auto"/>
                <w:right w:val="none" w:sz="0" w:space="0" w:color="auto"/>
              </w:divBdr>
            </w:div>
          </w:divsChild>
        </w:div>
        <w:div w:id="1849635500">
          <w:marLeft w:val="0"/>
          <w:marRight w:val="0"/>
          <w:marTop w:val="0"/>
          <w:marBottom w:val="0"/>
          <w:divBdr>
            <w:top w:val="none" w:sz="0" w:space="0" w:color="auto"/>
            <w:left w:val="none" w:sz="0" w:space="0" w:color="auto"/>
            <w:bottom w:val="none" w:sz="0" w:space="0" w:color="auto"/>
            <w:right w:val="none" w:sz="0" w:space="0" w:color="auto"/>
          </w:divBdr>
        </w:div>
      </w:divsChild>
    </w:div>
    <w:div w:id="454914193">
      <w:bodyDiv w:val="1"/>
      <w:marLeft w:val="0"/>
      <w:marRight w:val="0"/>
      <w:marTop w:val="0"/>
      <w:marBottom w:val="0"/>
      <w:divBdr>
        <w:top w:val="none" w:sz="0" w:space="0" w:color="auto"/>
        <w:left w:val="none" w:sz="0" w:space="0" w:color="auto"/>
        <w:bottom w:val="none" w:sz="0" w:space="0" w:color="auto"/>
        <w:right w:val="none" w:sz="0" w:space="0" w:color="auto"/>
      </w:divBdr>
    </w:div>
    <w:div w:id="1024550444">
      <w:bodyDiv w:val="1"/>
      <w:marLeft w:val="0"/>
      <w:marRight w:val="0"/>
      <w:marTop w:val="0"/>
      <w:marBottom w:val="0"/>
      <w:divBdr>
        <w:top w:val="none" w:sz="0" w:space="0" w:color="auto"/>
        <w:left w:val="none" w:sz="0" w:space="0" w:color="auto"/>
        <w:bottom w:val="none" w:sz="0" w:space="0" w:color="auto"/>
        <w:right w:val="none" w:sz="0" w:space="0" w:color="auto"/>
      </w:divBdr>
    </w:div>
    <w:div w:id="1063217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407a912e9d341588d31c6c040854d05" PartId="2ae29fff55704135bc9b831097ae2dbb">
    <Part Type="straipsnis" Nr="1" Abbr="1 str." Title="7 straipsnio pakeitimas" DocPartId="fbab881950ef46fca552372f171763cd" PartId="16f6d9222be943b18cc0dd3d6255c0df">
      <Part Type="strDalis" Nr="1" Abbr="1 str. 1 d." DocPartId="20bdf401f2544b1e9fa83d3e582acebc" PartId="45ae4a4c3f184327b9b5fa082f4bd825">
        <Part Type="citata" DocPartId="cfcc241a472445a5b1768b34f24cab22" PartId="9d3618480af54ea9a4c119fbb3eb2e09">
          <Part Type="strPunktas" Nr="5" Abbr="5 p." DocPartId="5f10dbeaee1d44da9b72461a3d67deb0" PartId="4e08f870be9046768a9a49fe2a585cce"/>
        </Part>
      </Part>
    </Part>
    <Part Type="straipsnis" Nr="2" Abbr="2 str." Title="Įstatymo įgyvendinimas ir taikymas" DocPartId="e3a1c518ea5a469daaa2d43a019b1c82" PartId="abaf9499161e4d40a14ebea44f9a8d18">
      <Part Type="strDalis" Nr="1" Abbr="2 str. 1 d." DocPartId="eef1a980cbcd4410b4d2900e4120e2aa" PartId="e909952f4ae74da484eb71a31a7f157e"/>
      <Part Type="strDalis" Nr="2" Abbr="2 str. 2 d." DocPartId="844266f09bee450fb24ee3948b1307d0" PartId="4c2c5ceb127f4871a5045dfaeb7da913"/>
    </Part>
    <Part Type="signatura" DocPartId="f14d8939fb444a23b2d500723e67de0d" PartId="ef1fe240c3d145839ec57d257570e4a3"/>
  </Part>
</Parts>
</file>

<file path=customXml/itemProps1.xml><?xml version="1.0" encoding="utf-8"?>
<ds:datastoreItem xmlns:ds="http://schemas.openxmlformats.org/officeDocument/2006/customXml" ds:itemID="{00C75213-BA58-4E98-AC8C-869927175E5F}">
  <ds:schemaRefs>
    <ds:schemaRef ds:uri="http://schemas.openxmlformats.org/officeDocument/2006/bibliography"/>
  </ds:schemaRefs>
</ds:datastoreItem>
</file>

<file path=customXml/itemProps2.xml><?xml version="1.0" encoding="utf-8"?>
<ds:datastoreItem xmlns:ds="http://schemas.openxmlformats.org/officeDocument/2006/customXml" ds:itemID="{F91432DB-0DAE-425E-B443-D48028A6EF6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158</Words>
  <Characters>1051</Characters>
  <Application>Microsoft Office Word</Application>
  <DocSecurity>4</DocSecurity>
  <Lines>42</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2023-10-30T12:36:00Z</dcterms:created>
  <dc:creator>Edita Lisinskaitė</dc:creator>
  <lastModifiedBy>adlibuser</lastModifiedBy>
  <dcterms:modified xsi:type="dcterms:W3CDTF">2023-10-30T12:36:00Z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2a09b59-4bfd-43f2-a2c2-5b6d8700d3c9_Enabled">
    <vt:lpwstr>true</vt:lpwstr>
  </property>
  <property fmtid="{D5CDD505-2E9C-101B-9397-08002B2CF9AE}" pid="3" name="MSIP_Label_e2a09b59-4bfd-43f2-a2c2-5b6d8700d3c9_SetDate">
    <vt:lpwstr>2023-05-11T06:51:11Z</vt:lpwstr>
  </property>
  <property fmtid="{D5CDD505-2E9C-101B-9397-08002B2CF9AE}" pid="4" name="MSIP_Label_e2a09b59-4bfd-43f2-a2c2-5b6d8700d3c9_Method">
    <vt:lpwstr>Privileged</vt:lpwstr>
  </property>
  <property fmtid="{D5CDD505-2E9C-101B-9397-08002B2CF9AE}" pid="5" name="MSIP_Label_e2a09b59-4bfd-43f2-a2c2-5b6d8700d3c9_Name">
    <vt:lpwstr>LB NEVIEŠA Nematoma (Invisible)</vt:lpwstr>
  </property>
  <property fmtid="{D5CDD505-2E9C-101B-9397-08002B2CF9AE}" pid="6" name="MSIP_Label_e2a09b59-4bfd-43f2-a2c2-5b6d8700d3c9_SiteId">
    <vt:lpwstr>5a40b399-6903-4594-ad73-dc4ed7ed91c0</vt:lpwstr>
  </property>
  <property fmtid="{D5CDD505-2E9C-101B-9397-08002B2CF9AE}" pid="7" name="MSIP_Label_e2a09b59-4bfd-43f2-a2c2-5b6d8700d3c9_ActionId">
    <vt:lpwstr>0babacc6-6a38-4b3a-904c-8c8ac17e2c53</vt:lpwstr>
  </property>
  <property fmtid="{D5CDD505-2E9C-101B-9397-08002B2CF9AE}" pid="8" name="MSIP_Label_e2a09b59-4bfd-43f2-a2c2-5b6d8700d3c9_ContentBits">
    <vt:lpwstr>0</vt:lpwstr>
  </property>
</Properties>
</file>