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f14a86651440d1bd51a0f71bfc87b4"/>
        <w:lock w:val="sdtLocked"/>
        <w:richText/>
      </w:sdtPr>
      <w:sdtContent>
        <w:p>
          <w:pPr>
            <w:tabs>
              <w:tab w:val="center" w:pos="4680"/>
              <w:tab w:val="right" w:pos="9360"/>
            </w:tabs>
            <w:rPr>
              <w:sz w:val="22"/>
              <w:szCs w:val="22"/>
              <w:lang w:eastAsia="lt-LT"/>
            </w:rPr>
          </w:pPr>
        </w:p>
        <w:p>
          <w:pPr>
            <w:ind w:left="8505"/>
            <w:rPr>
              <w:b/>
              <w:bCs/>
              <w:szCs w:val="24"/>
              <w:lang w:eastAsia="lt-LT"/>
            </w:rPr>
          </w:pPr>
          <w:r>
            <w:rPr>
              <w:b/>
              <w:bCs/>
              <w:szCs w:val="24"/>
              <w:lang w:eastAsia="lt-LT"/>
            </w:rPr>
            <w:t>Projektas</w:t>
          </w: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VALSTYBĖS IR SAVIVALDYBIŲ INSTITUCIJŲ IR ĮSTAIGŲ VERTINIMO KRITERIJŲ ĮVERČIŲ PATVIRTINIMO</w:t>
          </w:r>
        </w:p>
        <w:p>
          <w:pPr>
            <w:jc w:val="center"/>
            <w:rPr>
              <w:szCs w:val="24"/>
              <w:lang w:eastAsia="lt-LT"/>
            </w:rPr>
          </w:pPr>
        </w:p>
        <w:p>
          <w:pPr>
            <w:jc w:val="center"/>
            <w:rPr>
              <w:rFonts w:eastAsia="Calibri"/>
              <w:color w:val="000000"/>
              <w:szCs w:val="24"/>
              <w:lang w:eastAsia="lt-LT"/>
            </w:rPr>
          </w:pPr>
          <w:r>
            <w:rPr>
              <w:color w:val="000000"/>
              <w:szCs w:val="24"/>
            </w:rPr>
            <w:t>Nr.</w:t>
          </w:r>
        </w:p>
        <w:p>
          <w:pPr>
            <w:jc w:val="center"/>
            <w:rPr>
              <w:rFonts w:eastAsia="Calibri"/>
              <w:color w:val="000000"/>
              <w:szCs w:val="24"/>
              <w:lang w:eastAsia="lt-LT"/>
            </w:rPr>
          </w:pPr>
          <w:r>
            <w:rPr>
              <w:rFonts w:eastAsia="Calibri"/>
              <w:color w:val="000000"/>
              <w:szCs w:val="24"/>
              <w:lang w:eastAsia="lt-LT"/>
            </w:rPr>
            <w:t>Vilnius</w:t>
          </w:r>
        </w:p>
        <w:p>
          <w:pPr>
            <w:jc w:val="center"/>
            <w:rPr>
              <w:szCs w:val="24"/>
              <w:lang w:eastAsia="lt-LT"/>
            </w:rPr>
          </w:pPr>
        </w:p>
        <w:p>
          <w:pPr>
            <w:tabs>
              <w:tab w:val="left" w:pos="993"/>
            </w:tabs>
            <w:jc w:val="center"/>
            <w:rPr>
              <w:rFonts w:eastAsia="Calibri"/>
              <w:szCs w:val="24"/>
              <w:lang w:eastAsia="lt-LT"/>
            </w:rPr>
          </w:pPr>
        </w:p>
        <w:sdt>
          <w:sdtPr>
            <w:alias w:val="preambule"/>
            <w:tag w:val="part_2823593b12da4038a359f4c1d9299ef2"/>
            <w:lock w:val="sdtLocked"/>
            <w:richText/>
          </w:sdtPr>
          <w:sdtContent>
            <w:p>
              <w:pPr>
                <w:ind w:firstLine="851"/>
                <w:jc w:val="both"/>
                <w:rPr>
                  <w:color w:val="000000"/>
                  <w:szCs w:val="24"/>
                  <w:lang w:eastAsia="lt-LT"/>
                </w:rPr>
              </w:pPr>
              <w:r>
                <w:rPr>
                  <w:color w:val="000000"/>
                  <w:szCs w:val="24"/>
                  <w:lang w:eastAsia="lt-LT"/>
                </w:rPr>
                <w:t xml:space="preserve">Vadovaudamasi Lietuvos Respublikos valstybės tarnybos įstatymo 20 straipsnio 1 dalimi, Lietuvos Respublikos Vyriausybė </w:t>
              </w:r>
              <w:r>
                <w:rPr>
                  <w:spacing w:val="100"/>
                  <w:szCs w:val="24"/>
                </w:rPr>
                <w:t>nutari</w:t>
              </w:r>
              <w:r>
                <w:rPr>
                  <w:szCs w:val="24"/>
                </w:rPr>
                <w:t>a:</w:t>
              </w:r>
            </w:p>
          </w:sdtContent>
        </w:sdt>
        <w:sdt>
          <w:sdtPr>
            <w:alias w:val="1 p."/>
            <w:tag w:val="part_85084c634068419e9971c75fa2f4b300"/>
            <w:lock w:val="sdtLocked"/>
            <w:richText/>
          </w:sdtPr>
          <w:sdtContent>
            <w:p>
              <w:pPr>
                <w:tabs>
                  <w:tab w:val="left" w:pos="851"/>
                  <w:tab w:val="left" w:pos="1134"/>
                </w:tabs>
                <w:ind w:firstLine="851"/>
                <w:jc w:val="both"/>
                <w:rPr>
                  <w:color w:val="000000"/>
                  <w:szCs w:val="24"/>
                  <w:lang w:eastAsia="lt-LT"/>
                </w:rPr>
              </w:pPr>
              <w:sdt>
                <w:sdtPr>
                  <w:alias w:val="Numeris"/>
                  <w:tag w:val="nr_85084c634068419e9971c75fa2f4b300"/>
                  <w:lock w:val="sdtLocked"/>
                  <w:richText/>
                </w:sdtPr>
                <w:sdtContent>
                  <w:r>
                    <w:rPr>
                      <w:color w:val="000000"/>
                      <w:szCs w:val="24"/>
                      <w:lang w:eastAsia="lt-LT"/>
                    </w:rPr>
                    <w:t>1</w:t>
                  </w:r>
                </w:sdtContent>
              </w:sdt>
              <w:r>
                <w:rPr>
                  <w:color w:val="000000"/>
                  <w:szCs w:val="24"/>
                  <w:lang w:eastAsia="lt-LT"/>
                </w:rPr>
                <w:t>.</w:t>
                <w:tab/>
                <w:t>Patvirtinti valstybės ir savivaldybių institucijų ir įstaigų vertinimo kriterijų įverčius (pridedama).</w:t>
              </w:r>
            </w:p>
          </w:sdtContent>
        </w:sdt>
        <w:sdt>
          <w:sdtPr>
            <w:alias w:val="2 p."/>
            <w:tag w:val="part_23a4abe2dcf54448905d07bc7bd190f6"/>
            <w:lock w:val="sdtLocked"/>
            <w:richText/>
          </w:sdtPr>
          <w:sdtContent>
            <w:p>
              <w:pPr>
                <w:tabs>
                  <w:tab w:val="left" w:pos="851"/>
                  <w:tab w:val="left" w:pos="1134"/>
                </w:tabs>
                <w:ind w:firstLine="851"/>
                <w:jc w:val="both"/>
                <w:rPr>
                  <w:color w:val="000000"/>
                  <w:szCs w:val="24"/>
                  <w:lang w:eastAsia="lt-LT"/>
                </w:rPr>
              </w:pPr>
              <w:sdt>
                <w:sdtPr>
                  <w:alias w:val="Numeris"/>
                  <w:tag w:val="nr_23a4abe2dcf54448905d07bc7bd190f6"/>
                  <w:lock w:val="sdtLocked"/>
                  <w:richText/>
                </w:sdtPr>
                <w:sdtContent>
                  <w:r>
                    <w:rPr>
                      <w:color w:val="000000"/>
                      <w:szCs w:val="24"/>
                      <w:lang w:eastAsia="lt-LT"/>
                    </w:rPr>
                    <w:t>2</w:t>
                  </w:r>
                </w:sdtContent>
              </w:sdt>
              <w:r>
                <w:rPr>
                  <w:color w:val="000000"/>
                  <w:szCs w:val="24"/>
                  <w:lang w:eastAsia="lt-LT"/>
                </w:rPr>
                <w:t>.</w:t>
                <w:tab/>
                <w:t>Rekomenduoti asmenims, priimantiems į pareigas valstybės ir savivaldybių institucijų ir įstaigų vadovus, kurių pareiginės algos koeficientas nustatomas pagal šiuo nutarimu patvirtintus valstybės ir savivaldybių institucijų ir įstaigų vertinimo kriterijų įverčius, priimant į pareigas įstaigos vadovą, išskyrus Valstybės tarnybos įstatymo 20 straipsnio 4 </w:t>
              </w:r>
              <w:r>
                <w:t>dalies 9 punkto nurodytos įstaigos vadovą,</w:t>
              </w:r>
              <w:r>
                <w:rPr>
                  <w:color w:val="000000"/>
                  <w:szCs w:val="24"/>
                  <w:lang w:eastAsia="lt-LT"/>
                </w:rPr>
                <w:t xml:space="preserve"> nustatyti jam mažiausią iš šiuo nutarimu nustatyto intervalo pareiginės algos koeficientą</w:t>
              </w:r>
              <w:r>
                <w:t>.</w:t>
              </w:r>
            </w:p>
            <w:p>
              <w:pPr>
                <w:jc w:val="both"/>
                <w:rPr>
                  <w:szCs w:val="24"/>
                  <w:lang w:eastAsia="lt-LT"/>
                </w:rPr>
              </w:pPr>
            </w:p>
            <w:p>
              <w:pPr>
                <w:jc w:val="both"/>
                <w:rPr>
                  <w:szCs w:val="24"/>
                  <w:lang w:eastAsia="lt-LT"/>
                </w:rPr>
              </w:pPr>
            </w:p>
            <w:p>
              <w:pPr>
                <w:jc w:val="both"/>
                <w:rPr>
                  <w:szCs w:val="24"/>
                  <w:lang w:eastAsia="lt-LT"/>
                </w:rPr>
              </w:pPr>
            </w:p>
          </w:sdtContent>
        </w:sdt>
        <w:sdt>
          <w:sdtPr>
            <w:alias w:val="signatura"/>
            <w:tag w:val="part_b0265e0459614c58908add143cbdda5e"/>
            <w:lock w:val="sdtLocked"/>
            <w:richText/>
          </w:sdtPr>
          <w:sdtContent>
            <w:p>
              <w:pPr>
                <w:jc w:val="both"/>
                <w:rPr>
                  <w:szCs w:val="24"/>
                  <w:lang w:eastAsia="lt-LT"/>
                </w:rPr>
              </w:pPr>
              <w:r>
                <w:rPr>
                  <w:szCs w:val="24"/>
                  <w:lang w:eastAsia="lt-LT"/>
                </w:rPr>
                <w:t>Ministras Pirmininkas</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Vidaus reikalų ministras</w:t>
              </w:r>
            </w:p>
            <w:p>
              <w:pPr>
                <w:jc w:val="both"/>
                <w:rPr>
                  <w:szCs w:val="24"/>
                  <w:lang w:eastAsia="lt-LT"/>
                </w:rPr>
              </w:pPr>
            </w:p>
            <w:p>
              <w:pPr>
                <w:jc w:val="both"/>
                <w:rPr>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7" w:h="16839"/>
                  <w:pgMar w:top="1134" w:right="567" w:bottom="567" w:left="1701" w:header="567" w:footer="567" w:gutter="0"/>
                  <w:pgNumType w:start="1"/>
                  <w:cols w:space="1296"/>
                  <w:titlePg/>
                  <w:docGrid w:linePitch="360"/>
                </w:sectPr>
              </w:pPr>
            </w:p>
            <w:p>
              <w:pPr>
                <w:tabs>
                  <w:tab w:val="center" w:pos="4680"/>
                  <w:tab w:val="right" w:pos="9360"/>
                </w:tabs>
                <w:rPr>
                  <w:sz w:val="22"/>
                  <w:szCs w:val="22"/>
                  <w:lang w:eastAsia="lt-LT"/>
                </w:rPr>
              </w:pPr>
            </w:p>
          </w:sdtContent>
        </w:sdt>
      </w:sdtContent>
    </w:sdt>
    <w:sdt>
      <w:sdtPr>
        <w:alias w:val="patvirtinta"/>
        <w:tag w:val="part_a61c5d749f064589b82df9f018b675d6"/>
        <w:lock w:val="sdtLocked"/>
        <w:richText/>
      </w:sdtPr>
      <w:sdtContent>
        <w:p>
          <w:pPr>
            <w:tabs>
              <w:tab w:val="left" w:pos="5387"/>
            </w:tabs>
            <w:ind w:left="5245"/>
            <w:jc w:val="both"/>
            <w:rPr>
              <w:szCs w:val="24"/>
              <w:lang w:eastAsia="lt-LT"/>
            </w:rPr>
          </w:pPr>
          <w:r>
            <w:rPr>
              <w:szCs w:val="24"/>
              <w:lang w:eastAsia="ar-SA"/>
            </w:rPr>
            <w:t>PATVIRTINTA</w:t>
          </w:r>
        </w:p>
        <w:p>
          <w:pPr>
            <w:ind w:left="5245"/>
            <w:rPr>
              <w:szCs w:val="24"/>
              <w:lang w:eastAsia="ar-SA"/>
            </w:rPr>
          </w:pPr>
          <w:r>
            <w:rPr>
              <w:szCs w:val="24"/>
              <w:lang w:eastAsia="ar-SA"/>
            </w:rPr>
            <w:t>Lietuvos Respublikos Vyriausybės</w:t>
          </w:r>
        </w:p>
        <w:p>
          <w:pPr>
            <w:ind w:left="5245"/>
            <w:rPr>
              <w:szCs w:val="24"/>
              <w:lang w:eastAsia="lt-LT"/>
            </w:rPr>
          </w:pPr>
          <w:r>
            <w:rPr>
              <w:szCs w:val="24"/>
              <w:lang w:eastAsia="lt-LT"/>
            </w:rPr>
            <w:t xml:space="preserve">2023 m.                        d. </w:t>
          </w:r>
          <w:r>
            <w:rPr>
              <w:szCs w:val="24"/>
              <w:lang w:eastAsia="ar-SA"/>
            </w:rPr>
            <w:t xml:space="preserve">nutarimu </w:t>
          </w:r>
          <w:r>
            <w:rPr>
              <w:szCs w:val="24"/>
              <w:lang w:eastAsia="lt-LT"/>
            </w:rPr>
            <w:t>Nr. </w:t>
          </w:r>
        </w:p>
        <w:p>
          <w:pPr>
            <w:tabs>
              <w:tab w:val="left" w:pos="5529"/>
            </w:tabs>
            <w:jc w:val="center"/>
            <w:rPr>
              <w:color w:val="000000"/>
              <w:szCs w:val="24"/>
              <w:lang w:eastAsia="lt-LT"/>
            </w:rPr>
          </w:pPr>
        </w:p>
        <w:p>
          <w:pPr>
            <w:tabs>
              <w:tab w:val="left" w:pos="5529"/>
            </w:tabs>
            <w:jc w:val="center"/>
            <w:rPr>
              <w:color w:val="000000"/>
              <w:szCs w:val="24"/>
              <w:lang w:eastAsia="lt-LT"/>
            </w:rPr>
          </w:pPr>
        </w:p>
        <w:p>
          <w:pPr>
            <w:tabs>
              <w:tab w:val="left" w:pos="5529"/>
            </w:tabs>
            <w:jc w:val="center"/>
            <w:rPr>
              <w:b/>
              <w:szCs w:val="24"/>
              <w:lang w:eastAsia="lt-LT"/>
            </w:rPr>
          </w:pPr>
          <w:sdt>
            <w:sdtPr>
              <w:alias w:val="Pavadinimas"/>
              <w:tag w:val="title_a61c5d749f064589b82df9f018b675d6"/>
              <w:lock w:val="sdtLocked"/>
              <w:richText/>
            </w:sdtPr>
            <w:sdtContent>
              <w:r>
                <w:rPr>
                  <w:b/>
                  <w:szCs w:val="24"/>
                  <w:lang w:eastAsia="lt-LT"/>
                </w:rPr>
                <w:t>VALSTYBĖS IR SAVIVALDYBIŲ INSTITUCIJŲ IR ĮSTAIGŲ VERTINIMO KRITERIJŲ ĮVERČIAI</w:t>
              </w:r>
            </w:sdtContent>
          </w:sdt>
        </w:p>
        <w:p>
          <w:pPr>
            <w:tabs>
              <w:tab w:val="left" w:pos="5529"/>
            </w:tabs>
            <w:jc w:val="center"/>
            <w:rPr>
              <w:szCs w:val="24"/>
              <w:lang w:eastAsia="lt-LT"/>
            </w:rPr>
          </w:pPr>
        </w:p>
        <w:p>
          <w:pPr>
            <w:tabs>
              <w:tab w:val="left" w:pos="5529"/>
            </w:tabs>
            <w:jc w:val="center"/>
            <w:rPr>
              <w:szCs w:val="24"/>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7"/>
            <w:gridCol w:w="4395"/>
            <w:gridCol w:w="3969"/>
            <w:gridCol w:w="708"/>
          </w:tblGrid>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rPr>
                    <w:szCs w:val="24"/>
                  </w:rPr>
                </w:pPr>
                <w:r>
                  <w:rPr>
                    <w:szCs w:val="24"/>
                  </w:rPr>
                  <w:t>Eil. Nr.</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Valstybės institucija ar įstaiga</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Savivaldybės institucija ar įstaiga</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Įvertis</w:t>
                </w:r>
              </w:p>
              <w:p>
                <w:pPr>
                  <w:rPr>
                    <w:sz w:val="6"/>
                    <w:szCs w:val="6"/>
                  </w:rPr>
                </w:pPr>
              </w:p>
              <w:p>
                <w:pPr>
                  <w:jc w:val="center"/>
                  <w:rPr>
                    <w:szCs w:val="24"/>
                  </w:rPr>
                </w:pPr>
                <w:r>
                  <w:rPr>
                    <w:szCs w:val="24"/>
                  </w:rPr>
                  <w:t>(balai)</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w:t>
                </w:r>
              </w:p>
            </w:tc>
            <w:tc>
              <w:tcPr>
                <w:tcW w:w="4706" w:type="pct"/>
                <w:gridSpan w:val="3"/>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Valstybės ar savivaldybės institucijos ar įstaigos veiklos pobūdis:</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1.1.</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dalyvavimas formuojant daugiau kaip vienos valdymo srities valstybės politiką ir jos įgyvendinimas</w:t>
                </w:r>
              </w:p>
              <w:p>
                <w:pPr>
                  <w:rPr>
                    <w:sz w:val="6"/>
                    <w:szCs w:val="6"/>
                  </w:rPr>
                </w:pPr>
              </w:p>
              <w:p>
                <w:pPr>
                  <w:rPr>
                    <w:i/>
                    <w:szCs w:val="24"/>
                  </w:rPr>
                </w:pPr>
                <w:r>
                  <w:rPr>
                    <w:i/>
                    <w:szCs w:val="24"/>
                  </w:rPr>
                  <w:t>arba</w:t>
                </w:r>
              </w:p>
              <w:p>
                <w:pPr>
                  <w:rPr>
                    <w:sz w:val="6"/>
                    <w:szCs w:val="6"/>
                  </w:rPr>
                </w:pPr>
              </w:p>
              <w:p>
                <w:pPr>
                  <w:jc w:val="both"/>
                  <w:rPr>
                    <w:szCs w:val="24"/>
                  </w:rPr>
                </w:pPr>
                <w:r>
                  <w:rPr>
                    <w:szCs w:val="24"/>
                  </w:rPr>
                  <w:t>teismų savivaldos institucijų aptarnavimas</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rPr>
                </w:pPr>
                <w:r>
                  <w:rPr>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4</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1.2.</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 xml:space="preserve">dalyvavimas formuojant vienos valdymo srities valstybės politiką ir jos įgyvendinimas </w:t>
                </w:r>
              </w:p>
              <w:p>
                <w:pPr>
                  <w:rPr>
                    <w:sz w:val="6"/>
                    <w:szCs w:val="6"/>
                  </w:rPr>
                </w:pPr>
              </w:p>
              <w:p>
                <w:pPr>
                  <w:rPr>
                    <w:i/>
                    <w:szCs w:val="24"/>
                  </w:rPr>
                </w:pPr>
                <w:r>
                  <w:rPr>
                    <w:i/>
                    <w:szCs w:val="24"/>
                  </w:rPr>
                  <w:t>arba</w:t>
                </w:r>
              </w:p>
              <w:p>
                <w:pPr>
                  <w:rPr>
                    <w:sz w:val="6"/>
                    <w:szCs w:val="6"/>
                  </w:rPr>
                </w:pPr>
              </w:p>
              <w:p>
                <w:pPr>
                  <w:rPr>
                    <w:szCs w:val="24"/>
                  </w:rPr>
                </w:pPr>
                <w:r>
                  <w:rPr>
                    <w:szCs w:val="24"/>
                  </w:rPr>
                  <w:t>valstybės politikos įgyvendinimas daugiau kaip vienoje valdymo srityje</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savivaldybės institucijų sprendimų įgyvendinimo organizavimas ir kontrolė ir tiesioginis šių sprendimų įgyvendinimas</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3</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1.3.</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 xml:space="preserve">valstybės politikos įgyvendinimas vienoje valdymo srityje </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savivaldybės turto valdymo ir naudojimo, patikėjimo teise valstybės turto valdymo, savivaldybės biudžeto vykdymo ir kitų piniginių išteklių naudojimo priežiūra</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2</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1.4.</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valstybės politikos formavimo arba įgyvendinimo aptarnavimas</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rPr>
                </w:pPr>
                <w:r>
                  <w:rPr>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1</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2.</w:t>
                </w:r>
              </w:p>
            </w:tc>
            <w:tc>
              <w:tcPr>
                <w:tcW w:w="4706" w:type="pct"/>
                <w:gridSpan w:val="3"/>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Valstybės ar savivaldybės institucijos ar įstaigos dydis:</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2.1.</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Valstybės įstaigoje įsteigtų pareigybių paskutiniųjų 3 metų vidurkis yra 201 ir daugiau pareigybių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Savivaldybės įstaigoje įsteigtų pareigybių paskutiniųjų 3 metų vidurkis yra 201 ir daugiau pareigybių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4</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2.2.</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Valstybės įstaigoje įsteigtų pareigybių paskutiniųjų 3 metų vidurkis yra nuo 101 iki 200 pareigybių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Savivaldybės įstaigoje įsteigtų pareigybių paskutiniųjų 3 metų vidurkis yra nuo 101 iki 200 pareigybių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3</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2.3.</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Valstybės įstaigoje įsteigtų pareigybių paskutiniųjų 3 metų vidurkis yra iki 100 pareigybių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Savivaldybės įstaigoje įsteigtų pareigybių paskutiniųjų 3 metų vidurkis yra iki 100 pareigybių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2</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w:t>
                </w:r>
              </w:p>
            </w:tc>
            <w:tc>
              <w:tcPr>
                <w:tcW w:w="4706" w:type="pct"/>
                <w:gridSpan w:val="3"/>
                <w:tcBorders>
                  <w:top w:val="single" w:sz="4" w:space="0" w:color="auto"/>
                  <w:left w:val="single" w:sz="4" w:space="0" w:color="auto"/>
                  <w:bottom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Valstybės ar savivaldybės institucijos ar įstaigos santykis su pavaldžiais ir nepavaldžiais subjektais:</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3.1.</w:t>
                </w:r>
              </w:p>
            </w:tc>
            <w:tc>
              <w:tcPr>
                <w:tcW w:w="2280"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vertikalusis vadovavimas, kai valstybės institucija ar įstaiga vadovauja ne mažiau kaip 2 pakopų pavaldžių subjektų sistemai</w:t>
                </w:r>
              </w:p>
              <w:p>
                <w:pPr>
                  <w:rPr>
                    <w:sz w:val="6"/>
                    <w:szCs w:val="6"/>
                  </w:rPr>
                </w:pPr>
              </w:p>
              <w:p>
                <w:pPr>
                  <w:rPr>
                    <w:szCs w:val="24"/>
                  </w:rPr>
                </w:pPr>
                <w:r>
                  <w:rPr>
                    <w:i/>
                    <w:iCs/>
                    <w:szCs w:val="24"/>
                  </w:rPr>
                  <w:t>arba</w:t>
                </w:r>
              </w:p>
              <w:p>
                <w:pPr>
                  <w:rPr>
                    <w:sz w:val="6"/>
                    <w:szCs w:val="6"/>
                  </w:rPr>
                </w:pPr>
              </w:p>
              <w:p>
                <w:pPr>
                  <w:rPr>
                    <w:szCs w:val="24"/>
                  </w:rPr>
                </w:pPr>
                <w:r>
                  <w:rPr>
                    <w:szCs w:val="24"/>
                  </w:rPr>
                  <w:t>funkcinis vadovavimas keliose valdymo srityse</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rPr>
                </w:pPr>
                <w:r>
                  <w:rPr>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4</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3.2.</w:t>
                </w:r>
              </w:p>
            </w:tc>
            <w:tc>
              <w:tcPr>
                <w:tcW w:w="2280"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vertikalusis vadovavimas, kai valstybės institucija ar įstaiga vadovauja 1 pakopos pavaldžių subjektų sistemai</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vertikalus vadovavimas</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3</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3.3.</w:t>
                </w:r>
              </w:p>
            </w:tc>
            <w:tc>
              <w:tcPr>
                <w:tcW w:w="2280"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funkcinis vadovavimas vienoje valdymo srityje</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rPr>
                    <w:szCs w:val="24"/>
                  </w:rPr>
                </w:pPr>
                <w:r>
                  <w:rPr>
                    <w:szCs w:val="24"/>
                  </w:rPr>
                  <w:t>dalinis funkcinis vadovavimas</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2</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3.4.</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dalinis funkcinis vadovavimas</w:t>
                </w:r>
              </w:p>
            </w:tc>
            <w:tc>
              <w:tcPr>
                <w:tcW w:w="2059"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rPr>
                </w:pPr>
                <w:r>
                  <w:rPr>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1</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w:t>
                </w:r>
              </w:p>
            </w:tc>
            <w:tc>
              <w:tcPr>
                <w:tcW w:w="4706" w:type="pct"/>
                <w:gridSpan w:val="3"/>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Valstybės ar savivaldybės institucijos ar įstaigos veiklos ir sprendimų galiojimo ribos:</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4.1.</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visa Lietuvos Respublikos teritorija</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5</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4.2.</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daugiau kaip 500 000 gyventojų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daugiau kaip 500 000 gyventojų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4</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4.3.</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nuo 100 000 iki 500 000 gyventojų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nuo 100 000 iki 500 000 gyventojų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3</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4.4.</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nuo 50 000 iki 100 000 gyventojų</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nuo 50 000 iki 100 000 gyventojų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2</w:t>
                </w:r>
              </w:p>
            </w:tc>
          </w:tr>
          <w:tr>
            <w:trPr>
              <w:trHeight w:val="23"/>
            </w:trPr>
            <w:tc>
              <w:tcPr>
                <w:tcW w:w="294"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4.5.</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mažiau kaip 50 000 gyventojų</w:t>
                </w:r>
              </w:p>
              <w:p>
                <w:pPr>
                  <w:rPr>
                    <w:sz w:val="6"/>
                    <w:szCs w:val="6"/>
                  </w:rPr>
                </w:pPr>
              </w:p>
              <w:p>
                <w:pPr>
                  <w:rPr>
                    <w:szCs w:val="24"/>
                  </w:rPr>
                </w:pPr>
                <w:r>
                  <w:rPr>
                    <w:i/>
                    <w:iCs/>
                    <w:szCs w:val="24"/>
                  </w:rPr>
                  <w:t>arba</w:t>
                </w:r>
              </w:p>
              <w:p>
                <w:pPr>
                  <w:rPr>
                    <w:sz w:val="6"/>
                    <w:szCs w:val="6"/>
                  </w:rPr>
                </w:pPr>
              </w:p>
              <w:p>
                <w:pPr>
                  <w:rPr>
                    <w:szCs w:val="24"/>
                  </w:rPr>
                </w:pPr>
                <w:r>
                  <w:rPr>
                    <w:szCs w:val="24"/>
                  </w:rPr>
                  <w:t>viena įstaigų sistema</w:t>
                </w:r>
              </w:p>
            </w:tc>
            <w:tc>
              <w:tcPr>
                <w:tcW w:w="2059"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teritorija, kurioje yra mažiau kaip 50 000 gyventojų</w:t>
                </w:r>
              </w:p>
            </w:tc>
            <w:tc>
              <w:tcPr>
                <w:tcW w:w="367"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1</w:t>
                </w:r>
              </w:p>
            </w:tc>
          </w:tr>
        </w:tbl>
        <w:p/>
        <w:tbl>
          <w:tblPr>
            <w:tblW w:w="964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9"/>
            <w:gridCol w:w="4535"/>
            <w:gridCol w:w="4537"/>
          </w:tblGrid>
          <w:tr>
            <w:trPr>
              <w:trHeight w:val="23"/>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Valstybės institucijos ar įstaigos surinktų balų santykis su valstybės institucijos ar įstaigos vadovo pareiginės algos koeficientu (baziniu dydžiu):</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rPr>
                    <w:szCs w:val="24"/>
                  </w:rPr>
                </w:pPr>
                <w:r>
                  <w:rPr>
                    <w:szCs w:val="24"/>
                  </w:rPr>
                  <w:t>Eil. Nr.</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Valstybės institucijos ar įstaigos įvertinimas (balais)</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jc w:val="center"/>
                  <w:rPr>
                    <w:szCs w:val="24"/>
                  </w:rPr>
                </w:pPr>
                <w:r>
                  <w:rPr>
                    <w:szCs w:val="24"/>
                  </w:rPr>
                  <w:t>Pareiginės algos koeficientas (bazinis dydis)</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1.</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15–17</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color w:val="FF0000"/>
                    <w:szCs w:val="24"/>
                  </w:rPr>
                </w:pPr>
                <w:r>
                  <w:rPr>
                    <w:szCs w:val="24"/>
                  </w:rPr>
                  <w:t>3,00–3,98</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2.</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12–14</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color w:val="FF0000"/>
                    <w:szCs w:val="24"/>
                  </w:rPr>
                </w:pPr>
                <w:r>
                  <w:rPr>
                    <w:szCs w:val="24"/>
                  </w:rPr>
                  <w:t>2,67–3,58</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3.</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9–11</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color w:val="FF0000"/>
                    <w:szCs w:val="24"/>
                  </w:rPr>
                </w:pPr>
                <w:r>
                  <w:rPr>
                    <w:szCs w:val="24"/>
                  </w:rPr>
                  <w:t>2,33–3,18</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rPr>
                    <w:szCs w:val="24"/>
                  </w:rPr>
                </w:pPr>
                <w:r>
                  <w:rPr>
                    <w:szCs w:val="24"/>
                  </w:rPr>
                  <w:t>4.</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szCs w:val="24"/>
                  </w:rPr>
                </w:pPr>
                <w:r>
                  <w:rPr>
                    <w:szCs w:val="24"/>
                  </w:rPr>
                  <w:t>5–8</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jc w:val="center"/>
                  <w:rPr>
                    <w:color w:val="FF0000"/>
                    <w:szCs w:val="24"/>
                  </w:rPr>
                </w:pPr>
                <w:r>
                  <w:rPr>
                    <w:szCs w:val="24"/>
                  </w:rPr>
                  <w:t>2,00–2,78</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tabs>
                    <w:tab w:val="left" w:pos="5529"/>
                  </w:tabs>
                  <w:jc w:val="center"/>
                  <w:rPr>
                    <w:szCs w:val="24"/>
                    <w:lang w:eastAsia="lt-LT"/>
                  </w:rPr>
                </w:pPr>
                <w:r>
                  <w:rPr>
                    <w:szCs w:val="24"/>
                    <w:lang w:eastAsia="lt-LT"/>
                  </w:rPr>
                  <w:t>Savivaldybės institucijos ar įstaigos surinktų balų santykis su savivaldybės institucijos ar įstaigos vadovo pareiginės algos koeficientu (baziniu dydžiu):</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tabs>
                    <w:tab w:val="left" w:pos="5529"/>
                  </w:tabs>
                  <w:jc w:val="center"/>
                  <w:rPr>
                    <w:szCs w:val="24"/>
                    <w:lang w:eastAsia="lt-LT"/>
                  </w:rPr>
                </w:pPr>
                <w:r>
                  <w:rPr>
                    <w:szCs w:val="24"/>
                    <w:lang w:eastAsia="lt-LT"/>
                  </w:rPr>
                  <w:t>Eil. Nr.</w:t>
                </w:r>
              </w:p>
            </w:tc>
            <w:tc>
              <w:tcPr>
                <w:tcW w:w="2352"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tabs>
                    <w:tab w:val="left" w:pos="5529"/>
                  </w:tabs>
                  <w:jc w:val="center"/>
                  <w:rPr>
                    <w:szCs w:val="24"/>
                    <w:lang w:eastAsia="lt-LT"/>
                  </w:rPr>
                </w:pPr>
                <w:r>
                  <w:rPr>
                    <w:szCs w:val="24"/>
                    <w:lang w:eastAsia="lt-LT"/>
                  </w:rPr>
                  <w:t>Savivaldybės institucijos ar įstaigos įvertinimas (balais)</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rPr>
                    <w:sz w:val="6"/>
                    <w:szCs w:val="6"/>
                  </w:rPr>
                </w:pPr>
              </w:p>
              <w:p>
                <w:pPr>
                  <w:tabs>
                    <w:tab w:val="left" w:pos="5529"/>
                  </w:tabs>
                  <w:jc w:val="center"/>
                  <w:rPr>
                    <w:szCs w:val="24"/>
                    <w:lang w:eastAsia="lt-LT"/>
                  </w:rPr>
                </w:pPr>
                <w:r>
                  <w:rPr>
                    <w:szCs w:val="24"/>
                    <w:lang w:eastAsia="lt-LT"/>
                  </w:rPr>
                  <w:t>Pareiginės algos koeficientas (bazinis dydis)</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tabs>
                    <w:tab w:val="left" w:pos="5529"/>
                  </w:tabs>
                  <w:jc w:val="center"/>
                  <w:rPr>
                    <w:szCs w:val="24"/>
                    <w:lang w:eastAsia="lt-LT"/>
                  </w:rPr>
                </w:pPr>
                <w:r>
                  <w:rPr>
                    <w:szCs w:val="24"/>
                    <w:lang w:eastAsia="lt-LT"/>
                  </w:rPr>
                  <w:t>1.</w:t>
                </w:r>
              </w:p>
            </w:tc>
            <w:tc>
              <w:tcPr>
                <w:tcW w:w="2352"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tabs>
                    <w:tab w:val="left" w:pos="5529"/>
                  </w:tabs>
                  <w:jc w:val="center"/>
                  <w:rPr>
                    <w:szCs w:val="24"/>
                    <w:lang w:eastAsia="lt-LT"/>
                  </w:rPr>
                </w:pPr>
                <w:r>
                  <w:rPr>
                    <w:szCs w:val="24"/>
                    <w:lang w:eastAsia="lt-LT"/>
                  </w:rPr>
                  <w:t>11–14</w:t>
                </w:r>
              </w:p>
            </w:tc>
            <w:tc>
              <w:tcPr>
                <w:tcW w:w="2353"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rPr>
                </w:pPr>
                <w:r>
                  <w:rPr>
                    <w:szCs w:val="24"/>
                    <w:lang w:eastAsia="lt-LT"/>
                  </w:rPr>
                  <w:t>2,00–3,00</w:t>
                </w:r>
              </w:p>
            </w:tc>
          </w:tr>
          <w:tr>
            <w:trPr>
              <w:trHeight w:val="23"/>
            </w:trPr>
            <w:tc>
              <w:tcPr>
                <w:tcW w:w="295" w:type="pct"/>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rPr>
                    <w:sz w:val="6"/>
                    <w:szCs w:val="6"/>
                  </w:rPr>
                </w:pPr>
              </w:p>
              <w:p>
                <w:pPr>
                  <w:tabs>
                    <w:tab w:val="left" w:pos="5529"/>
                  </w:tabs>
                  <w:jc w:val="center"/>
                  <w:rPr>
                    <w:szCs w:val="24"/>
                    <w:lang w:eastAsia="lt-LT"/>
                  </w:rPr>
                </w:pPr>
                <w:r>
                  <w:rPr>
                    <w:szCs w:val="24"/>
                    <w:lang w:eastAsia="lt-LT"/>
                  </w:rPr>
                  <w:t>2.</w:t>
                </w:r>
              </w:p>
            </w:tc>
            <w:tc>
              <w:tcPr>
                <w:tcW w:w="2352"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tabs>
                    <w:tab w:val="left" w:pos="5529"/>
                  </w:tabs>
                  <w:jc w:val="center"/>
                  <w:rPr>
                    <w:szCs w:val="24"/>
                    <w:lang w:eastAsia="lt-LT"/>
                  </w:rPr>
                </w:pPr>
                <w:r>
                  <w:rPr>
                    <w:szCs w:val="24"/>
                    <w:lang w:eastAsia="lt-LT"/>
                  </w:rPr>
                  <w:t>7–10</w:t>
                </w:r>
              </w:p>
            </w:tc>
            <w:tc>
              <w:tcPr>
                <w:tcW w:w="2353" w:type="pct"/>
                <w:tcBorders>
                  <w:top w:val="single" w:sz="4" w:space="0" w:color="auto"/>
                  <w:left w:val="single" w:sz="4" w:space="0" w:color="auto"/>
                  <w:bottom w:val="single" w:sz="4" w:space="0" w:color="auto"/>
                  <w:right w:val="single" w:sz="4" w:space="0" w:color="auto"/>
                </w:tcBorders>
                <w:shd w:val="clear" w:color="auto" w:fill="auto"/>
                <w:tcMar>
                  <w:top w:w="0" w:type="dxa"/>
                  <w:left w:w="40" w:type="dxa"/>
                  <w:bottom w:w="0" w:type="dxa"/>
                  <w:right w:w="40" w:type="dxa"/>
                </w:tcMar>
              </w:tcPr>
              <w:p>
                <w:pPr>
                  <w:rPr>
                    <w:sz w:val="6"/>
                    <w:szCs w:val="6"/>
                  </w:rPr>
                </w:pPr>
              </w:p>
              <w:p>
                <w:pPr>
                  <w:jc w:val="center"/>
                  <w:rPr>
                    <w:szCs w:val="24"/>
                    <w:lang w:eastAsia="lt-LT"/>
                  </w:rPr>
                </w:pPr>
                <w:r>
                  <w:rPr>
                    <w:szCs w:val="24"/>
                    <w:lang w:eastAsia="lt-LT"/>
                  </w:rPr>
                  <w:t>1,70–2,50</w:t>
                </w:r>
              </w:p>
            </w:tc>
          </w:tr>
        </w:tbl>
        <w:p>
          <w:pPr>
            <w:tabs>
              <w:tab w:val="left" w:pos="5529"/>
            </w:tabs>
            <w:jc w:val="center"/>
            <w:rPr>
              <w:szCs w:val="24"/>
              <w:lang w:eastAsia="lt-LT"/>
            </w:rPr>
          </w:pPr>
        </w:p>
        <w:sdt>
          <w:sdtPr>
            <w:alias w:val="skirsnis"/>
            <w:tag w:val="part_0e40f2e8e0c94a468c0ebec90b6d39ce"/>
            <w:lock w:val="sdtLocked"/>
            <w:richText/>
          </w:sdtPr>
          <w:sdtContent>
            <w:p>
              <w:pPr>
                <w:shd w:val="clear" w:color="auto" w:fill="FFFFFF"/>
                <w:jc w:val="center"/>
                <w:rPr>
                  <w:color w:val="000000"/>
                  <w:szCs w:val="24"/>
                  <w:lang w:eastAsia="lt-LT"/>
                </w:rPr>
              </w:pPr>
              <w:sdt>
                <w:sdtPr>
                  <w:alias w:val="Pavadinimas"/>
                  <w:tag w:val="title_0e40f2e8e0c94a468c0ebec90b6d39ce"/>
                  <w:lock w:val="sdtLocked"/>
                  <w:richText/>
                </w:sdtPr>
                <w:sdtContent>
                  <w:r>
                    <w:rPr>
                      <w:b/>
                      <w:bCs/>
                      <w:color w:val="000000"/>
                      <w:szCs w:val="24"/>
                      <w:lang w:eastAsia="lt-LT"/>
                    </w:rPr>
                    <w:t>Vartojamų formuluočių reikšmės</w:t>
                  </w:r>
                </w:sdtContent>
              </w:sdt>
            </w:p>
            <w:p>
              <w:pPr>
                <w:shd w:val="clear" w:color="auto" w:fill="FFFFFF"/>
                <w:jc w:val="center"/>
                <w:rPr>
                  <w:color w:val="000000"/>
                  <w:szCs w:val="24"/>
                  <w:lang w:eastAsia="lt-LT"/>
                </w:rPr>
              </w:pPr>
            </w:p>
            <w:sdt>
              <w:sdtPr>
                <w:alias w:val="1 p."/>
                <w:tag w:val="part_81d4ef74fbb844d08cfe2ed401a43d46"/>
                <w:lock w:val="sdtLocked"/>
                <w:richText/>
              </w:sdtPr>
              <w:sdtContent>
                <w:p>
                  <w:pPr>
                    <w:shd w:val="clear" w:color="auto" w:fill="FFFFFF"/>
                    <w:ind w:firstLine="720"/>
                    <w:jc w:val="both"/>
                    <w:rPr>
                      <w:color w:val="000000"/>
                      <w:szCs w:val="24"/>
                      <w:lang w:eastAsia="lt-LT"/>
                    </w:rPr>
                  </w:pPr>
                  <w:sdt>
                    <w:sdtPr>
                      <w:alias w:val="Numeris"/>
                      <w:tag w:val="nr_81d4ef74fbb844d08cfe2ed401a43d46"/>
                      <w:lock w:val="sdtLocked"/>
                      <w:richText/>
                    </w:sdtPr>
                    <w:sdtContent>
                      <w:r>
                        <w:rPr>
                          <w:color w:val="000000"/>
                          <w:szCs w:val="24"/>
                          <w:lang w:eastAsia="lt-LT"/>
                        </w:rPr>
                        <w:t>1</w:t>
                      </w:r>
                    </w:sdtContent>
                  </w:sdt>
                  <w:r>
                    <w:rPr>
                      <w:color w:val="000000"/>
                      <w:szCs w:val="24"/>
                      <w:lang w:eastAsia="lt-LT"/>
                    </w:rPr>
                    <w:t>. Valstybės politikos formavimas suprantamas kaip valstybės institucijos ar įstaigos veikla, apimanti tiesioginį Seimo ir Vyriausybės sprendimų projektų (įstatymų projektų, Seimo ar Vyriausybės norminių administracinių aktų projektų, taip pat valstybės strategijų, strateginio lygmens ir nacionalinių programavimo lygmens planavimo dokumentų), rengimą ir teikimą Seimui ar Vyriausybei.</w:t>
                  </w:r>
                </w:p>
              </w:sdtContent>
            </w:sdt>
            <w:sdt>
              <w:sdtPr>
                <w:alias w:val="2 p."/>
                <w:tag w:val="part_1f489834293047e88acf4c7f69bffade"/>
                <w:lock w:val="sdtLocked"/>
                <w:richText/>
              </w:sdtPr>
              <w:sdtContent>
                <w:p>
                  <w:pPr>
                    <w:shd w:val="clear" w:color="auto" w:fill="FFFFFF"/>
                    <w:ind w:firstLine="720"/>
                    <w:jc w:val="both"/>
                    <w:rPr>
                      <w:color w:val="000000"/>
                      <w:szCs w:val="24"/>
                      <w:lang w:eastAsia="lt-LT"/>
                    </w:rPr>
                  </w:pPr>
                  <w:sdt>
                    <w:sdtPr>
                      <w:alias w:val="Numeris"/>
                      <w:tag w:val="nr_1f489834293047e88acf4c7f69bffade"/>
                      <w:lock w:val="sdtLocked"/>
                      <w:richText/>
                    </w:sdtPr>
                    <w:sdtContent>
                      <w:r>
                        <w:rPr>
                          <w:color w:val="000000"/>
                          <w:szCs w:val="24"/>
                          <w:lang w:eastAsia="lt-LT"/>
                        </w:rPr>
                        <w:t>2</w:t>
                      </w:r>
                    </w:sdtContent>
                  </w:sdt>
                  <w:r>
                    <w:rPr>
                      <w:color w:val="000000"/>
                      <w:szCs w:val="24"/>
                      <w:lang w:eastAsia="lt-LT"/>
                    </w:rPr>
                    <w:t>. Valstybės politikos įgyvendinimas suprantamas kaip valstybės institucijos ar įstaigos vykdomoji–tvarkomoji veikla, apimanti funkcijas, kurios nėra priskirtos valstybės politikos formavimui, dalyvavimui formuojant valstybės politiką ar valstybės politikos formavimo ar įgyvendinimo aptarnavimui.</w:t>
                  </w:r>
                </w:p>
              </w:sdtContent>
            </w:sdt>
            <w:sdt>
              <w:sdtPr>
                <w:alias w:val="3 p."/>
                <w:tag w:val="part_02eedb4ca4ca469ca7544acb8c49d399"/>
                <w:lock w:val="sdtLocked"/>
                <w:richText/>
              </w:sdtPr>
              <w:sdtContent>
                <w:p>
                  <w:pPr>
                    <w:shd w:val="clear" w:color="auto" w:fill="FFFFFF"/>
                    <w:ind w:firstLine="720"/>
                    <w:jc w:val="both"/>
                    <w:rPr>
                      <w:color w:val="000000"/>
                      <w:szCs w:val="24"/>
                      <w:lang w:eastAsia="lt-LT"/>
                    </w:rPr>
                  </w:pPr>
                  <w:sdt>
                    <w:sdtPr>
                      <w:alias w:val="Numeris"/>
                      <w:tag w:val="nr_02eedb4ca4ca469ca7544acb8c49d399"/>
                      <w:lock w:val="sdtLocked"/>
                      <w:richText/>
                    </w:sdtPr>
                    <w:sdtContent>
                      <w:r>
                        <w:rPr>
                          <w:color w:val="000000"/>
                          <w:szCs w:val="24"/>
                          <w:lang w:eastAsia="lt-LT"/>
                        </w:rPr>
                        <w:t>3</w:t>
                      </w:r>
                    </w:sdtContent>
                  </w:sdt>
                  <w:r>
                    <w:rPr>
                      <w:color w:val="000000"/>
                      <w:szCs w:val="24"/>
                      <w:lang w:eastAsia="lt-LT"/>
                    </w:rPr>
                    <w:t>. Dalyvavimas formuojant valstybės politiką suprantamas kaip valstybės institucijos ar įstaigos veikla, apimanti pasiūlymų dėl valdymo srities(-čių), kurioje(-se) veikia valstybės institucija ar įstaiga, teisinio reguliavimo teikimas valstybės politiką šioje(-se) srityje(-se) formuojančiai(-ioms) ministerijai(-oms) arba šios(-ių) ministerijos(-jų) pavedimu – tiesioginis Seimo ir Vyriausybės sprendimų projektų (įstatymų projektų, Seimo ir Vyriausybės norminių administracinių aktų projektų, taip pat nacionalinių programavimo lygmens planavimo dokumentų) rengimas ir teikimas ministerijai (-joms), kai ši veikla valstybės institucijai ar įstaigai yra pavesta kaip tiesioginė funkcija (Lietuvos Respublikos viešojo administravimo įstatymo nustatyta tvarka valstybės institucijai ar įstaigai yra suteikti viešojo administravimo įgaliojimai vykdyti veiklą administracinio reglamentavimo srityje)..</w:t>
                  </w:r>
                </w:p>
              </w:sdtContent>
            </w:sdt>
            <w:sdt>
              <w:sdtPr>
                <w:alias w:val="4 p."/>
                <w:tag w:val="part_a2819c2662e94fab8000538c53a0e6ab"/>
                <w:lock w:val="sdtLocked"/>
                <w:richText/>
              </w:sdtPr>
              <w:sdtContent>
                <w:p>
                  <w:pPr>
                    <w:shd w:val="clear" w:color="auto" w:fill="FFFFFF"/>
                    <w:ind w:firstLine="720"/>
                    <w:jc w:val="both"/>
                    <w:rPr>
                      <w:color w:val="000000"/>
                      <w:szCs w:val="24"/>
                      <w:lang w:eastAsia="lt-LT"/>
                    </w:rPr>
                  </w:pPr>
                  <w:sdt>
                    <w:sdtPr>
                      <w:alias w:val="Numeris"/>
                      <w:tag w:val="nr_a2819c2662e94fab8000538c53a0e6ab"/>
                      <w:lock w:val="sdtLocked"/>
                      <w:richText/>
                    </w:sdtPr>
                    <w:sdtContent>
                      <w:r>
                        <w:rPr>
                          <w:color w:val="000000"/>
                          <w:szCs w:val="24"/>
                          <w:lang w:eastAsia="lt-LT"/>
                        </w:rPr>
                        <w:t>4</w:t>
                      </w:r>
                    </w:sdtContent>
                  </w:sdt>
                  <w:r>
                    <w:rPr>
                      <w:color w:val="000000"/>
                      <w:szCs w:val="24"/>
                      <w:lang w:eastAsia="lt-LT"/>
                    </w:rPr>
                    <w:t>. Valstybės politikos formavimo ar įgyvendinimo aptarnavimas suprantamas kaip specializuota valstybės institucijos ar įstaigos veikla, vykdoma pagal konkretų linijinį, funkcinį, programinį pavedimą arba pagal konkrečią instrukciją su aiškiu siekiamu materialiu rezultatu, kurį identifikuoja ir vertina pavedimą davęs subjektas (medžiagos kaupimo, registravimo, sisteminimo, informacinio aprūpinimo ar kiti techninio pobūdžio darbai, seminarų, diskusijų organizavimas, ekspertizių atlikimas, taip pat kitų aptarnavimo funkcijų atlikimas).</w:t>
                  </w:r>
                </w:p>
              </w:sdtContent>
            </w:sdt>
            <w:sdt>
              <w:sdtPr>
                <w:alias w:val="5 p."/>
                <w:tag w:val="part_585ca1784e7345ba919331f1559bdc28"/>
                <w:lock w:val="sdtLocked"/>
                <w:richText/>
              </w:sdtPr>
              <w:sdtContent>
                <w:p>
                  <w:pPr>
                    <w:shd w:val="clear" w:color="auto" w:fill="FFFFFF"/>
                    <w:ind w:firstLine="720"/>
                    <w:jc w:val="both"/>
                    <w:rPr>
                      <w:color w:val="000000"/>
                      <w:szCs w:val="24"/>
                      <w:lang w:eastAsia="lt-LT"/>
                    </w:rPr>
                  </w:pPr>
                  <w:sdt>
                    <w:sdtPr>
                      <w:alias w:val="Numeris"/>
                      <w:tag w:val="nr_585ca1784e7345ba919331f1559bdc28"/>
                      <w:lock w:val="sdtLocked"/>
                      <w:richText/>
                    </w:sdtPr>
                    <w:sdtContent>
                      <w:r>
                        <w:rPr>
                          <w:color w:val="000000"/>
                          <w:szCs w:val="24"/>
                          <w:lang w:eastAsia="lt-LT"/>
                        </w:rPr>
                        <w:t>5</w:t>
                      </w:r>
                    </w:sdtContent>
                  </w:sdt>
                  <w:r>
                    <w:rPr>
                      <w:color w:val="000000"/>
                      <w:szCs w:val="24"/>
                      <w:lang w:eastAsia="lt-LT"/>
                    </w:rPr>
                    <w:t>. Vertikalusis vadovavimas suprantamas kaip valstybės ar savivaldybės institucijos ar įstaigos veikla, kurią vykdant daromas poveikis pavaldiems subjektams (juridiniams asmenims ar teritoriniams struktūriniams padaliniams).</w:t>
                  </w:r>
                </w:p>
              </w:sdtContent>
            </w:sdt>
            <w:sdt>
              <w:sdtPr>
                <w:alias w:val="6 p."/>
                <w:tag w:val="part_3f520b75e99e4eabac477fa6302f7ac6"/>
                <w:lock w:val="sdtLocked"/>
                <w:richText/>
              </w:sdtPr>
              <w:sdtContent>
                <w:p>
                  <w:pPr>
                    <w:shd w:val="clear" w:color="auto" w:fill="FFFFFF"/>
                    <w:ind w:firstLine="720"/>
                    <w:jc w:val="both"/>
                    <w:rPr>
                      <w:color w:val="000000"/>
                      <w:szCs w:val="24"/>
                      <w:lang w:eastAsia="lt-LT"/>
                    </w:rPr>
                  </w:pPr>
                  <w:sdt>
                    <w:sdtPr>
                      <w:alias w:val="Numeris"/>
                      <w:tag w:val="nr_3f520b75e99e4eabac477fa6302f7ac6"/>
                      <w:lock w:val="sdtLocked"/>
                      <w:richText/>
                    </w:sdtPr>
                    <w:sdtContent>
                      <w:r>
                        <w:rPr>
                          <w:color w:val="000000"/>
                          <w:szCs w:val="24"/>
                          <w:lang w:eastAsia="lt-LT"/>
                        </w:rPr>
                        <w:t>6</w:t>
                      </w:r>
                    </w:sdtContent>
                  </w:sdt>
                  <w:r>
                    <w:rPr>
                      <w:color w:val="000000"/>
                      <w:szCs w:val="24"/>
                      <w:lang w:eastAsia="lt-LT"/>
                    </w:rPr>
                    <w:t>. Funkcinis vadovavimas suprantamas kaip valstybės institucijos ar įstaigos veikla, vykdoma nepavaldžių subjektų atžvilgiu tam tikroje valdymo srityje, apimanti nepavaldžių subjektų veiklos planavimą, metodinę pagalbą, koordinavimą ir priežiūrą.</w:t>
                  </w:r>
                </w:p>
              </w:sdtContent>
            </w:sdt>
            <w:sdt>
              <w:sdtPr>
                <w:alias w:val="7 p."/>
                <w:tag w:val="part_33284809c171410aae03bc0821788e25"/>
                <w:lock w:val="sdtLocked"/>
                <w:richText/>
              </w:sdtPr>
              <w:sdtContent>
                <w:p>
                  <w:pPr>
                    <w:shd w:val="clear" w:color="auto" w:fill="FFFFFF"/>
                    <w:ind w:firstLine="720"/>
                    <w:jc w:val="both"/>
                    <w:rPr>
                      <w:color w:val="000000"/>
                      <w:szCs w:val="24"/>
                      <w:lang w:eastAsia="lt-LT"/>
                    </w:rPr>
                  </w:pPr>
                  <w:sdt>
                    <w:sdtPr>
                      <w:alias w:val="Numeris"/>
                      <w:tag w:val="nr_33284809c171410aae03bc0821788e25"/>
                      <w:lock w:val="sdtLocked"/>
                      <w:richText/>
                    </w:sdtPr>
                    <w:sdtContent>
                      <w:r>
                        <w:rPr>
                          <w:color w:val="000000"/>
                          <w:szCs w:val="24"/>
                          <w:lang w:eastAsia="lt-LT"/>
                        </w:rPr>
                        <w:t>7</w:t>
                      </w:r>
                    </w:sdtContent>
                  </w:sdt>
                  <w:r>
                    <w:rPr>
                      <w:color w:val="000000"/>
                      <w:szCs w:val="24"/>
                      <w:lang w:eastAsia="lt-LT"/>
                    </w:rPr>
                    <w:t>. Dalinis funkcinis vadovavimas suprantamas kaip valstybės ar savivaldybės institucijos ar įstaigos veikla, vykdoma nepavaldžių subjektų atžvilgiu tam tikroje valdymo srityje, apimanti bent vieną iš šių funkcijų – nepavaldžių subjektų veiklos planavimą, metodinę pagalbą, koordinavimą ar priežiūrą.</w:t>
                  </w:r>
                </w:p>
              </w:sdtContent>
            </w:sdt>
            <w:sdt>
              <w:sdtPr>
                <w:alias w:val="8 p."/>
                <w:tag w:val="part_1c442ed001a0479f9e3bcf840847e18d"/>
                <w:lock w:val="sdtLocked"/>
                <w:richText/>
              </w:sdtPr>
              <w:sdtContent>
                <w:p>
                  <w:pPr>
                    <w:shd w:val="clear" w:color="auto" w:fill="FFFFFF"/>
                    <w:ind w:firstLine="720"/>
                    <w:jc w:val="both"/>
                    <w:rPr>
                      <w:color w:val="000000"/>
                      <w:szCs w:val="24"/>
                      <w:lang w:eastAsia="lt-LT"/>
                    </w:rPr>
                  </w:pPr>
                  <w:sdt>
                    <w:sdtPr>
                      <w:alias w:val="Numeris"/>
                      <w:tag w:val="nr_1c442ed001a0479f9e3bcf840847e18d"/>
                      <w:lock w:val="sdtLocked"/>
                      <w:richText/>
                    </w:sdtPr>
                    <w:sdtContent>
                      <w:r>
                        <w:rPr>
                          <w:color w:val="000000"/>
                          <w:szCs w:val="24"/>
                          <w:lang w:eastAsia="lt-LT"/>
                        </w:rPr>
                        <w:t>8</w:t>
                      </w:r>
                    </w:sdtContent>
                  </w:sdt>
                  <w:r>
                    <w:rPr>
                      <w:color w:val="000000"/>
                      <w:szCs w:val="24"/>
                      <w:lang w:eastAsia="lt-LT"/>
                    </w:rPr>
                    <w:t>. Pavaldžių subjektų sistema suprantama kaip valstybės ar savivaldybės institucijos ar įstaigos veiklos srityje veikiančių juridinių asmenų, su valstybės ar savivaldybės institucija ar įstaiga susietų tiesioginio pavaldumo ar atskaitomybės ryšiais, visuma.</w:t>
                  </w:r>
                </w:p>
                <w:p>
                  <w:pPr>
                    <w:tabs>
                      <w:tab w:val="left" w:pos="5529"/>
                    </w:tabs>
                    <w:jc w:val="center"/>
                    <w:rPr>
                      <w:szCs w:val="24"/>
                      <w:lang w:eastAsia="lt-LT"/>
                    </w:rPr>
                  </w:pPr>
                </w:p>
              </w:sdtContent>
            </w:sdt>
          </w:sdtContent>
        </w:sdt>
        <w:sdt>
          <w:sdtPr>
            <w:alias w:val="pabaiga"/>
            <w:tag w:val="part_3774e5b77ca841c1bcab3312a89d7ddf"/>
            <w:lock w:val="sdtLocked"/>
            <w:richText/>
          </w:sdtPr>
          <w:sdtContent>
            <w:p>
              <w:pPr>
                <w:tabs>
                  <w:tab w:val="left" w:pos="5529"/>
                </w:tabs>
                <w:jc w:val="center"/>
                <w:rPr>
                  <w:szCs w:val="24"/>
                  <w:lang w:eastAsia="lt-LT"/>
                </w:rPr>
              </w:pPr>
              <w:r>
                <w:rPr>
                  <w:szCs w:val="24"/>
                  <w:lang w:eastAsia="lt-LT"/>
                </w:rPr>
                <w:t>___________________</w:t>
              </w:r>
            </w:p>
          </w:sdtContent>
        </w:sdt>
      </w:sdtContent>
    </w:sdt>
    <w:sectPr>
      <w:headerReference w:type="default" r:id="rId13"/>
      <w:pgSz w:w="11907" w:h="16839"/>
      <w:pgMar w:top="1134" w:right="567" w:bottom="567"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57"/>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A2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F4ACCF2C-C257-4331-B2C1-3335B708E1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444753">
      <w:bodyDiv w:val="1"/>
      <w:marLeft w:val="0"/>
      <w:marRight w:val="0"/>
      <w:marTop w:val="0"/>
      <w:marBottom w:val="0"/>
      <w:divBdr>
        <w:top w:val="none" w:sz="0" w:space="0" w:color="auto"/>
        <w:left w:val="none" w:sz="0" w:space="0" w:color="auto"/>
        <w:bottom w:val="none" w:sz="0" w:space="0" w:color="auto"/>
        <w:right w:val="none" w:sz="0" w:space="0" w:color="auto"/>
      </w:divBdr>
    </w:div>
    <w:div w:id="46490608">
      <w:bodyDiv w:val="1"/>
      <w:marLeft w:val="0"/>
      <w:marRight w:val="0"/>
      <w:marTop w:val="0"/>
      <w:marBottom w:val="0"/>
      <w:divBdr>
        <w:top w:val="none" w:sz="0" w:space="0" w:color="auto"/>
        <w:left w:val="none" w:sz="0" w:space="0" w:color="auto"/>
        <w:bottom w:val="none" w:sz="0" w:space="0" w:color="auto"/>
        <w:right w:val="none" w:sz="0" w:space="0" w:color="auto"/>
      </w:divBdr>
    </w:div>
    <w:div w:id="95440889">
      <w:bodyDiv w:val="1"/>
      <w:marLeft w:val="0"/>
      <w:marRight w:val="0"/>
      <w:marTop w:val="0"/>
      <w:marBottom w:val="0"/>
      <w:divBdr>
        <w:top w:val="none" w:sz="0" w:space="0" w:color="auto"/>
        <w:left w:val="none" w:sz="0" w:space="0" w:color="auto"/>
        <w:bottom w:val="none" w:sz="0" w:space="0" w:color="auto"/>
        <w:right w:val="none" w:sz="0" w:space="0" w:color="auto"/>
      </w:divBdr>
    </w:div>
    <w:div w:id="213584564">
      <w:bodyDiv w:val="1"/>
      <w:marLeft w:val="0"/>
      <w:marRight w:val="0"/>
      <w:marTop w:val="0"/>
      <w:marBottom w:val="0"/>
      <w:divBdr>
        <w:top w:val="none" w:sz="0" w:space="0" w:color="auto"/>
        <w:left w:val="none" w:sz="0" w:space="0" w:color="auto"/>
        <w:bottom w:val="none" w:sz="0" w:space="0" w:color="auto"/>
        <w:right w:val="none" w:sz="0" w:space="0" w:color="auto"/>
      </w:divBdr>
      <w:divsChild>
        <w:div w:id="1283540445">
          <w:marLeft w:val="0"/>
          <w:marRight w:val="0"/>
          <w:marTop w:val="0"/>
          <w:marBottom w:val="0"/>
          <w:divBdr>
            <w:top w:val="none" w:sz="0" w:space="0" w:color="auto"/>
            <w:left w:val="none" w:sz="0" w:space="0" w:color="auto"/>
            <w:bottom w:val="none" w:sz="0" w:space="0" w:color="auto"/>
            <w:right w:val="none" w:sz="0" w:space="0" w:color="auto"/>
          </w:divBdr>
        </w:div>
        <w:div w:id="556167720">
          <w:marLeft w:val="0"/>
          <w:marRight w:val="0"/>
          <w:marTop w:val="0"/>
          <w:marBottom w:val="0"/>
          <w:divBdr>
            <w:top w:val="none" w:sz="0" w:space="0" w:color="auto"/>
            <w:left w:val="none" w:sz="0" w:space="0" w:color="auto"/>
            <w:bottom w:val="none" w:sz="0" w:space="0" w:color="auto"/>
            <w:right w:val="none" w:sz="0" w:space="0" w:color="auto"/>
          </w:divBdr>
          <w:divsChild>
            <w:div w:id="1093359379">
              <w:marLeft w:val="0"/>
              <w:marRight w:val="0"/>
              <w:marTop w:val="0"/>
              <w:marBottom w:val="0"/>
              <w:divBdr>
                <w:top w:val="none" w:sz="0" w:space="0" w:color="auto"/>
                <w:left w:val="none" w:sz="0" w:space="0" w:color="auto"/>
                <w:bottom w:val="none" w:sz="0" w:space="0" w:color="auto"/>
                <w:right w:val="none" w:sz="0" w:space="0" w:color="auto"/>
              </w:divBdr>
              <w:divsChild>
                <w:div w:id="137812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937682">
      <w:bodyDiv w:val="1"/>
      <w:marLeft w:val="0"/>
      <w:marRight w:val="0"/>
      <w:marTop w:val="0"/>
      <w:marBottom w:val="0"/>
      <w:divBdr>
        <w:top w:val="none" w:sz="0" w:space="0" w:color="auto"/>
        <w:left w:val="none" w:sz="0" w:space="0" w:color="auto"/>
        <w:bottom w:val="none" w:sz="0" w:space="0" w:color="auto"/>
        <w:right w:val="none" w:sz="0" w:space="0" w:color="auto"/>
      </w:divBdr>
    </w:div>
    <w:div w:id="1073551639">
      <w:bodyDiv w:val="1"/>
      <w:marLeft w:val="0"/>
      <w:marRight w:val="0"/>
      <w:marTop w:val="0"/>
      <w:marBottom w:val="0"/>
      <w:divBdr>
        <w:top w:val="none" w:sz="0" w:space="0" w:color="auto"/>
        <w:left w:val="none" w:sz="0" w:space="0" w:color="auto"/>
        <w:bottom w:val="none" w:sz="0" w:space="0" w:color="auto"/>
        <w:right w:val="none" w:sz="0" w:space="0" w:color="auto"/>
      </w:divBdr>
    </w:div>
    <w:div w:id="1205362327">
      <w:bodyDiv w:val="1"/>
      <w:marLeft w:val="0"/>
      <w:marRight w:val="0"/>
      <w:marTop w:val="0"/>
      <w:marBottom w:val="0"/>
      <w:divBdr>
        <w:top w:val="none" w:sz="0" w:space="0" w:color="auto"/>
        <w:left w:val="none" w:sz="0" w:space="0" w:color="auto"/>
        <w:bottom w:val="none" w:sz="0" w:space="0" w:color="auto"/>
        <w:right w:val="none" w:sz="0" w:space="0" w:color="auto"/>
      </w:divBdr>
    </w:div>
    <w:div w:id="1795713423">
      <w:bodyDiv w:val="1"/>
      <w:marLeft w:val="0"/>
      <w:marRight w:val="0"/>
      <w:marTop w:val="0"/>
      <w:marBottom w:val="0"/>
      <w:divBdr>
        <w:top w:val="none" w:sz="0" w:space="0" w:color="auto"/>
        <w:left w:val="none" w:sz="0" w:space="0" w:color="auto"/>
        <w:bottom w:val="none" w:sz="0" w:space="0" w:color="auto"/>
        <w:right w:val="none" w:sz="0" w:space="0" w:color="auto"/>
      </w:divBdr>
      <w:divsChild>
        <w:div w:id="779690025">
          <w:marLeft w:val="0"/>
          <w:marRight w:val="0"/>
          <w:marTop w:val="0"/>
          <w:marBottom w:val="0"/>
          <w:divBdr>
            <w:top w:val="none" w:sz="0" w:space="0" w:color="auto"/>
            <w:left w:val="none" w:sz="0" w:space="0" w:color="auto"/>
            <w:bottom w:val="none" w:sz="0" w:space="0" w:color="auto"/>
            <w:right w:val="none" w:sz="0" w:space="0" w:color="auto"/>
          </w:divBdr>
          <w:divsChild>
            <w:div w:id="83060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04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23e4b32cca145e9a4036248ac2a398a" PartId="d6f14a86651440d1bd51a0f71bfc87b4">
    <Part Type="preambule" DocPartId="6a9c911d07a94063a61dbb7b2af9356e" PartId="2823593b12da4038a359f4c1d9299ef2"/>
    <Part Type="punktas" Nr="1" Abbr="1 p." DocPartId="f77634d455ba44d4ae29356e037abf48" PartId="85084c634068419e9971c75fa2f4b300"/>
    <Part Type="punktas" Nr="2" Abbr="2 p." DocPartId="aab3cb4dc6094ceba547abc64635422f" PartId="23a4abe2dcf54448905d07bc7bd190f6"/>
    <Part Type="signatura" DocPartId="23398c89fe17439ba9a4de737d1be63c" PartId="b0265e0459614c58908add143cbdda5e"/>
  </Part>
  <Part Type="patvirtinta" Title="VALSTYBĖS IR SAVIVALDYBIŲ INSTITUCIJŲ IR ĮSTAIGŲ VERTINIMO KRITERIJŲ ĮVERČIAI" DocPartId="3548fb214e8b426aa2f58cd7b5b5dfd3" PartId="a61c5d749f064589b82df9f018b675d6">
    <Part Type="skirsnis" Title="Vartojamų formuluočių reikšmės" DocPartId="083d83dbd07f4cff8ad9c5fc9a03edcc" PartId="0e40f2e8e0c94a468c0ebec90b6d39ce">
      <Part Type="punktas" Nr="1" Abbr="1 p." DocPartId="2d4c16923e934fed99db6c6f4e75a92a" PartId="81d4ef74fbb844d08cfe2ed401a43d46"/>
      <Part Type="punktas" Nr="2" Abbr="2 p." DocPartId="911cac72bada4314ba91c945aba2a061" PartId="1f489834293047e88acf4c7f69bffade"/>
      <Part Type="punktas" Nr="3" Abbr="3 p." DocPartId="df0c5b62ac3d4b7fbb58bcc02867b7e2" PartId="02eedb4ca4ca469ca7544acb8c49d399"/>
      <Part Type="punktas" Nr="4" Abbr="4 p." DocPartId="187d5890f7654b02aed5d7c7d520620b" PartId="a2819c2662e94fab8000538c53a0e6ab"/>
      <Part Type="punktas" Nr="5" Abbr="5 p." DocPartId="d43e1d0050dc42b28c633906e3f7c99a" PartId="585ca1784e7345ba919331f1559bdc28"/>
      <Part Type="punktas" Nr="6" Abbr="6 p." DocPartId="f91bd18fdca5460f982d285086386da2" PartId="3f520b75e99e4eabac477fa6302f7ac6"/>
      <Part Type="punktas" Nr="7" Abbr="7 p." DocPartId="cf6c00a062f4426aaa693caea1709395" PartId="33284809c171410aae03bc0821788e25"/>
      <Part Type="punktas" Nr="8" Abbr="8 p." DocPartId="ae164ab9d9a647cc8146bb82d88d48bf" PartId="1c442ed001a0479f9e3bcf840847e18d"/>
    </Part>
    <Part Type="pabaiga" DocPartId="36b3db81b67942979d620411c383fea7" PartId="3774e5b77ca841c1bcab3312a89d7ddf"/>
  </Part>
</Parts>
</file>

<file path=customXml/itemProps1.xml><?xml version="1.0" encoding="utf-8"?>
<ds:datastoreItem xmlns:ds="http://schemas.openxmlformats.org/officeDocument/2006/customXml" ds:itemID="{3DFCC505-7403-4CFD-A93E-558AA4AE0422}">
  <ds:schemaRefs>
    <ds:schemaRef ds:uri="http://schemas.openxmlformats.org/officeDocument/2006/bibliography"/>
  </ds:schemaRefs>
</ds:datastoreItem>
</file>

<file path=customXml/itemProps2.xml><?xml version="1.0" encoding="utf-8"?>
<ds:datastoreItem xmlns:ds="http://schemas.openxmlformats.org/officeDocument/2006/customXml" ds:itemID="{C631C5BB-7530-4534-ACDF-0EE49FC6D4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969</Words>
  <Characters>6914</Characters>
  <Application>Microsoft Office Word</Application>
  <DocSecurity>4</DocSecurity>
  <Lines>256</Lines>
  <Paragraphs>151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2023-08-18T05:57:00Z</dcterms:created>
  <dc:creator>User</dc:creator>
  <lastModifiedBy>adlibuser</lastModifiedBy>
  <lastPrinted>2023-08-17T09:30:00Z</lastPrinted>
  <dcterms:modified xsi:type="dcterms:W3CDTF">2023-08-18T05:57:00Z</dcterms:modified>
  <revision>2</revision>
</coreProperties>
</file>