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4135678077e943f9b29f86a7c16d69d6"/>
        <w:lock w:val="sdtLocked"/>
        <w:richText/>
      </w:sdtPr>
      <w:sdtContent>
        <w:tbl>
          <w:tblPr>
            <w:tblW w:w="9647" w:type="dxa"/>
            <w:tblLayout w:type="fixed"/>
            <w:tblCellMar>
              <w:left w:w="107" w:type="dxa"/>
              <w:right w:w="107" w:type="dxa"/>
            </w:tblCellMar>
            <w:tblLook w:val="0000" w:firstRow="0" w:lastRow="0" w:firstColumn="0" w:lastColumn="0" w:noHBand="0" w:noVBand="0"/>
          </w:tblPr>
          <w:tblGrid>
            <w:gridCol w:w="4785"/>
            <w:gridCol w:w="4862"/>
          </w:tblGrid>
          <w:tr>
            <w:trPr>
              <w:cantSplit/>
            </w:trPr>
            <w:tc>
              <w:tcPr>
                <w:tcW w:w="9647" w:type="dxa"/>
                <w:gridSpan w:val="2"/>
              </w:tcPr>
              <w:tbl>
                <w:tblPr>
                  <w:tblW w:w="0" w:type="auto"/>
                  <w:tblLayout w:type="fixed"/>
                  <w:tblLook w:val="0000" w:firstRow="0" w:lastRow="0" w:firstColumn="0" w:lastColumn="0" w:noHBand="0" w:noVBand="0"/>
                </w:tblPr>
                <w:tblGrid>
                  <w:gridCol w:w="4786"/>
                  <w:gridCol w:w="2552"/>
                  <w:gridCol w:w="2517"/>
                </w:tblGrid>
                <w:tr>
                  <w:tc>
                    <w:tcPr>
                      <w:tcW w:w="4786" w:type="dxa"/>
                    </w:tcPr>
                    <w:p>
                      <w:pPr>
                        <w:tabs>
                          <w:tab w:val="center" w:pos="4320"/>
                          <w:tab w:val="right" w:pos="8640"/>
                        </w:tabs>
                        <w:rPr>
                          <w:sz w:val="20"/>
                        </w:rPr>
                      </w:pPr>
                    </w:p>
                  </w:tc>
                  <w:tc>
                    <w:tcPr>
                      <w:tcW w:w="2552" w:type="dxa"/>
                    </w:tcPr>
                    <w:p>
                      <w:pPr>
                        <w:tabs>
                          <w:tab w:val="center" w:pos="4320"/>
                          <w:tab w:val="right" w:pos="8640"/>
                        </w:tabs>
                        <w:jc w:val="right"/>
                        <w:rPr>
                          <w:b/>
                          <w:szCs w:val="24"/>
                        </w:rPr>
                      </w:pPr>
                      <w:r>
                        <w:rPr>
                          <w:b/>
                          <w:szCs w:val="24"/>
                        </w:rPr>
                        <w:t>Projektas</w:t>
                      </w:r>
                    </w:p>
                  </w:tc>
                  <w:tc>
                    <w:tcPr>
                      <w:tcW w:w="2517" w:type="dxa"/>
                    </w:tcPr>
                    <w:p>
                      <w:pPr>
                        <w:tabs>
                          <w:tab w:val="center" w:pos="4320"/>
                          <w:tab w:val="right" w:pos="8640"/>
                        </w:tabs>
                        <w:rPr>
                          <w:bCs/>
                          <w:szCs w:val="24"/>
                        </w:rPr>
                      </w:pPr>
                    </w:p>
                  </w:tc>
                </w:tr>
              </w:tbl>
              <w:p>
                <w:pPr>
                  <w:tabs>
                    <w:tab w:val="center" w:pos="4320"/>
                    <w:tab w:val="right" w:pos="8640"/>
                  </w:tabs>
                  <w:rPr>
                    <w:sz w:val="12"/>
                  </w:rPr>
                </w:pPr>
              </w:p>
              <w:p>
                <w:pPr>
                  <w:jc w:val="center"/>
                  <w:rPr>
                    <w:szCs w:val="24"/>
                  </w:rPr>
                </w:pPr>
              </w:p>
            </w:tc>
          </w:tr>
          <w:tr>
            <w:trPr>
              <w:cantSplit/>
            </w:trPr>
            <w:tc>
              <w:tcPr>
                <w:tcW w:w="9647" w:type="dxa"/>
                <w:gridSpan w:val="2"/>
              </w:tcPr>
              <w:p>
                <w:pPr>
                  <w:keepNext/>
                  <w:jc w:val="center"/>
                  <w:rPr>
                    <w:b/>
                    <w:sz w:val="26"/>
                    <w:szCs w:val="24"/>
                  </w:rPr>
                </w:pPr>
                <w:r>
                  <w:rPr>
                    <w:b/>
                    <w:caps/>
                    <w:sz w:val="26"/>
                    <w:szCs w:val="24"/>
                  </w:rPr>
                  <w:t>Zarasų rajono savivaldybės TARYBA</w:t>
                </w:r>
              </w:p>
            </w:tc>
          </w:tr>
          <w:tr>
            <w:trPr>
              <w:cantSplit/>
              <w:trHeight w:val="131"/>
              <w:hidden/>
            </w:trPr>
            <w:tc>
              <w:tcPr>
                <w:tcW w:w="4785" w:type="dxa"/>
                <w:vAlign w:val="bottom"/>
              </w:tcPr>
              <w:p>
                <w:pPr>
                  <w:keepNext/>
                  <w:outlineLvl w:val="3"/>
                  <w:rPr>
                    <w:b/>
                    <w:vanish/>
                    <w:szCs w:val="24"/>
                  </w:rPr>
                </w:pPr>
              </w:p>
            </w:tc>
            <w:tc>
              <w:tcPr>
                <w:tcW w:w="4862" w:type="dxa"/>
              </w:tcPr>
              <w:p>
                <w:pPr>
                  <w:rPr>
                    <w:b/>
                    <w:vanish/>
                    <w:szCs w:val="24"/>
                  </w:rPr>
                </w:pPr>
              </w:p>
            </w:tc>
          </w:tr>
          <w:tr>
            <w:trPr>
              <w:cantSplit/>
              <w:trHeight w:val="131"/>
            </w:trPr>
            <w:tc>
              <w:tcPr>
                <w:tcW w:w="9647" w:type="dxa"/>
                <w:gridSpan w:val="2"/>
                <w:vAlign w:val="bottom"/>
              </w:tcPr>
              <w:p>
                <w:pPr>
                  <w:jc w:val="center"/>
                  <w:rPr>
                    <w:b/>
                    <w:vanish/>
                    <w:szCs w:val="24"/>
                  </w:rPr>
                </w:pPr>
                <w:r>
                  <w:rPr>
                    <w:b/>
                  </w:rPr>
                  <w:t>SPRENDIMAS</w:t>
                </w:r>
              </w:p>
            </w:tc>
          </w:tr>
          <w:tr>
            <w:trPr>
              <w:cantSplit/>
              <w:trHeight w:val="131"/>
            </w:trPr>
            <w:tc>
              <w:tcPr>
                <w:tcW w:w="9647" w:type="dxa"/>
                <w:gridSpan w:val="2"/>
                <w:vAlign w:val="bottom"/>
              </w:tcPr>
              <w:p>
                <w:pPr>
                  <w:jc w:val="center"/>
                  <w:rPr>
                    <w:b/>
                    <w:bCs/>
                    <w:szCs w:val="24"/>
                  </w:rPr>
                </w:pPr>
                <w:r>
                  <w:rPr>
                    <w:b/>
                    <w:szCs w:val="24"/>
                  </w:rPr>
                  <w:t>DĖL BUTO ZARASŲ RAJONO SAVIVALDYBĖS SOCIALINIO BŪSTO FONDO PLĖTRAI PIRKIMO ZARASŲ RAJONO SAVIVALDYBĖS NUOSAVYBĖN</w:t>
                </w:r>
              </w:p>
            </w:tc>
          </w:tr>
          <w:tr>
            <w:trPr>
              <w:cantSplit/>
              <w:trHeight w:val="131"/>
            </w:trPr>
            <w:tc>
              <w:tcPr>
                <w:tcW w:w="9647" w:type="dxa"/>
                <w:gridSpan w:val="2"/>
                <w:vAlign w:val="bottom"/>
              </w:tcPr>
              <w:p>
                <w:pPr>
                  <w:jc w:val="center"/>
                  <w:rPr>
                    <w:b/>
                    <w:szCs w:val="24"/>
                  </w:rPr>
                </w:pPr>
              </w:p>
            </w:tc>
          </w:tr>
          <w:tr>
            <w:trPr>
              <w:cantSplit/>
              <w:trHeight w:val="131"/>
              <w:hidden/>
            </w:trPr>
            <w:tc>
              <w:tcPr>
                <w:tcW w:w="9647" w:type="dxa"/>
                <w:gridSpan w:val="2"/>
                <w:vAlign w:val="bottom"/>
              </w:tcPr>
              <w:p>
                <w:pPr>
                  <w:jc w:val="center"/>
                  <w:rPr>
                    <w:b/>
                    <w:bCs/>
                    <w:vanish/>
                    <w:szCs w:val="24"/>
                  </w:rPr>
                </w:pPr>
              </w:p>
            </w:tc>
          </w:tr>
          <w:tr>
            <w:trPr>
              <w:cantSplit/>
              <w:trHeight w:val="131"/>
            </w:trPr>
            <w:tc>
              <w:tcPr>
                <w:tcW w:w="9647" w:type="dxa"/>
                <w:gridSpan w:val="2"/>
                <w:vAlign w:val="bottom"/>
              </w:tcPr>
              <w:p>
                <w:pPr>
                  <w:jc w:val="center"/>
                  <w:rPr>
                    <w:bCs/>
                    <w:vanish/>
                    <w:szCs w:val="24"/>
                  </w:rPr>
                </w:pPr>
                <w:r>
                  <w:rPr>
                    <w:bCs/>
                    <w:szCs w:val="24"/>
                  </w:rPr>
                  <w:t xml:space="preserve">2024 m.                          d. Nr. </w:t>
                </w:r>
              </w:p>
            </w:tc>
          </w:tr>
          <w:tr>
            <w:trPr>
              <w:cantSplit/>
              <w:trHeight w:val="131"/>
            </w:trPr>
            <w:tc>
              <w:tcPr>
                <w:tcW w:w="9647" w:type="dxa"/>
                <w:gridSpan w:val="2"/>
                <w:vAlign w:val="bottom"/>
              </w:tcPr>
              <w:p>
                <w:pPr>
                  <w:jc w:val="center"/>
                  <w:rPr>
                    <w:b/>
                    <w:vanish/>
                    <w:szCs w:val="24"/>
                  </w:rPr>
                </w:pPr>
                <w:r>
                  <w:rPr>
                    <w:szCs w:val="24"/>
                  </w:rPr>
                  <w:t>Zarasai</w:t>
                </w:r>
              </w:p>
            </w:tc>
          </w:tr>
          <w:tr>
            <w:trPr>
              <w:cantSplit/>
              <w:trHeight w:val="219"/>
            </w:trPr>
            <w:tc>
              <w:tcPr>
                <w:tcW w:w="9647" w:type="dxa"/>
                <w:gridSpan w:val="2"/>
                <w:vAlign w:val="bottom"/>
              </w:tcPr>
              <w:p>
                <w:pPr>
                  <w:rPr>
                    <w:szCs w:val="24"/>
                  </w:rPr>
                </w:pPr>
              </w:p>
            </w:tc>
          </w:tr>
        </w:tbl>
        <w:p/>
      </w:sdtContent>
    </w:sdt>
    <w:sdt>
      <w:sdtPr>
        <w:alias w:val="pastraipa"/>
        <w:tag w:val="part_0eafe2fc057140a2893169ac0568f7fa"/>
        <w:lock w:val="sdtLocked"/>
        <w:richText/>
      </w:sdtPr>
      <w:sdtContent>
        <w:p>
          <w:pPr>
            <w:tabs>
              <w:tab w:val="left" w:pos="1560"/>
            </w:tabs>
            <w:ind w:firstLine="851"/>
            <w:jc w:val="both"/>
            <w:rPr>
              <w:szCs w:val="24"/>
            </w:rPr>
          </w:pPr>
          <w:r>
            <w:rPr>
              <w:szCs w:val="24"/>
            </w:rPr>
            <w:t>Vadovaudamasi</w:t>
          </w:r>
          <w:r>
            <w:rPr>
              <w:color w:val="000000"/>
              <w:szCs w:val="24"/>
            </w:rPr>
            <w:t xml:space="preserve"> </w:t>
          </w:r>
          <w:r>
            <w:rPr>
              <w:szCs w:val="24"/>
            </w:rPr>
            <w:t>Lietuvos Respublikos vietos savivaldos įstatymo 15 straipsnio 2 dalies 23 punktu, Lietuvos Respublikos valstybės ir savivaldybių turto valdymo, naudojimo ir disponavimo juo įstatymo 6 straipsnio 5 punktu, Lietuvos Respublikos Paramos būstui įsigyti ar išsinuomoti įstatymo 4 straipsnio 4 dalimi, 5 straipsnio 4 dalimi, 14 straipsnio 3 ir 4 dalimis , S</w:t>
          </w:r>
          <w:r>
            <w:rPr>
              <w:bCs/>
              <w:szCs w:val="24"/>
            </w:rPr>
            <w:t>prendimų, perkant nekilnojamąjį daiktą, priėmimo dėl derybas laimėjusio kandidato ir nekilnojamojo daikto pirkimo Zarasų rajono savivaldybės vardu pirkimo sutarties sudarymo tvarkos aprašo, patvirtinto Zarasų rajono savivaldybės tarybos 2020 m. balandžio 3 d. sprendimu Nr.T-60 „Dėl Sprendimų, perkant nekilnojamąjį daiktą, priėmimo dėl derybas laimėjusio kandidato ir nekilnojamojo daikto pirkimo Zarasų rajono savivaldybės vardu pirkimo sutarties sudarymo tvarkos aprašo patvirtinimo“, 3 ir 6 punktais</w:t>
          </w:r>
          <w:r>
            <w:rPr>
              <w:szCs w:val="24"/>
            </w:rPr>
            <w:t xml:space="preserve">, Zarasų rajono savivaldybės tarybos 2024 m. vasario 15 d. sprendimu Nr. T-18 „Dėl </w:t>
          </w:r>
          <w:r>
            <w:rPr>
              <w:szCs w:val="24"/>
              <w:lang w:eastAsia="lt-LT"/>
            </w:rPr>
            <w:t>Zarasų rajono savivaldybės 2024–2026 metų strateginio veiklos plano tvirtinimo</w:t>
          </w:r>
          <w:r>
            <w:rPr>
              <w:szCs w:val="24"/>
            </w:rPr>
            <w:t>“</w:t>
          </w:r>
          <w:r>
            <w:rPr>
              <w:bCs/>
              <w:szCs w:val="24"/>
            </w:rPr>
            <w:t xml:space="preserve">, </w:t>
          </w:r>
          <w:r>
            <w:rPr>
              <w:szCs w:val="24"/>
            </w:rPr>
            <w:t xml:space="preserve">Zarasų rajono savivaldybės tarybos 2024 m. gegužės 29 d. sprendimu Nr. T-115 „Dėl Zarasų rajono savivaldybės socialinio būsto, kaip Zarasų rajono savivaldybės būsto fondo dalies, butų pirkimo“ ir atsižvelgdama į iš Europos Sąjungos struktūrinių fondų lėšų bendrai finansuojamo projekto „Socialinio būsto fondo plėtra Zarasų rajono savivaldybėje (II etapas)“ Nr. 29-402-P-0003 sutartį bei Zarasų rajono savivaldybės administracijos 2024 m. gruodžio 11 d. raštą Nr. 3-2125 „Dėl socialinio būsto pirkimo Zarasų rajono savivaldybės nuosavybėn“, Zarasų rajono savivaldybės taryba  n u s p r e n d ž i a:</w:t>
          </w:r>
        </w:p>
        <w:sdt>
          <w:sdtPr>
            <w:alias w:val="1 p."/>
            <w:tag w:val="part_6e6f0f73ca3440339f36b15c0a8ebcd6"/>
            <w:lock w:val="sdtLocked"/>
            <w:richText/>
          </w:sdtPr>
          <w:sdtContent>
            <w:p>
              <w:pPr>
                <w:tabs>
                  <w:tab w:val="left" w:pos="1134"/>
                </w:tabs>
                <w:ind w:firstLine="851"/>
                <w:jc w:val="both"/>
                <w:rPr>
                  <w:szCs w:val="24"/>
                </w:rPr>
              </w:pPr>
              <w:sdt>
                <w:sdtPr>
                  <w:alias w:val="Numeris"/>
                  <w:tag w:val="nr_6e6f0f73ca3440339f36b15c0a8ebcd6"/>
                  <w:lock w:val="sdtLocked"/>
                  <w:richText/>
                </w:sdtPr>
                <w:sdtContent>
                  <w:r>
                    <w:rPr>
                      <w:szCs w:val="24"/>
                    </w:rPr>
                    <w:t>1</w:t>
                  </w:r>
                </w:sdtContent>
              </w:sdt>
              <w:r>
                <w:rPr>
                  <w:szCs w:val="24"/>
                </w:rPr>
                <w:t>.</w:t>
                <w:tab/>
                <w:t>Pirkti (duomenys neskelbtini) nuosavybės teise priklausantį butą, esantį P. Širvio g. (duomenys neskelbtini), Zarasų m. (bendras plotas 79,16 kv. m., unikalus Nr. (duomenys neskelbtini), patalpos pažymėtos patalpų indeksais nuo 8-1 iki 8-9 su rūsiu 5,76 kv. m, pastatas, kuriame yra butas 1A4p, unikalus Nr. 4398-7000-2013) už 63 000,00 Eur (šešiasdešimt trys tūkstančiai eurų).</w:t>
              </w:r>
            </w:p>
          </w:sdtContent>
        </w:sdt>
        <w:sdt>
          <w:sdtPr>
            <w:alias w:val="2 p."/>
            <w:tag w:val="part_7504fd1b27aa4c34a963070e504d3920"/>
            <w:lock w:val="sdtLocked"/>
            <w:richText/>
          </w:sdtPr>
          <w:sdtContent>
            <w:p>
              <w:pPr>
                <w:tabs>
                  <w:tab w:val="left" w:pos="1134"/>
                  <w:tab w:val="left" w:pos="1560"/>
                </w:tabs>
                <w:ind w:firstLine="851"/>
                <w:jc w:val="both"/>
                <w:rPr>
                  <w:szCs w:val="24"/>
                  <w:shd w:val="clear" w:color="auto" w:fill="FFFFFF"/>
                </w:rPr>
              </w:pPr>
              <w:sdt>
                <w:sdtPr>
                  <w:alias w:val="Numeris"/>
                  <w:tag w:val="nr_7504fd1b27aa4c34a963070e504d3920"/>
                  <w:lock w:val="sdtLocked"/>
                  <w:richText/>
                </w:sdtPr>
                <w:sdtContent>
                  <w:r>
                    <w:rPr>
                      <w:szCs w:val="24"/>
                    </w:rPr>
                    <w:t>2</w:t>
                  </w:r>
                </w:sdtContent>
              </w:sdt>
              <w:r>
                <w:rPr>
                  <w:szCs w:val="24"/>
                </w:rPr>
                <w:t>.</w:t>
                <w:tab/>
              </w:r>
              <w:r>
                <w:rPr>
                  <w:szCs w:val="24"/>
                  <w:shd w:val="clear" w:color="auto" w:fill="FFFFFF"/>
                </w:rPr>
                <w:t xml:space="preserve">Paskelbti nuasmenintą sprendimą rajono Savivaldybės interneto svetainėje </w:t>
              </w:r>
              <w:r>
                <w:rPr>
                  <w:szCs w:val="24"/>
                  <w:shd w:val="clear" w:color="auto" w:fill="FFFFFF"/>
                </w:rPr>
                <w:t>www.zarasai.lt</w:t>
              </w:r>
              <w:r>
                <w:rPr>
                  <w:szCs w:val="24"/>
                  <w:shd w:val="clear" w:color="auto" w:fill="FFFFFF"/>
                </w:rPr>
                <w:t>.</w:t>
              </w:r>
            </w:p>
            <w:p>
              <w:pPr>
                <w:ind w:firstLine="851"/>
                <w:jc w:val="both"/>
                <w:rPr>
                  <w:szCs w:val="24"/>
                  <w:lang w:eastAsia="lt-LT"/>
                </w:rPr>
              </w:pPr>
              <w:r>
                <w:rPr>
                  <w:szCs w:val="24"/>
                </w:rPr>
                <w:t>Sprendimas per vieną mėnesį gali būti skundžiamas Zarasų rajono savivaldybės tarybai (Sėlių s. 22, Zarasai) Lietuvos Respublikos viešojo administravimo įstatymo nustatyta tvarka) arba Lietuvos administracinių ginčų komisijos Panevėžio apygardos skyriui (Respublikos g. 62, 35158 Panevėžys) Lietuvos Respublikos ikiteisminio administracinių ginčų nagrinėjimo tvarkos įstatymo nustatyta tvarka, Regionų apygardos administracinio teismo Panevėžio rūmams (Respublikos g. 62, 35158 Panevėžys) Lietuvos Respublikos administracinių bylų teisenos įstatymo nustatyta tvarka.</w:t>
              </w:r>
            </w:p>
            <w:p>
              <w:pPr>
                <w:tabs>
                  <w:tab w:val="left" w:pos="1560"/>
                </w:tabs>
                <w:ind w:firstLine="1260"/>
                <w:jc w:val="both"/>
                <w:rPr>
                  <w:szCs w:val="24"/>
                </w:rPr>
              </w:pPr>
            </w:p>
            <w:p>
              <w:pPr>
                <w:tabs>
                  <w:tab w:val="left" w:pos="1560"/>
                  <w:tab w:val="left" w:pos="1701"/>
                </w:tabs>
                <w:ind w:left="1260"/>
                <w:jc w:val="both"/>
                <w:rPr>
                  <w:szCs w:val="24"/>
                </w:rPr>
              </w:pPr>
            </w:p>
            <w:tbl>
              <w:tblPr>
                <w:tblW w:w="0" w:type="auto"/>
                <w:tblLayout w:type="fixed"/>
                <w:tblLook w:val="0000" w:firstRow="0" w:lastRow="0" w:firstColumn="0" w:lastColumn="0" w:noHBand="0" w:noVBand="0"/>
              </w:tblPr>
              <w:tblGrid>
                <w:gridCol w:w="4077"/>
                <w:gridCol w:w="1611"/>
                <w:gridCol w:w="3960"/>
              </w:tblGrid>
              <w:tr>
                <w:tc>
                  <w:tcPr>
                    <w:tcW w:w="4077" w:type="dxa"/>
                  </w:tcPr>
                  <w:p>
                    <w:pPr>
                      <w:tabs>
                        <w:tab w:val="left" w:pos="1560"/>
                      </w:tabs>
                      <w:rPr>
                        <w:szCs w:val="24"/>
                      </w:rPr>
                    </w:pPr>
                    <w:r>
                      <w:rPr>
                        <w:szCs w:val="24"/>
                      </w:rPr>
                      <w:t>Savivaldybės meras</w:t>
                    </w:r>
                  </w:p>
                </w:tc>
                <w:tc>
                  <w:tcPr>
                    <w:tcW w:w="1611" w:type="dxa"/>
                  </w:tcPr>
                  <w:p>
                    <w:pPr>
                      <w:tabs>
                        <w:tab w:val="left" w:pos="1560"/>
                      </w:tabs>
                      <w:rPr>
                        <w:szCs w:val="24"/>
                      </w:rPr>
                    </w:pPr>
                  </w:p>
                </w:tc>
                <w:tc>
                  <w:tcPr>
                    <w:tcW w:w="3960" w:type="dxa"/>
                  </w:tcPr>
                  <w:p>
                    <w:pPr>
                      <w:keepNext/>
                      <w:tabs>
                        <w:tab w:val="left" w:pos="1560"/>
                      </w:tabs>
                      <w:jc w:val="right"/>
                      <w:outlineLvl w:val="2"/>
                      <w:rPr>
                        <w:vanish/>
                        <w:szCs w:val="24"/>
                      </w:rPr>
                    </w:pPr>
                  </w:p>
                </w:tc>
              </w:tr>
            </w:tbl>
            <w:p>
              <w:pPr>
                <w:tabs>
                  <w:tab w:val="left" w:pos="1560"/>
                </w:tabs>
                <w:rPr>
                  <w:sz w:val="20"/>
                </w:rPr>
              </w:pPr>
            </w:p>
            <w:p>
              <w:pPr>
                <w:tabs>
                  <w:tab w:val="left" w:pos="1560"/>
                </w:tabs>
                <w:rPr>
                  <w:sz w:val="20"/>
                </w:rPr>
              </w:pPr>
              <w:r>
                <w:rPr>
                  <w:sz w:val="20"/>
                </w:rPr>
                <w:t xml:space="preserve">Parengė </w:t>
              </w:r>
            </w:p>
            <w:p>
              <w:pPr>
                <w:tabs>
                  <w:tab w:val="left" w:pos="1560"/>
                </w:tabs>
                <w:rPr>
                  <w:sz w:val="20"/>
                </w:rPr>
              </w:pPr>
              <w:r>
                <w:rPr>
                  <w:sz w:val="20"/>
                </w:rPr>
                <w:t>Turto valdymo ir viešųjų pirkimų skyriaus vedėja</w:t>
              </w:r>
            </w:p>
            <w:p>
              <w:pPr>
                <w:tabs>
                  <w:tab w:val="left" w:pos="1560"/>
                  <w:tab w:val="center" w:pos="4320"/>
                  <w:tab w:val="right" w:pos="8640"/>
                </w:tabs>
                <w:jc w:val="both"/>
                <w:rPr>
                  <w:sz w:val="20"/>
                </w:rPr>
              </w:pPr>
              <w:r>
                <w:rPr>
                  <w:sz w:val="20"/>
                </w:rPr>
                <w:t>(duomenys neskelbtini)</w:t>
              </w:r>
            </w:p>
            <w:p>
              <w:pPr>
                <w:tabs>
                  <w:tab w:val="left" w:pos="1560"/>
                  <w:tab w:val="center" w:pos="4320"/>
                  <w:tab w:val="right" w:pos="8640"/>
                </w:tabs>
                <w:jc w:val="both"/>
                <w:rPr>
                  <w:sz w:val="20"/>
                </w:rPr>
              </w:pPr>
              <w:r>
                <w:rPr>
                  <w:sz w:val="20"/>
                </w:rPr>
                <w:t>2024-12-11 Pateikti: (duomenys neskelbiami), P. Širvio g. (duomenys neskelbiami), Zarasų m., Turto valdymo ir viešųjų pirkimų skyriui, Investicijų ir plėtros skyriui, Apskaitos skyriui, Finansų skyriui</w:t>
              </w:r>
            </w:p>
            <w:p>
              <w:pPr>
                <w:tabs>
                  <w:tab w:val="left" w:pos="1560"/>
                  <w:tab w:val="center" w:pos="4320"/>
                  <w:tab w:val="right" w:pos="8640"/>
                </w:tabs>
                <w:jc w:val="both"/>
                <w:rPr>
                  <w:sz w:val="20"/>
                </w:rPr>
              </w:pPr>
            </w:p>
            <w:p>
              <w:pPr>
                <w:tabs>
                  <w:tab w:val="left" w:pos="1560"/>
                  <w:tab w:val="center" w:pos="4320"/>
                  <w:tab w:val="right" w:pos="8640"/>
                </w:tabs>
                <w:jc w:val="both"/>
                <w:rPr>
                  <w:rFonts w:eastAsia="Calibri"/>
                  <w:sz w:val="20"/>
                </w:rPr>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567" w:bottom="284" w:left="1701" w:header="284" w:footer="675" w:gutter="0"/>
                  <w:pgNumType w:start="1"/>
                  <w:cols w:space="1296"/>
                  <w:titlePg/>
                  <w:docGrid w:linePitch="326"/>
                </w:sectPr>
              </w:pPr>
            </w:p>
            <w:tbl>
              <w:tblPr>
                <w:tblW w:w="0" w:type="auto"/>
                <w:tblLayout w:type="fixed"/>
                <w:tblLook w:val="0000" w:firstRow="0" w:lastRow="0" w:firstColumn="0" w:lastColumn="0" w:noHBand="0" w:noVBand="0"/>
              </w:tblPr>
              <w:tblGrid>
                <w:gridCol w:w="4786"/>
                <w:gridCol w:w="2552"/>
                <w:gridCol w:w="2517"/>
              </w:tblGrid>
              <w:tr>
                <w:tc>
                  <w:tcPr>
                    <w:tcW w:w="4786" w:type="dxa"/>
                  </w:tcPr>
                  <w:p>
                    <w:pPr>
                      <w:tabs>
                        <w:tab w:val="center" w:pos="4320"/>
                        <w:tab w:val="right" w:pos="8640"/>
                      </w:tabs>
                      <w:rPr>
                        <w:sz w:val="20"/>
                      </w:rPr>
                    </w:pPr>
                  </w:p>
                </w:tc>
                <w:tc>
                  <w:tcPr>
                    <w:tcW w:w="2552" w:type="dxa"/>
                  </w:tcPr>
                  <w:p>
                    <w:pPr>
                      <w:tabs>
                        <w:tab w:val="center" w:pos="4320"/>
                        <w:tab w:val="right" w:pos="8640"/>
                      </w:tabs>
                      <w:jc w:val="right"/>
                      <w:rPr>
                        <w:b/>
                        <w:sz w:val="20"/>
                      </w:rPr>
                    </w:pPr>
                  </w:p>
                </w:tc>
                <w:tc>
                  <w:tcPr>
                    <w:tcW w:w="2517" w:type="dxa"/>
                  </w:tcPr>
                  <w:p>
                    <w:pPr>
                      <w:tabs>
                        <w:tab w:val="center" w:pos="4320"/>
                        <w:tab w:val="right" w:pos="8640"/>
                      </w:tabs>
                      <w:rPr>
                        <w:b/>
                        <w:sz w:val="20"/>
                      </w:rPr>
                    </w:pPr>
                  </w:p>
                </w:tc>
              </w:tr>
            </w:tbl>
            <w:p>
              <w:pPr>
                <w:tabs>
                  <w:tab w:val="center" w:pos="4320"/>
                  <w:tab w:val="right" w:pos="8640"/>
                </w:tabs>
                <w:rPr>
                  <w:sz w:val="12"/>
                </w:rPr>
              </w:pPr>
            </w:p>
            <w:p>
              <w:pPr>
                <w:tabs>
                  <w:tab w:val="left" w:pos="1560"/>
                  <w:tab w:val="center" w:pos="4320"/>
                  <w:tab w:val="right" w:pos="8640"/>
                </w:tabs>
                <w:jc w:val="both"/>
                <w:rPr>
                  <w:szCs w:val="24"/>
                </w:rPr>
              </w:pPr>
              <w:r>
                <w:rPr>
                  <w:szCs w:val="24"/>
                </w:rPr>
                <w:t>Zarasų rajono savivaldybės tarybai</w:t>
              </w:r>
            </w:p>
            <w:p>
              <w:pPr>
                <w:tabs>
                  <w:tab w:val="left" w:pos="1560"/>
                  <w:tab w:val="center" w:pos="4320"/>
                  <w:tab w:val="right" w:pos="8640"/>
                </w:tabs>
                <w:jc w:val="both"/>
                <w:rPr>
                  <w:b/>
                  <w:szCs w:val="24"/>
                </w:rPr>
              </w:pPr>
            </w:p>
            <w:p>
              <w:pPr>
                <w:tabs>
                  <w:tab w:val="left" w:pos="1560"/>
                  <w:tab w:val="center" w:pos="4320"/>
                  <w:tab w:val="right" w:pos="8640"/>
                </w:tabs>
                <w:jc w:val="both"/>
                <w:rPr>
                  <w:b/>
                  <w:szCs w:val="24"/>
                </w:rPr>
              </w:pPr>
            </w:p>
            <w:p>
              <w:pPr>
                <w:tabs>
                  <w:tab w:val="left" w:pos="1560"/>
                  <w:tab w:val="center" w:pos="4320"/>
                  <w:tab w:val="right" w:pos="8640"/>
                </w:tabs>
                <w:jc w:val="center"/>
                <w:rPr>
                  <w:b/>
                  <w:szCs w:val="24"/>
                </w:rPr>
              </w:pPr>
              <w:r>
                <w:rPr>
                  <w:b/>
                  <w:szCs w:val="24"/>
                </w:rPr>
                <w:t>PAAIŠKINAMASIS RAŠTAS</w:t>
              </w:r>
            </w:p>
            <w:p>
              <w:pPr>
                <w:jc w:val="center"/>
                <w:rPr>
                  <w:b/>
                  <w:bCs/>
                  <w:szCs w:val="24"/>
                </w:rPr>
              </w:pPr>
              <w:r>
                <w:rPr>
                  <w:b/>
                  <w:szCs w:val="24"/>
                </w:rPr>
                <w:t>DĖL ZARASŲ RAJONO SAVIVALDYBĖS TARYBOS SPRENDIMO „DĖL BUTO ZARASŲ RAJONO SAVIVALDYBĖS SOCIALINIO BŪSTO FONDO PLĖTRAI PIRKIMO ZARASŲ RAJONO SAVIVALDYBĖS NUOSAVYBĖN</w:t>
              </w:r>
              <w:r>
                <w:rPr>
                  <w:b/>
                  <w:bCs/>
                  <w:szCs w:val="24"/>
                </w:rPr>
                <w:t>“ PROJEKTO</w:t>
              </w:r>
            </w:p>
            <w:p>
              <w:pPr>
                <w:tabs>
                  <w:tab w:val="left" w:pos="1560"/>
                  <w:tab w:val="left" w:pos="3300"/>
                  <w:tab w:val="center" w:pos="4320"/>
                  <w:tab w:val="right" w:pos="8640"/>
                </w:tabs>
                <w:ind w:firstLine="3300"/>
                <w:rPr>
                  <w:b/>
                  <w:szCs w:val="24"/>
                </w:rPr>
              </w:pPr>
              <w:r>
                <w:rPr>
                  <w:b/>
                  <w:szCs w:val="24"/>
                </w:rPr>
                <w:tab/>
              </w:r>
            </w:p>
            <w:p>
              <w:pPr>
                <w:tabs>
                  <w:tab w:val="left" w:pos="1560"/>
                  <w:tab w:val="center" w:pos="4320"/>
                  <w:tab w:val="right" w:pos="8640"/>
                </w:tabs>
                <w:jc w:val="both"/>
                <w:rPr>
                  <w:szCs w:val="24"/>
                </w:rPr>
              </w:pPr>
            </w:p>
            <w:p>
              <w:pPr>
                <w:tabs>
                  <w:tab w:val="left" w:pos="1560"/>
                  <w:tab w:val="center" w:pos="4320"/>
                  <w:tab w:val="right" w:pos="8640"/>
                </w:tabs>
                <w:ind w:firstLine="851"/>
                <w:jc w:val="both"/>
                <w:rPr>
                  <w:sz w:val="20"/>
                </w:rPr>
              </w:pPr>
              <w:r>
                <w:rPr>
                  <w:szCs w:val="24"/>
                </w:rPr>
                <w:t>Zarasų rajono savivaldybės tarybos sprendimo projekto „Dėl buto Zarasų rajono savivaldybės socialinio būsto fondo plėtrai pirkimo Zarasų rajono savivaldybės nuosavybėn“ (toliau – Sprendimo projekto) tikslas – padidinti Zarasų rajono savivaldybės socialinio būsto fondą ir tokiu būdu išplėsti galimybes apsirūpinti būstu asmenims ir šeimoms, turinčioms teisę į socialinio būsto nuomą</w:t>
              </w:r>
              <w:r>
                <w:rPr>
                  <w:sz w:val="20"/>
                </w:rPr>
                <w:t>.</w:t>
              </w:r>
            </w:p>
            <w:p>
              <w:pPr>
                <w:tabs>
                  <w:tab w:val="left" w:pos="1560"/>
                  <w:tab w:val="center" w:pos="4320"/>
                  <w:tab w:val="right" w:pos="8640"/>
                </w:tabs>
                <w:ind w:firstLine="851"/>
                <w:jc w:val="both"/>
                <w:rPr>
                  <w:sz w:val="20"/>
                </w:rPr>
              </w:pPr>
              <w:r>
                <w:rPr>
                  <w:szCs w:val="24"/>
                </w:rPr>
                <w:t xml:space="preserve">Sprendimo projektas parengtas vadovaujantis Lietuvos Respublikos vietos savivaldos įstatymo 15 straipsnio 2 dalies 23 punktu, kuriame nurodyta </w:t>
              </w:r>
              <w:r>
                <w:rPr>
                  <w:bCs/>
                  <w:szCs w:val="24"/>
                </w:rPr>
                <w:t xml:space="preserve">išimtinė Savivaldybės tarybos kompetencija – </w:t>
              </w:r>
              <w:r>
                <w:rPr>
                  <w:color w:val="000000"/>
                  <w:szCs w:val="24"/>
                </w:rPr>
                <w:t>sprendimų dėl „sprendimų dėl savivaldybės būsto ir socialinio būsto fondo sudarymo (statybos, pirkimo ir kitų) tvarkos, būsto suteikimo tvarkos ir nuomos mokesčio dydžio priėmimas, kitų sprendimų, numatytų Paramos būstui įsigyti ar išsinuomoti įstatyme, priėmimas“.</w:t>
              </w:r>
            </w:p>
            <w:p>
              <w:pPr>
                <w:tabs>
                  <w:tab w:val="left" w:pos="993"/>
                </w:tabs>
                <w:ind w:firstLine="851"/>
                <w:jc w:val="both"/>
                <w:rPr>
                  <w:szCs w:val="24"/>
                </w:rPr>
              </w:pPr>
              <w:r>
                <w:rPr>
                  <w:szCs w:val="24"/>
                </w:rPr>
                <w:t xml:space="preserve">Zarasų rajono savivaldybės socialinio būsto fondo plėtra numatyta </w:t>
              </w:r>
              <w:r>
                <w:rPr>
                  <w:szCs w:val="24"/>
                  <w:lang w:eastAsia="lt-LT"/>
                </w:rPr>
                <w:t xml:space="preserve">Zarasų rajono savivaldybės 2024–2026 metų strateginio veiklos plano, patvirtinto </w:t>
              </w:r>
              <w:r>
                <w:rPr>
                  <w:szCs w:val="24"/>
                </w:rPr>
                <w:t xml:space="preserve">Zarasų rajono savivaldybės tarybos 2024 m. vasario 15 d. sprendimu Nr. T-18 „Dėl </w:t>
              </w:r>
              <w:r>
                <w:rPr>
                  <w:szCs w:val="24"/>
                  <w:lang w:eastAsia="lt-LT"/>
                </w:rPr>
                <w:t>Zarasų rajono savivaldybės 2024–2026 metų strateginio veiklos plano tvirtinimo</w:t>
              </w:r>
              <w:r>
                <w:rPr>
                  <w:szCs w:val="24"/>
                </w:rPr>
                <w:t>“, 9 programoje, 02 03 03 priemonėje „Socialinio būsto įsigijimas ir statyba, būsto nuoma ir išperkamoji būsto nuoma“.</w:t>
              </w:r>
            </w:p>
            <w:p>
              <w:pPr>
                <w:ind w:firstLine="851"/>
                <w:jc w:val="both"/>
                <w:rPr>
                  <w:szCs w:val="24"/>
                </w:rPr>
              </w:pPr>
              <w:r>
                <w:rPr>
                  <w:szCs w:val="24"/>
                </w:rPr>
                <w:t>Zarasų rajono savivaldybės administracija kartu su Viešąja įstaiga Centrine projektų valdymo agentūra 2024 m. kovo 29 d. pasirašė projekto „Socialinio būsto fondo plėtra Zarasų rajono savivaldybėje (II etapas)“ Nr. 29-402-P-0003 sutartį Nr. SR-284 (toliau – Sutartis), kuria įsipareigota vykdyti iš Europos Sąjungos struktūrinių fondų lėšų bendrai finansuojamą projektą „Socialinio būsto fondo plėtra Zarasų rajono savivaldybėje (II etapas)“.</w:t>
              </w:r>
            </w:p>
            <w:p>
              <w:pPr>
                <w:tabs>
                  <w:tab w:val="left" w:pos="1560"/>
                  <w:tab w:val="center" w:pos="4320"/>
                  <w:tab w:val="right" w:pos="8640"/>
                </w:tabs>
                <w:ind w:firstLine="851"/>
                <w:jc w:val="both"/>
                <w:rPr>
                  <w:szCs w:val="24"/>
                </w:rPr>
              </w:pPr>
              <w:r>
                <w:rPr>
                  <w:szCs w:val="24"/>
                </w:rPr>
                <w:t xml:space="preserve">Zarasų rajono savivaldybės administracija, vadovaudamasi Zarasų rajono savivaldybės tarybos 2024 m. gegužės 29 d. sprendimu Nr. T-115 „Dėl Zarasų rajono savivaldybės socialinio būsto, kaip Zarasų rajono savivaldybės būsto fondo dalies, butų pirkimo“, skelbiamų derybų būdu vykdė butų socialinio būsto fondo plėtrai pirkimo procedūras. </w:t>
              </w:r>
            </w:p>
            <w:p>
              <w:pPr>
                <w:tabs>
                  <w:tab w:val="left" w:pos="1560"/>
                  <w:tab w:val="center" w:pos="4320"/>
                  <w:tab w:val="right" w:pos="8640"/>
                </w:tabs>
                <w:ind w:firstLine="851"/>
                <w:jc w:val="both"/>
                <w:rPr>
                  <w:szCs w:val="24"/>
                </w:rPr>
              </w:pPr>
              <w:r>
                <w:rPr>
                  <w:szCs w:val="24"/>
                </w:rPr>
                <w:t>Zarasų rajono savivaldybės administracijos direktoriaus 2024 m. birželio 19 d. įsakymu Nr. </w:t>
              </w:r>
              <w:r>
                <w:rPr>
                  <w:color w:val="000000"/>
                  <w:szCs w:val="24"/>
                  <w:shd w:val="clear" w:color="auto" w:fill="FFFFFF"/>
                </w:rPr>
                <w:t>I-256</w:t>
              </w:r>
              <w:r>
                <w:rPr>
                  <w:szCs w:val="24"/>
                </w:rPr>
                <w:t xml:space="preserve"> „</w:t>
              </w:r>
              <w:r>
                <w:rPr>
                  <w:color w:val="000000"/>
                  <w:szCs w:val="24"/>
                  <w:shd w:val="clear" w:color="auto" w:fill="FFFFFF"/>
                </w:rPr>
                <w:t>Dėl Zarasų rajono savivaldybės socialinio būsto, kaip Zarasų rajono savivaldybės būsto fondo dalies, butų pirkimo</w:t>
              </w:r>
              <w:r>
                <w:rPr>
                  <w:szCs w:val="24"/>
                </w:rPr>
                <w:t xml:space="preserve">“ (toliau – Įsakymas), sudaryta Zarasų rajono savivaldybės socialinio būsto, kaip Zarasų rajono savivaldybės būsto fondo dalies, butams pirkti komisija (toliau – Komisija), atliko Žemės, esamų pastatų ar kitų nekilnojamųjų daiktų įsigijimo arba nuomos ar teisių į šiuos daiktus įsigijimo tvarkos apraše, patvirtintame Lietuvos Respublikos Vyriausybės 2017 m. gruodžio 13 d. nutarimu Nr. 1036 „Dėl Žemės, esamų pastatų ar kitų nekilnojamųjų daiktų įsigijimo arba nuomos ar teisių į šiuos daiktus įsigijimo tvarkos aprašo patvirtinimo“ (toliau – Tvarkos aprašas) bei Butų pirkimo skelbiamų derybų būdu tvarkos apraše, patvirtintame Komisijos 2024 m. rugpjūčio 1 d. protokolu Nr. 12-54-(25.3), nustatytas pirkimo procedūras. </w:t>
              </w:r>
            </w:p>
            <w:p>
              <w:pPr>
                <w:tabs>
                  <w:tab w:val="left" w:pos="1560"/>
                  <w:tab w:val="center" w:pos="4320"/>
                  <w:tab w:val="right" w:pos="8640"/>
                </w:tabs>
                <w:ind w:firstLine="1276"/>
                <w:jc w:val="both"/>
                <w:rPr>
                  <w:szCs w:val="24"/>
                </w:rPr>
              </w:pPr>
              <w:r>
                <w:rPr>
                  <w:szCs w:val="24"/>
                </w:rPr>
                <w:t xml:space="preserve">Kvietimas dalyvauti butų pirkimo procedūroje skelbiamų derybų būdu buvo paskelbtas 2024 m. spalio 25 d. laikraštyje „Zarasų kraštas“ (Nr. 43 (10416) bei 2022 m. spalio 25 d. Zarasų rajono savivaldybės internetinėje svetainėje </w:t>
              </w:r>
              <w:r>
                <w:rPr>
                  <w:szCs w:val="24"/>
                </w:rPr>
                <w:t>www.zarasai.lt</w:t>
              </w:r>
              <w:r>
                <w:rPr>
                  <w:szCs w:val="24"/>
                </w:rPr>
                <w:t>. Komisija iki skelbimuose nurodyto laiko gavo 1 pasiūlymą dėl dalyvavimo derybose parduoti butą.</w:t>
              </w:r>
            </w:p>
            <w:p>
              <w:pPr>
                <w:tabs>
                  <w:tab w:val="left" w:pos="1560"/>
                  <w:tab w:val="center" w:pos="4320"/>
                  <w:tab w:val="right" w:pos="8640"/>
                </w:tabs>
                <w:ind w:firstLine="1276"/>
                <w:jc w:val="both"/>
                <w:rPr>
                  <w:szCs w:val="24"/>
                </w:rPr>
              </w:pPr>
              <w:r>
                <w:rPr>
                  <w:szCs w:val="24"/>
                </w:rPr>
                <w:t>Vadovaujantis Tvarkos aprašo 48 punktu, „perkančioji organizacija įsigydama nekilnojamųjų daiktų, prieš priimdama sprendimą dėl derybas laimėjusio kandidato, inicijuoja šio kandidato pasiūlyto nekilnojamojo daikto individualų turto vertinimą Lietuvos Respublikos turto ir verslo vertinimo pagrindų įstatymo nustatyta tvarka“.</w:t>
              </w:r>
            </w:p>
            <w:p>
              <w:pPr>
                <w:tabs>
                  <w:tab w:val="left" w:pos="1560"/>
                  <w:tab w:val="center" w:pos="4320"/>
                  <w:tab w:val="right" w:pos="8640"/>
                </w:tabs>
                <w:ind w:firstLine="1276"/>
                <w:jc w:val="both"/>
                <w:rPr>
                  <w:szCs w:val="24"/>
                </w:rPr>
              </w:pPr>
              <w:r>
                <w:rPr>
                  <w:szCs w:val="24"/>
                </w:rPr>
                <w:t>Uždaroji akcinė bendrovė UAB „Lituka“ ir Ko“, kodas 135774444, atliko nekilnojamojo turto vertinimą ir pateikė 2024 m. gruodžio 6 d. turto vertės nustatymo ataskaitą Nr. FJO-41206, kurioje buto, esančio P. Širvio g. (duomenys neskelbtini), Zarasų m., rinkos vertė yra 63 000,00 Eur. Vadovaujantis žemės, esamų pastatų ar kitų nekilnojamųjų daiktų įsigijimo arba nuomos ar teisių į šiuos daiktus įsigijimo tvarkos aprašo, patvirtinto Lietuvos Respublikos Vyriausybės 2017 m. gruodžio 13 d. nutarimu Nr. 1036 „Dėl Žemės, esamų pastatų ar kitų nekilnojamųjų daiktų įsigijimų tvarkos aprašo patvirtinimo“, 49 punktu „Nekilnojamųjų daiktų įsigijimo kaina negali daugiau kaip 10 procentų viršyti rinkos vertės, nustatytos atlikus individualų turto vertinimą Lietuvos Respublikos turto ir verslo vertinimo pagrindų įstatymo nustatyta tvarka“. Kandidato, pasiūliusio pirkti butą, galutinė suderėta pardavimo kaina yra 63 000,00 Eur.</w:t>
              </w:r>
            </w:p>
            <w:p>
              <w:pPr>
                <w:tabs>
                  <w:tab w:val="left" w:pos="1560"/>
                  <w:tab w:val="center" w:pos="4320"/>
                  <w:tab w:val="right" w:pos="8640"/>
                </w:tabs>
                <w:ind w:firstLine="851"/>
                <w:jc w:val="both"/>
                <w:rPr>
                  <w:szCs w:val="24"/>
                </w:rPr>
              </w:pPr>
              <w:r>
                <w:rPr>
                  <w:szCs w:val="24"/>
                </w:rPr>
                <w:t xml:space="preserve">Atsižvelgdami į išdėstytus faktus, teikiame Sprendimo projektą, kuriuo siūlome pirkti (duomenys neskelbtini) nuosavybės teise priklausantį butą, esantį P. Širvio g. (duomenys neskelbtini), Zarasų m. (bendras plotas 79,16 kv. m., unikalus Nr. (duomenys neskelbtini), patalpos pažymėtos patalpų indeksais nuo 8-1 iki 8-9 su rūsiu 5,76 kv. m, pastatas, kuriame yra butas 1A4p, unikalus Nr. (duomenys neskelbtini) už 63 000,00 Eur (šešiasdešimt trys tūkstančiai eurų). </w:t>
              </w:r>
            </w:p>
            <w:p>
              <w:pPr>
                <w:tabs>
                  <w:tab w:val="left" w:pos="1560"/>
                  <w:tab w:val="center" w:pos="4320"/>
                  <w:tab w:val="right" w:pos="8640"/>
                </w:tabs>
                <w:ind w:firstLine="851"/>
                <w:jc w:val="both"/>
                <w:rPr>
                  <w:szCs w:val="24"/>
                </w:rPr>
              </w:pPr>
              <w:r>
                <w:rPr>
                  <w:szCs w:val="24"/>
                </w:rPr>
                <w:t>Priėmus teikiamą Sprendimo projektą galiojančių teisės aktų keisti nereikės.</w:t>
              </w:r>
            </w:p>
            <w:p>
              <w:pPr>
                <w:tabs>
                  <w:tab w:val="left" w:pos="1560"/>
                </w:tabs>
                <w:ind w:firstLine="851"/>
                <w:jc w:val="both"/>
                <w:rPr>
                  <w:szCs w:val="24"/>
                </w:rPr>
              </w:pPr>
              <w:r>
                <w:rPr>
                  <w:szCs w:val="24"/>
                </w:rPr>
                <w:t>Sprendimo projektą parengė – Zarasų rajono savivaldybės administracijos Turto valdymo ir viešųjų pirkimų skyrius.</w:t>
              </w:r>
            </w:p>
            <w:p>
              <w:pPr>
                <w:tabs>
                  <w:tab w:val="left" w:pos="1560"/>
                  <w:tab w:val="center" w:pos="4320"/>
                  <w:tab w:val="right" w:pos="8640"/>
                </w:tabs>
                <w:ind w:firstLine="851"/>
                <w:jc w:val="both"/>
                <w:rPr>
                  <w:szCs w:val="24"/>
                </w:rPr>
              </w:pPr>
              <w:r>
                <w:rPr>
                  <w:szCs w:val="24"/>
                </w:rPr>
                <w:t>Sprendimo projekto rengimo metu kitų specialistų vertinimų ir išvadų nėra gauta.</w:t>
              </w:r>
            </w:p>
            <w:p>
              <w:pPr>
                <w:tabs>
                  <w:tab w:val="left" w:pos="1560"/>
                </w:tabs>
                <w:ind w:firstLine="851"/>
                <w:jc w:val="both"/>
                <w:rPr>
                  <w:szCs w:val="24"/>
                </w:rPr>
              </w:pPr>
              <w:r>
                <w:rPr>
                  <w:szCs w:val="24"/>
                </w:rPr>
                <w:t>Teigiamos pasekmės – priėmus sprendimą, bus pasirašyta buto pirkimo </w:t>
                <w:noBreakHyphen/>
                <w:t> pardavimo sutartis ir išplėsta galimybė apsirūpinti būstu gausiai šeimai – </w:t>
              </w:r>
              <w:r>
                <w:rPr>
                  <w:color w:val="000000"/>
                  <w:szCs w:val="24"/>
                </w:rPr>
                <w:t>auginančiai tris ar daugiau vaikų ir (ar) vaikų, kuriems nustatyta nuolatinė globa (rūpyba)</w:t>
              </w:r>
              <w:r>
                <w:rPr>
                  <w:szCs w:val="24"/>
                </w:rPr>
                <w:t xml:space="preserve">. </w:t>
              </w:r>
            </w:p>
            <w:p>
              <w:pPr>
                <w:tabs>
                  <w:tab w:val="left" w:pos="1440"/>
                  <w:tab w:val="left" w:pos="1620"/>
                </w:tabs>
                <w:ind w:firstLine="851"/>
                <w:jc w:val="both"/>
                <w:rPr>
                  <w:szCs w:val="24"/>
                </w:rPr>
              </w:pPr>
              <w:r>
                <w:rPr>
                  <w:szCs w:val="24"/>
                </w:rPr>
                <w:t>Neigiamų pasekmių priėmus siūlomą Sprendimo projektą nenumatoma.</w:t>
              </w:r>
            </w:p>
            <w:p>
              <w:pPr>
                <w:tabs>
                  <w:tab w:val="left" w:pos="1440"/>
                  <w:tab w:val="left" w:pos="1620"/>
                </w:tabs>
                <w:ind w:firstLine="1276"/>
                <w:jc w:val="both"/>
                <w:rPr>
                  <w:szCs w:val="24"/>
                </w:rPr>
              </w:pPr>
            </w:p>
            <w:p>
              <w:pPr>
                <w:tabs>
                  <w:tab w:val="left" w:pos="1440"/>
                  <w:tab w:val="left" w:pos="1620"/>
                </w:tabs>
                <w:ind w:firstLine="1276"/>
                <w:jc w:val="both"/>
                <w:rPr>
                  <w:szCs w:val="24"/>
                </w:rPr>
              </w:pPr>
            </w:p>
            <w:p>
              <w:pPr>
                <w:tabs>
                  <w:tab w:val="left" w:pos="1440"/>
                  <w:tab w:val="left" w:pos="1620"/>
                </w:tabs>
                <w:ind w:firstLine="1276"/>
                <w:jc w:val="both"/>
                <w:rPr>
                  <w:szCs w:val="24"/>
                </w:rPr>
              </w:pPr>
            </w:p>
            <w:tbl>
              <w:tblPr>
                <w:tblW w:w="9747" w:type="dxa"/>
                <w:tblLayout w:type="fixed"/>
                <w:tblLook w:val="0000" w:firstRow="0" w:lastRow="0" w:firstColumn="0" w:lastColumn="0" w:noHBand="0" w:noVBand="0"/>
              </w:tblPr>
              <w:tblGrid>
                <w:gridCol w:w="4820"/>
                <w:gridCol w:w="2092"/>
                <w:gridCol w:w="2835"/>
              </w:tblGrid>
              <w:tr>
                <w:trPr>
                  <w:trHeight w:val="667"/>
                </w:trPr>
                <w:tc>
                  <w:tcPr>
                    <w:tcW w:w="4820" w:type="dxa"/>
                  </w:tcPr>
                  <w:p>
                    <w:pPr>
                      <w:tabs>
                        <w:tab w:val="left" w:pos="1440"/>
                        <w:tab w:val="left" w:pos="1620"/>
                      </w:tabs>
                      <w:jc w:val="both"/>
                      <w:rPr>
                        <w:szCs w:val="24"/>
                      </w:rPr>
                    </w:pPr>
                    <w:r>
                      <w:rPr>
                        <w:szCs w:val="24"/>
                      </w:rPr>
                      <w:t>Skyriaus vedėja</w:t>
                    </w:r>
                  </w:p>
                </w:tc>
                <w:tc>
                  <w:tcPr>
                    <w:tcW w:w="2092" w:type="dxa"/>
                  </w:tcPr>
                  <w:p>
                    <w:pPr>
                      <w:jc w:val="both"/>
                      <w:rPr>
                        <w:szCs w:val="24"/>
                      </w:rPr>
                    </w:pPr>
                  </w:p>
                </w:tc>
                <w:tc>
                  <w:tcPr>
                    <w:tcW w:w="2835" w:type="dxa"/>
                  </w:tcPr>
                  <w:p>
                    <w:pPr>
                      <w:jc w:val="both"/>
                      <w:rPr>
                        <w:szCs w:val="24"/>
                      </w:rPr>
                    </w:pPr>
                    <w:r>
                      <w:rPr>
                        <w:szCs w:val="24"/>
                      </w:rPr>
                      <w:t>Ramutė Gaidamavičienė</w:t>
                    </w:r>
                  </w:p>
                </w:tc>
              </w:tr>
            </w:tbl>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jc w:val="both"/>
                <w:rPr>
                  <w:b/>
                  <w:spacing w:val="40"/>
                  <w:szCs w:val="24"/>
                </w:rPr>
              </w:pPr>
              <w:r>
                <w:rPr>
                  <w:szCs w:val="24"/>
                </w:rPr>
                <w:t xml:space="preserve">Ramutė Gaidamavičienė, tel. +370 385 37 146, </w:t>
              </w:r>
              <w:r>
                <w:t xml:space="preserve">el. p. </w:t>
              </w:r>
              <w:r>
                <w:rPr>
                  <w:rFonts w:eastAsia="Calibri"/>
                  <w:szCs w:val="24"/>
                </w:rPr>
                <w:t>ramute.gaidamaviciene</w:t>
              </w:r>
              <w:r>
                <w:rPr>
                  <w:rFonts w:eastAsia="Calibri"/>
                  <w:szCs w:val="24"/>
                  <w:lang w:val="pt-BR"/>
                </w:rPr>
                <w:t>@</w:t>
              </w:r>
              <w:r>
                <w:rPr>
                  <w:rFonts w:eastAsia="Calibri"/>
                  <w:szCs w:val="24"/>
                </w:rPr>
                <w:t>zarasai.lt</w:t>
              </w:r>
            </w:p>
            <w:tbl>
              <w:tblPr>
                <w:tblW w:w="9647" w:type="dxa"/>
                <w:tblLayout w:type="fixed"/>
                <w:tblCellMar>
                  <w:left w:w="107" w:type="dxa"/>
                  <w:right w:w="107" w:type="dxa"/>
                </w:tblCellMar>
                <w:tblLook w:val="0000" w:firstRow="0" w:lastRow="0" w:firstColumn="0" w:lastColumn="0" w:noHBand="0" w:noVBand="0"/>
              </w:tblPr>
              <w:tblGrid>
                <w:gridCol w:w="9647"/>
              </w:tblGrid>
              <w:tr>
                <w:trPr>
                  <w:cantSplit/>
                </w:trPr>
                <w:tc>
                  <w:tcPr>
                    <w:tcW w:w="9647" w:type="dxa"/>
                  </w:tcPr>
                  <w:p>
                    <w:pPr>
                      <w:jc w:val="center"/>
                      <w:rPr>
                        <w:szCs w:val="24"/>
                      </w:rPr>
                    </w:pPr>
                  </w:p>
                </w:tc>
              </w:tr>
            </w:tbl>
            <w:p>
              <w:pPr>
                <w:tabs>
                  <w:tab w:val="left" w:pos="1560"/>
                </w:tabs>
                <w:rPr>
                  <w:szCs w:val="24"/>
                </w:rPr>
              </w:pPr>
            </w:p>
          </w:sdtContent>
        </w:sdt>
      </w:sdtContent>
    </w:sdt>
    <w:sectPr>
      <w:headerReference w:type="default" r:id="rId16"/>
      <w:headerReference w:type="first" r:id="rId17"/>
      <w:pgSz w:w="11907" w:h="16840" w:code="9"/>
      <w:pgMar w:top="1134" w:right="567" w:bottom="568" w:left="1701" w:header="284" w:footer="675"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jc w:val="center"/>
      <w:rPr>
        <w:sz w:val="20"/>
      </w:rPr>
    </w:pPr>
    <w:r>
      <w:rPr>
        <w:sz w:val="20"/>
      </w:rPr>
      <w:fldChar w:fldCharType="begin"/>
    </w:r>
    <w:r>
      <w:rPr>
        <w:sz w:val="20"/>
      </w:rPr>
      <w:instrText>PAGE   \* MERGEFORMAT</w:instrText>
    </w:r>
    <w:r>
      <w:rPr>
        <w:sz w:val="20"/>
      </w:rPr>
      <w:fldChar w:fldCharType="separate"/>
    </w:r>
    <w:r>
      <w:rPr>
        <w:sz w:val="20"/>
      </w:rPr>
      <w:t>2</w:t>
    </w:r>
    <w:r>
      <w:rPr>
        <w:sz w:val="20"/>
      </w:rPr>
      <w:fldChar w:fldCharType="end"/>
    </w:r>
  </w:p>
  <w:p>
    <w:pPr>
      <w:tabs>
        <w:tab w:val="center" w:pos="4320"/>
        <w:tab w:val="right" w:pos="8640"/>
      </w:tabs>
      <w:rPr>
        <w:sz w:val="20"/>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sz w:val="20"/>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jc w:val="center"/>
      <w:rPr>
        <w:sz w:val="20"/>
      </w:rPr>
    </w:pPr>
    <w:r>
      <w:rPr>
        <w:sz w:val="20"/>
      </w:rPr>
      <w:fldChar w:fldCharType="begin"/>
    </w:r>
    <w:r>
      <w:rPr>
        <w:sz w:val="20"/>
      </w:rPr>
      <w:instrText>PAGE   \* MERGEFORMAT</w:instrText>
    </w:r>
    <w:r>
      <w:rPr>
        <w:sz w:val="20"/>
      </w:rPr>
      <w:fldChar w:fldCharType="separate"/>
    </w:r>
    <w:r>
      <w:rPr>
        <w:sz w:val="20"/>
      </w:rPr>
      <w:t>2</w:t>
    </w:r>
    <w:r>
      <w:rPr>
        <w:sz w:val="20"/>
      </w:rPr>
      <w:fldChar w:fldCharType="end"/>
    </w:r>
  </w:p>
  <w:p>
    <w:pPr>
      <w:tabs>
        <w:tab w:val="center" w:pos="4320"/>
        <w:tab w:val="right" w:pos="8640"/>
      </w:tabs>
      <w:rPr>
        <w:sz w:val="20"/>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2E5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ED29CD81-C13B-405D-AE7D-787397B36D7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8444668">
      <w:bodyDiv w:val="1"/>
      <w:marLeft w:val="0"/>
      <w:marRight w:val="0"/>
      <w:marTop w:val="0"/>
      <w:marBottom w:val="0"/>
      <w:divBdr>
        <w:top w:val="none" w:sz="0" w:space="0" w:color="auto"/>
        <w:left w:val="none" w:sz="0" w:space="0" w:color="auto"/>
        <w:bottom w:val="none" w:sz="0" w:space="0" w:color="auto"/>
        <w:right w:val="none" w:sz="0" w:space="0" w:color="auto"/>
      </w:divBdr>
    </w:div>
    <w:div w:id="205214994">
      <w:bodyDiv w:val="1"/>
      <w:marLeft w:val="0"/>
      <w:marRight w:val="0"/>
      <w:marTop w:val="0"/>
      <w:marBottom w:val="0"/>
      <w:divBdr>
        <w:top w:val="none" w:sz="0" w:space="0" w:color="auto"/>
        <w:left w:val="none" w:sz="0" w:space="0" w:color="auto"/>
        <w:bottom w:val="none" w:sz="0" w:space="0" w:color="auto"/>
        <w:right w:val="none" w:sz="0" w:space="0" w:color="auto"/>
      </w:divBdr>
    </w:div>
    <w:div w:id="315114664">
      <w:bodyDiv w:val="1"/>
      <w:marLeft w:val="0"/>
      <w:marRight w:val="0"/>
      <w:marTop w:val="0"/>
      <w:marBottom w:val="0"/>
      <w:divBdr>
        <w:top w:val="none" w:sz="0" w:space="0" w:color="auto"/>
        <w:left w:val="none" w:sz="0" w:space="0" w:color="auto"/>
        <w:bottom w:val="none" w:sz="0" w:space="0" w:color="auto"/>
        <w:right w:val="none" w:sz="0" w:space="0" w:color="auto"/>
      </w:divBdr>
      <w:divsChild>
        <w:div w:id="282540427">
          <w:marLeft w:val="0"/>
          <w:marRight w:val="0"/>
          <w:marTop w:val="0"/>
          <w:marBottom w:val="0"/>
          <w:divBdr>
            <w:top w:val="none" w:sz="0" w:space="0" w:color="auto"/>
            <w:left w:val="none" w:sz="0" w:space="0" w:color="auto"/>
            <w:bottom w:val="none" w:sz="0" w:space="0" w:color="auto"/>
            <w:right w:val="none" w:sz="0" w:space="0" w:color="auto"/>
          </w:divBdr>
        </w:div>
        <w:div w:id="440029743">
          <w:marLeft w:val="0"/>
          <w:marRight w:val="0"/>
          <w:marTop w:val="0"/>
          <w:marBottom w:val="0"/>
          <w:divBdr>
            <w:top w:val="none" w:sz="0" w:space="0" w:color="auto"/>
            <w:left w:val="none" w:sz="0" w:space="0" w:color="auto"/>
            <w:bottom w:val="none" w:sz="0" w:space="0" w:color="auto"/>
            <w:right w:val="none" w:sz="0" w:space="0" w:color="auto"/>
          </w:divBdr>
        </w:div>
        <w:div w:id="1906723288">
          <w:marLeft w:val="0"/>
          <w:marRight w:val="0"/>
          <w:marTop w:val="0"/>
          <w:marBottom w:val="0"/>
          <w:divBdr>
            <w:top w:val="none" w:sz="0" w:space="0" w:color="auto"/>
            <w:left w:val="none" w:sz="0" w:space="0" w:color="auto"/>
            <w:bottom w:val="none" w:sz="0" w:space="0" w:color="auto"/>
            <w:right w:val="none" w:sz="0" w:space="0" w:color="auto"/>
          </w:divBdr>
        </w:div>
      </w:divsChild>
    </w:div>
    <w:div w:id="461047401">
      <w:bodyDiv w:val="1"/>
      <w:marLeft w:val="0"/>
      <w:marRight w:val="0"/>
      <w:marTop w:val="0"/>
      <w:marBottom w:val="0"/>
      <w:divBdr>
        <w:top w:val="none" w:sz="0" w:space="0" w:color="auto"/>
        <w:left w:val="none" w:sz="0" w:space="0" w:color="auto"/>
        <w:bottom w:val="none" w:sz="0" w:space="0" w:color="auto"/>
        <w:right w:val="none" w:sz="0" w:space="0" w:color="auto"/>
      </w:divBdr>
    </w:div>
    <w:div w:id="480659121">
      <w:bodyDiv w:val="1"/>
      <w:marLeft w:val="0"/>
      <w:marRight w:val="0"/>
      <w:marTop w:val="0"/>
      <w:marBottom w:val="0"/>
      <w:divBdr>
        <w:top w:val="none" w:sz="0" w:space="0" w:color="auto"/>
        <w:left w:val="none" w:sz="0" w:space="0" w:color="auto"/>
        <w:bottom w:val="none" w:sz="0" w:space="0" w:color="auto"/>
        <w:right w:val="none" w:sz="0" w:space="0" w:color="auto"/>
      </w:divBdr>
      <w:divsChild>
        <w:div w:id="534316576">
          <w:marLeft w:val="0"/>
          <w:marRight w:val="0"/>
          <w:marTop w:val="0"/>
          <w:marBottom w:val="0"/>
          <w:divBdr>
            <w:top w:val="none" w:sz="0" w:space="0" w:color="auto"/>
            <w:left w:val="none" w:sz="0" w:space="0" w:color="auto"/>
            <w:bottom w:val="none" w:sz="0" w:space="0" w:color="auto"/>
            <w:right w:val="none" w:sz="0" w:space="0" w:color="auto"/>
          </w:divBdr>
        </w:div>
        <w:div w:id="1968005937">
          <w:marLeft w:val="0"/>
          <w:marRight w:val="0"/>
          <w:marTop w:val="0"/>
          <w:marBottom w:val="0"/>
          <w:divBdr>
            <w:top w:val="none" w:sz="0" w:space="0" w:color="auto"/>
            <w:left w:val="none" w:sz="0" w:space="0" w:color="auto"/>
            <w:bottom w:val="none" w:sz="0" w:space="0" w:color="auto"/>
            <w:right w:val="none" w:sz="0" w:space="0" w:color="auto"/>
          </w:divBdr>
        </w:div>
        <w:div w:id="1891840409">
          <w:marLeft w:val="0"/>
          <w:marRight w:val="0"/>
          <w:marTop w:val="0"/>
          <w:marBottom w:val="0"/>
          <w:divBdr>
            <w:top w:val="none" w:sz="0" w:space="0" w:color="auto"/>
            <w:left w:val="none" w:sz="0" w:space="0" w:color="auto"/>
            <w:bottom w:val="none" w:sz="0" w:space="0" w:color="auto"/>
            <w:right w:val="none" w:sz="0" w:space="0" w:color="auto"/>
          </w:divBdr>
        </w:div>
        <w:div w:id="1450006557">
          <w:marLeft w:val="0"/>
          <w:marRight w:val="0"/>
          <w:marTop w:val="0"/>
          <w:marBottom w:val="0"/>
          <w:divBdr>
            <w:top w:val="none" w:sz="0" w:space="0" w:color="auto"/>
            <w:left w:val="none" w:sz="0" w:space="0" w:color="auto"/>
            <w:bottom w:val="none" w:sz="0" w:space="0" w:color="auto"/>
            <w:right w:val="none" w:sz="0" w:space="0" w:color="auto"/>
          </w:divBdr>
        </w:div>
        <w:div w:id="1721441722">
          <w:marLeft w:val="0"/>
          <w:marRight w:val="0"/>
          <w:marTop w:val="0"/>
          <w:marBottom w:val="0"/>
          <w:divBdr>
            <w:top w:val="none" w:sz="0" w:space="0" w:color="auto"/>
            <w:left w:val="none" w:sz="0" w:space="0" w:color="auto"/>
            <w:bottom w:val="none" w:sz="0" w:space="0" w:color="auto"/>
            <w:right w:val="none" w:sz="0" w:space="0" w:color="auto"/>
          </w:divBdr>
        </w:div>
        <w:div w:id="2131513907">
          <w:marLeft w:val="0"/>
          <w:marRight w:val="0"/>
          <w:marTop w:val="0"/>
          <w:marBottom w:val="0"/>
          <w:divBdr>
            <w:top w:val="none" w:sz="0" w:space="0" w:color="auto"/>
            <w:left w:val="none" w:sz="0" w:space="0" w:color="auto"/>
            <w:bottom w:val="none" w:sz="0" w:space="0" w:color="auto"/>
            <w:right w:val="none" w:sz="0" w:space="0" w:color="auto"/>
          </w:divBdr>
        </w:div>
        <w:div w:id="497579821">
          <w:marLeft w:val="0"/>
          <w:marRight w:val="0"/>
          <w:marTop w:val="0"/>
          <w:marBottom w:val="0"/>
          <w:divBdr>
            <w:top w:val="none" w:sz="0" w:space="0" w:color="auto"/>
            <w:left w:val="none" w:sz="0" w:space="0" w:color="auto"/>
            <w:bottom w:val="none" w:sz="0" w:space="0" w:color="auto"/>
            <w:right w:val="none" w:sz="0" w:space="0" w:color="auto"/>
          </w:divBdr>
        </w:div>
        <w:div w:id="846166475">
          <w:marLeft w:val="0"/>
          <w:marRight w:val="0"/>
          <w:marTop w:val="0"/>
          <w:marBottom w:val="0"/>
          <w:divBdr>
            <w:top w:val="none" w:sz="0" w:space="0" w:color="auto"/>
            <w:left w:val="none" w:sz="0" w:space="0" w:color="auto"/>
            <w:bottom w:val="none" w:sz="0" w:space="0" w:color="auto"/>
            <w:right w:val="none" w:sz="0" w:space="0" w:color="auto"/>
          </w:divBdr>
        </w:div>
      </w:divsChild>
    </w:div>
    <w:div w:id="567770148">
      <w:bodyDiv w:val="1"/>
      <w:marLeft w:val="0"/>
      <w:marRight w:val="0"/>
      <w:marTop w:val="0"/>
      <w:marBottom w:val="0"/>
      <w:divBdr>
        <w:top w:val="none" w:sz="0" w:space="0" w:color="auto"/>
        <w:left w:val="none" w:sz="0" w:space="0" w:color="auto"/>
        <w:bottom w:val="none" w:sz="0" w:space="0" w:color="auto"/>
        <w:right w:val="none" w:sz="0" w:space="0" w:color="auto"/>
      </w:divBdr>
    </w:div>
    <w:div w:id="619264554">
      <w:bodyDiv w:val="1"/>
      <w:marLeft w:val="0"/>
      <w:marRight w:val="0"/>
      <w:marTop w:val="0"/>
      <w:marBottom w:val="0"/>
      <w:divBdr>
        <w:top w:val="none" w:sz="0" w:space="0" w:color="auto"/>
        <w:left w:val="none" w:sz="0" w:space="0" w:color="auto"/>
        <w:bottom w:val="none" w:sz="0" w:space="0" w:color="auto"/>
        <w:right w:val="none" w:sz="0" w:space="0" w:color="auto"/>
      </w:divBdr>
    </w:div>
    <w:div w:id="696737339">
      <w:bodyDiv w:val="1"/>
      <w:marLeft w:val="0"/>
      <w:marRight w:val="0"/>
      <w:marTop w:val="0"/>
      <w:marBottom w:val="0"/>
      <w:divBdr>
        <w:top w:val="none" w:sz="0" w:space="0" w:color="auto"/>
        <w:left w:val="none" w:sz="0" w:space="0" w:color="auto"/>
        <w:bottom w:val="none" w:sz="0" w:space="0" w:color="auto"/>
        <w:right w:val="none" w:sz="0" w:space="0" w:color="auto"/>
      </w:divBdr>
    </w:div>
    <w:div w:id="754282988">
      <w:bodyDiv w:val="1"/>
      <w:marLeft w:val="0"/>
      <w:marRight w:val="0"/>
      <w:marTop w:val="0"/>
      <w:marBottom w:val="0"/>
      <w:divBdr>
        <w:top w:val="none" w:sz="0" w:space="0" w:color="auto"/>
        <w:left w:val="none" w:sz="0" w:space="0" w:color="auto"/>
        <w:bottom w:val="none" w:sz="0" w:space="0" w:color="auto"/>
        <w:right w:val="none" w:sz="0" w:space="0" w:color="auto"/>
      </w:divBdr>
      <w:divsChild>
        <w:div w:id="926885348">
          <w:marLeft w:val="0"/>
          <w:marRight w:val="0"/>
          <w:marTop w:val="0"/>
          <w:marBottom w:val="0"/>
          <w:divBdr>
            <w:top w:val="none" w:sz="0" w:space="0" w:color="auto"/>
            <w:left w:val="none" w:sz="0" w:space="0" w:color="auto"/>
            <w:bottom w:val="none" w:sz="0" w:space="0" w:color="auto"/>
            <w:right w:val="none" w:sz="0" w:space="0" w:color="auto"/>
          </w:divBdr>
        </w:div>
        <w:div w:id="647054027">
          <w:marLeft w:val="0"/>
          <w:marRight w:val="0"/>
          <w:marTop w:val="0"/>
          <w:marBottom w:val="0"/>
          <w:divBdr>
            <w:top w:val="none" w:sz="0" w:space="0" w:color="auto"/>
            <w:left w:val="none" w:sz="0" w:space="0" w:color="auto"/>
            <w:bottom w:val="none" w:sz="0" w:space="0" w:color="auto"/>
            <w:right w:val="none" w:sz="0" w:space="0" w:color="auto"/>
          </w:divBdr>
        </w:div>
        <w:div w:id="2062122872">
          <w:marLeft w:val="0"/>
          <w:marRight w:val="0"/>
          <w:marTop w:val="0"/>
          <w:marBottom w:val="0"/>
          <w:divBdr>
            <w:top w:val="none" w:sz="0" w:space="0" w:color="auto"/>
            <w:left w:val="none" w:sz="0" w:space="0" w:color="auto"/>
            <w:bottom w:val="none" w:sz="0" w:space="0" w:color="auto"/>
            <w:right w:val="none" w:sz="0" w:space="0" w:color="auto"/>
          </w:divBdr>
        </w:div>
        <w:div w:id="1303852366">
          <w:marLeft w:val="0"/>
          <w:marRight w:val="0"/>
          <w:marTop w:val="0"/>
          <w:marBottom w:val="0"/>
          <w:divBdr>
            <w:top w:val="none" w:sz="0" w:space="0" w:color="auto"/>
            <w:left w:val="none" w:sz="0" w:space="0" w:color="auto"/>
            <w:bottom w:val="none" w:sz="0" w:space="0" w:color="auto"/>
            <w:right w:val="none" w:sz="0" w:space="0" w:color="auto"/>
          </w:divBdr>
        </w:div>
        <w:div w:id="416902940">
          <w:marLeft w:val="0"/>
          <w:marRight w:val="0"/>
          <w:marTop w:val="0"/>
          <w:marBottom w:val="0"/>
          <w:divBdr>
            <w:top w:val="none" w:sz="0" w:space="0" w:color="auto"/>
            <w:left w:val="none" w:sz="0" w:space="0" w:color="auto"/>
            <w:bottom w:val="none" w:sz="0" w:space="0" w:color="auto"/>
            <w:right w:val="none" w:sz="0" w:space="0" w:color="auto"/>
          </w:divBdr>
        </w:div>
        <w:div w:id="552078177">
          <w:marLeft w:val="0"/>
          <w:marRight w:val="0"/>
          <w:marTop w:val="0"/>
          <w:marBottom w:val="0"/>
          <w:divBdr>
            <w:top w:val="none" w:sz="0" w:space="0" w:color="auto"/>
            <w:left w:val="none" w:sz="0" w:space="0" w:color="auto"/>
            <w:bottom w:val="none" w:sz="0" w:space="0" w:color="auto"/>
            <w:right w:val="none" w:sz="0" w:space="0" w:color="auto"/>
          </w:divBdr>
        </w:div>
        <w:div w:id="43330966">
          <w:marLeft w:val="0"/>
          <w:marRight w:val="0"/>
          <w:marTop w:val="0"/>
          <w:marBottom w:val="0"/>
          <w:divBdr>
            <w:top w:val="none" w:sz="0" w:space="0" w:color="auto"/>
            <w:left w:val="none" w:sz="0" w:space="0" w:color="auto"/>
            <w:bottom w:val="none" w:sz="0" w:space="0" w:color="auto"/>
            <w:right w:val="none" w:sz="0" w:space="0" w:color="auto"/>
          </w:divBdr>
        </w:div>
        <w:div w:id="1724796027">
          <w:marLeft w:val="0"/>
          <w:marRight w:val="0"/>
          <w:marTop w:val="0"/>
          <w:marBottom w:val="0"/>
          <w:divBdr>
            <w:top w:val="none" w:sz="0" w:space="0" w:color="auto"/>
            <w:left w:val="none" w:sz="0" w:space="0" w:color="auto"/>
            <w:bottom w:val="none" w:sz="0" w:space="0" w:color="auto"/>
            <w:right w:val="none" w:sz="0" w:space="0" w:color="auto"/>
          </w:divBdr>
        </w:div>
      </w:divsChild>
    </w:div>
    <w:div w:id="786239285">
      <w:bodyDiv w:val="1"/>
      <w:marLeft w:val="0"/>
      <w:marRight w:val="0"/>
      <w:marTop w:val="0"/>
      <w:marBottom w:val="0"/>
      <w:divBdr>
        <w:top w:val="none" w:sz="0" w:space="0" w:color="auto"/>
        <w:left w:val="none" w:sz="0" w:space="0" w:color="auto"/>
        <w:bottom w:val="none" w:sz="0" w:space="0" w:color="auto"/>
        <w:right w:val="none" w:sz="0" w:space="0" w:color="auto"/>
      </w:divBdr>
    </w:div>
    <w:div w:id="848132117">
      <w:bodyDiv w:val="1"/>
      <w:marLeft w:val="0"/>
      <w:marRight w:val="0"/>
      <w:marTop w:val="0"/>
      <w:marBottom w:val="0"/>
      <w:divBdr>
        <w:top w:val="none" w:sz="0" w:space="0" w:color="auto"/>
        <w:left w:val="none" w:sz="0" w:space="0" w:color="auto"/>
        <w:bottom w:val="none" w:sz="0" w:space="0" w:color="auto"/>
        <w:right w:val="none" w:sz="0" w:space="0" w:color="auto"/>
      </w:divBdr>
    </w:div>
    <w:div w:id="895622812">
      <w:bodyDiv w:val="1"/>
      <w:marLeft w:val="0"/>
      <w:marRight w:val="0"/>
      <w:marTop w:val="0"/>
      <w:marBottom w:val="0"/>
      <w:divBdr>
        <w:top w:val="none" w:sz="0" w:space="0" w:color="auto"/>
        <w:left w:val="none" w:sz="0" w:space="0" w:color="auto"/>
        <w:bottom w:val="none" w:sz="0" w:space="0" w:color="auto"/>
        <w:right w:val="none" w:sz="0" w:space="0" w:color="auto"/>
      </w:divBdr>
    </w:div>
    <w:div w:id="1127704920">
      <w:bodyDiv w:val="1"/>
      <w:marLeft w:val="0"/>
      <w:marRight w:val="0"/>
      <w:marTop w:val="0"/>
      <w:marBottom w:val="0"/>
      <w:divBdr>
        <w:top w:val="none" w:sz="0" w:space="0" w:color="auto"/>
        <w:left w:val="none" w:sz="0" w:space="0" w:color="auto"/>
        <w:bottom w:val="none" w:sz="0" w:space="0" w:color="auto"/>
        <w:right w:val="none" w:sz="0" w:space="0" w:color="auto"/>
      </w:divBdr>
    </w:div>
    <w:div w:id="1149176087">
      <w:bodyDiv w:val="1"/>
      <w:marLeft w:val="0"/>
      <w:marRight w:val="0"/>
      <w:marTop w:val="0"/>
      <w:marBottom w:val="0"/>
      <w:divBdr>
        <w:top w:val="none" w:sz="0" w:space="0" w:color="auto"/>
        <w:left w:val="none" w:sz="0" w:space="0" w:color="auto"/>
        <w:bottom w:val="none" w:sz="0" w:space="0" w:color="auto"/>
        <w:right w:val="none" w:sz="0" w:space="0" w:color="auto"/>
      </w:divBdr>
    </w:div>
    <w:div w:id="1185366952">
      <w:bodyDiv w:val="1"/>
      <w:marLeft w:val="0"/>
      <w:marRight w:val="0"/>
      <w:marTop w:val="0"/>
      <w:marBottom w:val="0"/>
      <w:divBdr>
        <w:top w:val="none" w:sz="0" w:space="0" w:color="auto"/>
        <w:left w:val="none" w:sz="0" w:space="0" w:color="auto"/>
        <w:bottom w:val="none" w:sz="0" w:space="0" w:color="auto"/>
        <w:right w:val="none" w:sz="0" w:space="0" w:color="auto"/>
      </w:divBdr>
    </w:div>
    <w:div w:id="1230117956">
      <w:bodyDiv w:val="1"/>
      <w:marLeft w:val="0"/>
      <w:marRight w:val="0"/>
      <w:marTop w:val="0"/>
      <w:marBottom w:val="0"/>
      <w:divBdr>
        <w:top w:val="none" w:sz="0" w:space="0" w:color="auto"/>
        <w:left w:val="none" w:sz="0" w:space="0" w:color="auto"/>
        <w:bottom w:val="none" w:sz="0" w:space="0" w:color="auto"/>
        <w:right w:val="none" w:sz="0" w:space="0" w:color="auto"/>
      </w:divBdr>
    </w:div>
    <w:div w:id="1690062301">
      <w:bodyDiv w:val="1"/>
      <w:marLeft w:val="0"/>
      <w:marRight w:val="0"/>
      <w:marTop w:val="0"/>
      <w:marBottom w:val="0"/>
      <w:divBdr>
        <w:top w:val="none" w:sz="0" w:space="0" w:color="auto"/>
        <w:left w:val="none" w:sz="0" w:space="0" w:color="auto"/>
        <w:bottom w:val="none" w:sz="0" w:space="0" w:color="auto"/>
        <w:right w:val="none" w:sz="0" w:space="0" w:color="auto"/>
      </w:divBdr>
    </w:div>
    <w:div w:id="1762142945">
      <w:bodyDiv w:val="1"/>
      <w:marLeft w:val="0"/>
      <w:marRight w:val="0"/>
      <w:marTop w:val="0"/>
      <w:marBottom w:val="0"/>
      <w:divBdr>
        <w:top w:val="none" w:sz="0" w:space="0" w:color="auto"/>
        <w:left w:val="none" w:sz="0" w:space="0" w:color="auto"/>
        <w:bottom w:val="none" w:sz="0" w:space="0" w:color="auto"/>
        <w:right w:val="none" w:sz="0" w:space="0" w:color="auto"/>
      </w:divBdr>
    </w:div>
    <w:div w:id="1876891388">
      <w:bodyDiv w:val="1"/>
      <w:marLeft w:val="0"/>
      <w:marRight w:val="0"/>
      <w:marTop w:val="0"/>
      <w:marBottom w:val="0"/>
      <w:divBdr>
        <w:top w:val="none" w:sz="0" w:space="0" w:color="auto"/>
        <w:left w:val="none" w:sz="0" w:space="0" w:color="auto"/>
        <w:bottom w:val="none" w:sz="0" w:space="0" w:color="auto"/>
        <w:right w:val="none" w:sz="0" w:space="0" w:color="auto"/>
      </w:divBdr>
    </w:div>
    <w:div w:id="1989742362">
      <w:bodyDiv w:val="1"/>
      <w:marLeft w:val="0"/>
      <w:marRight w:val="0"/>
      <w:marTop w:val="0"/>
      <w:marBottom w:val="0"/>
      <w:divBdr>
        <w:top w:val="none" w:sz="0" w:space="0" w:color="auto"/>
        <w:left w:val="none" w:sz="0" w:space="0" w:color="auto"/>
        <w:bottom w:val="none" w:sz="0" w:space="0" w:color="auto"/>
        <w:right w:val="none" w:sz="0" w:space="0" w:color="auto"/>
      </w:divBdr>
    </w:div>
    <w:div w:id="2017491089">
      <w:bodyDiv w:val="1"/>
      <w:marLeft w:val="0"/>
      <w:marRight w:val="0"/>
      <w:marTop w:val="0"/>
      <w:marBottom w:val="0"/>
      <w:divBdr>
        <w:top w:val="none" w:sz="0" w:space="0" w:color="auto"/>
        <w:left w:val="none" w:sz="0" w:space="0" w:color="auto"/>
        <w:bottom w:val="none" w:sz="0" w:space="0" w:color="auto"/>
        <w:right w:val="none" w:sz="0" w:space="0" w:color="auto"/>
      </w:divBdr>
      <w:divsChild>
        <w:div w:id="1514566368">
          <w:marLeft w:val="0"/>
          <w:marRight w:val="0"/>
          <w:marTop w:val="0"/>
          <w:marBottom w:val="0"/>
          <w:divBdr>
            <w:top w:val="none" w:sz="0" w:space="0" w:color="auto"/>
            <w:left w:val="none" w:sz="0" w:space="0" w:color="auto"/>
            <w:bottom w:val="none" w:sz="0" w:space="0" w:color="auto"/>
            <w:right w:val="none" w:sz="0" w:space="0" w:color="auto"/>
          </w:divBdr>
        </w:div>
        <w:div w:id="920333467">
          <w:marLeft w:val="0"/>
          <w:marRight w:val="0"/>
          <w:marTop w:val="0"/>
          <w:marBottom w:val="0"/>
          <w:divBdr>
            <w:top w:val="none" w:sz="0" w:space="0" w:color="auto"/>
            <w:left w:val="none" w:sz="0" w:space="0" w:color="auto"/>
            <w:bottom w:val="none" w:sz="0" w:space="0" w:color="auto"/>
            <w:right w:val="none" w:sz="0" w:space="0" w:color="auto"/>
          </w:divBdr>
        </w:div>
        <w:div w:id="1201044475">
          <w:marLeft w:val="0"/>
          <w:marRight w:val="0"/>
          <w:marTop w:val="0"/>
          <w:marBottom w:val="0"/>
          <w:divBdr>
            <w:top w:val="none" w:sz="0" w:space="0" w:color="auto"/>
            <w:left w:val="none" w:sz="0" w:space="0" w:color="auto"/>
            <w:bottom w:val="none" w:sz="0" w:space="0" w:color="auto"/>
            <w:right w:val="none" w:sz="0" w:space="0" w:color="auto"/>
          </w:divBdr>
        </w:div>
      </w:divsChild>
    </w:div>
    <w:div w:id="2064908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501fd8f17b1b414d88299e897745e029" PartId="4135678077e943f9b29f86a7c16d69d6"/>
  <Part Type="pastraipa" DocPartId="aa1e4dbc529d493fa2bcc0ce6f430039" PartId="0eafe2fc057140a2893169ac0568f7fa">
    <Part Type="punktas" Nr="1" Abbr="1 p." DocPartId="d7938d6cee2c497a94e2047a5ed49d27" PartId="6e6f0f73ca3440339f36b15c0a8ebcd6"/>
    <Part Type="punktas" Nr="2" Abbr="2 p." DocPartId="38031139cc16457fb66c342aec47a73d" PartId="7504fd1b27aa4c34a963070e504d3920"/>
  </Part>
</Parts>
</file>

<file path=customXml/itemProps1.xml><?xml version="1.0" encoding="utf-8"?>
<ds:datastoreItem xmlns:ds="http://schemas.openxmlformats.org/officeDocument/2006/customXml" ds:itemID="{A5450B22-560D-47E0-B823-ECF751D5349D}">
  <ds:schemaRefs>
    <ds:schemaRef ds:uri="http://schemas.openxmlformats.org/officeDocument/2006/bibliography"/>
  </ds:schemaRefs>
</ds:datastoreItem>
</file>

<file path=customXml/itemProps2.xml><?xml version="1.0" encoding="utf-8"?>
<ds:datastoreItem xmlns:ds="http://schemas.openxmlformats.org/officeDocument/2006/customXml" ds:itemID="{55E4ED4A-B2A9-48C5-86DA-6D51084BB34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1209</Words>
  <Characters>8144</Characters>
  <Application>Microsoft Office Word</Application>
  <DocSecurity>4</DocSecurity>
  <Lines>166</Lines>
  <Paragraphs>41</Paragraphs>
  <ScaleCrop>false</ScaleCrop>
  <HeadingPairs>
    <vt:vector size="2" baseType="variant">
      <vt:variant>
        <vt:lpstr>Pavadinimas</vt:lpstr>
      </vt:variant>
      <vt:variant>
        <vt:i4>1</vt:i4>
      </vt:variant>
    </vt:vector>
  </HeadingPairs>
  <TitlesOfParts>
    <vt:vector size="1" baseType="lpstr">
      <vt:lpstr> </vt:lpstr>
    </vt:vector>
  </TitlesOfParts>
  <Company>&lt;arabianhorse&gt;</Company>
  <LinksUpToDate>false</LinksUpToDate>
  <CharactersWithSpaces>9312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2024-12-12T08:55:00Z</dcterms:created>
  <dc:creator>VBIV82</dc:creator>
  <lastModifiedBy>adlibuser</lastModifiedBy>
  <lastPrinted>2024-10-08T10:37:00Z</lastPrinted>
  <dcterms:modified xsi:type="dcterms:W3CDTF">2024-12-12T08:55:00Z</dcterms:modified>
  <revision>2</revision>
  <dc:title/>
</coreProperties>
</file>