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76652c14d8104eafab940f698573c050"/>
        <w:lock w:val="sdtLocked"/>
        <w:richText/>
      </w:sdtPr>
      <w:sdtContent>
        <w:p>
          <w:pPr>
            <w:ind w:left="7776"/>
            <w:rPr>
              <w:szCs w:val="24"/>
            </w:rPr>
          </w:pPr>
          <w:r>
            <w:rPr>
              <w:b/>
              <w:bCs/>
              <w:szCs w:val="24"/>
            </w:rPr>
            <w:t>Projektas</w:t>
            <w:br/>
          </w:r>
          <w:r>
            <w:rPr>
              <w:szCs w:val="24"/>
            </w:rPr>
            <w:t>Nr. TSP-</w:t>
          </w:r>
        </w:p>
        <w:p>
          <w:pPr>
            <w:jc w:val="center"/>
            <w:rPr>
              <w:b/>
              <w:bCs/>
              <w:szCs w:val="24"/>
            </w:rPr>
          </w:pPr>
        </w:p>
        <w:p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RADVILIŠKIO RAJONO SAVIVALDYBĖS TARYBA</w:t>
          </w:r>
        </w:p>
        <w:p>
          <w:pPr>
            <w:tabs>
              <w:tab w:val="left" w:pos="2010"/>
            </w:tabs>
            <w:ind w:firstLine="2010"/>
            <w:rPr>
              <w:b/>
              <w:bCs/>
              <w:sz w:val="16"/>
              <w:szCs w:val="16"/>
            </w:rPr>
          </w:pPr>
        </w:p>
        <w:p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position w:val="6"/>
              <w:szCs w:val="24"/>
              <w:lang w:eastAsia="lt-LT"/>
              <w14:cntxtAlts/>
            </w:rPr>
            <w:t xml:space="preserve">DĖL RADVILIŠKIO RAJONO SAVIVALDYBĖS TARYBOS 2025 M. VASARIO 13 D. SPRENDIMO NR. T-570 „ DĖL RADVILIŠKIO RAJONO SAVIVALDYBĖS APLINKOS APSAUGOS RĖMIMO SPECIALIOSIOS PROGRAMOS 2025 METŲ PRIEMONIŲ VYKDYMO SĄMATOS PATVIRTINIMO“ PAKEITIMO </w:t>
          </w:r>
        </w:p>
        <w:p>
          <w:pPr>
            <w:rPr>
              <w:sz w:val="20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2025 m.                           d. Nr. T-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>
          <w:pPr>
            <w:tabs>
              <w:tab w:val="left" w:pos="7680"/>
            </w:tabs>
            <w:jc w:val="both"/>
            <w:rPr>
              <w:sz w:val="22"/>
              <w:szCs w:val="24"/>
            </w:rPr>
          </w:pPr>
        </w:p>
        <w:sdt>
          <w:sdtPr>
            <w:alias w:val="preambule"/>
            <w:tag w:val="part_eb74c54a7dae4692ae8807265a463336"/>
            <w:lock w:val="sdtLocked"/>
            <w:richText/>
          </w:sdtPr>
          <w:sdtContent>
            <w:p>
              <w:pPr>
                <w:tabs>
                  <w:tab w:val="left" w:pos="8222"/>
                  <w:tab w:val="left" w:pos="8505"/>
                  <w:tab w:val="left" w:pos="9639"/>
                </w:tabs>
                <w:spacing w:line="276" w:lineRule="auto"/>
                <w:ind w:firstLine="709"/>
                <w:jc w:val="both"/>
                <w:rPr>
                  <w:lang w:bidi="he-IL"/>
                </w:rPr>
              </w:pPr>
              <w:r>
                <w:rPr>
                  <w:szCs w:val="24"/>
                  <w:lang w:eastAsia="lt-LT"/>
                </w:rPr>
                <w:t xml:space="preserve">Radviliškio rajono savivaldybės taryba </w:t>
              </w:r>
              <w:r>
                <w:rPr>
                  <w:spacing w:val="50"/>
                  <w:szCs w:val="24"/>
                  <w:lang w:eastAsia="lt-LT"/>
                </w:rPr>
                <w:t>nusprendžia</w:t>
              </w:r>
              <w:r>
                <w:rPr>
                  <w:lang w:bidi="he-IL"/>
                </w:rPr>
                <w:t xml:space="preserve">: </w:t>
              </w:r>
            </w:p>
          </w:sdtContent>
        </w:sdt>
        <w:sdt>
          <w:sdtPr>
            <w:alias w:val="pastraipa"/>
            <w:tag w:val="part_9630a28368bb41b5b8bc3d48e5b3ccc2"/>
            <w:lock w:val="sdtLocked"/>
            <w:richText/>
          </w:sdtPr>
          <w:sdtContent>
            <w:p>
              <w:pPr>
                <w:tabs>
                  <w:tab w:val="left" w:pos="8222"/>
                  <w:tab w:val="left" w:pos="8505"/>
                  <w:tab w:val="left" w:pos="9639"/>
                </w:tabs>
                <w:spacing w:line="276" w:lineRule="auto"/>
                <w:ind w:firstLine="709"/>
                <w:jc w:val="both"/>
                <w:rPr>
                  <w:lang w:bidi="he-IL"/>
                </w:rPr>
              </w:pPr>
              <w:r>
                <w:rPr>
                  <w:szCs w:val="24"/>
                  <w:lang w:eastAsia="lt-LT"/>
                </w:rPr>
                <w:t xml:space="preserve">Pakeisti Radviliškio rajono savivaldybės aplinkos apsaugos rėmimo programos sąmatą (toliau - Sąmata), patvirtintą 2025 m. vasario 13 d. sprendimu Nr. T-570 „Dėl Radviliškio rajono savivaldybės aplinkos apsaugos priemonių rėmimo specialiosios programos 2025 metų priemonių vykdymo sąmatos patvirtinimo“:  </w:t>
              </w:r>
            </w:p>
          </w:sdtContent>
        </w:sdt>
        <w:sdt>
          <w:sdtPr>
            <w:alias w:val="1 p."/>
            <w:tag w:val="part_63e47f0acda542a1ac3598a0c0e37964"/>
            <w:lock w:val="sdtLocked"/>
            <w:richText/>
          </w:sdtPr>
          <w:sdtContent>
            <w:p>
              <w:pPr>
                <w:tabs>
                  <w:tab w:val="left" w:pos="8222"/>
                  <w:tab w:val="left" w:pos="8505"/>
                  <w:tab w:val="left" w:pos="9639"/>
                </w:tabs>
                <w:spacing w:line="276" w:lineRule="auto"/>
                <w:ind w:firstLine="709"/>
                <w:jc w:val="both"/>
                <w:rPr>
                  <w:rFonts w:ascii="Thorndale" w:eastAsia="Lucida Sans Unicode" w:hAnsi="Thorndale" w:cs="Tahoma"/>
                  <w:kern w:val="2"/>
                  <w:szCs w:val="24"/>
                  <w:lang w:eastAsia="zh-CN"/>
                </w:rPr>
              </w:pPr>
              <w:sdt>
                <w:sdtPr>
                  <w:alias w:val="Numeris"/>
                  <w:tag w:val="nr_63e47f0acda542a1ac3598a0c0e37964"/>
                  <w:lock w:val="sdtLocked"/>
                  <w:richText/>
                </w:sdtPr>
                <w:sdtContent>
                  <w:r>
                    <w:rPr>
                      <w:rFonts w:ascii="Thorndale" w:eastAsia="Lucida Sans Unicode" w:hAnsi="Thorndale" w:cs="Tahoma"/>
                      <w:kern w:val="2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ascii="Thorndale" w:eastAsia="Lucida Sans Unicode" w:hAnsi="Thorndale" w:cs="Tahoma"/>
                  <w:kern w:val="2"/>
                  <w:szCs w:val="24"/>
                  <w:lang w:eastAsia="lt-LT"/>
                </w:rPr>
                <w:t xml:space="preserve">. </w:t>
              </w:r>
              <w:r>
                <w:rPr>
                  <w:rFonts w:ascii="Thorndale" w:eastAsia="Lucida Sans Unicode" w:hAnsi="Thorndale" w:cs="Tahoma"/>
                  <w:kern w:val="2"/>
                  <w:szCs w:val="24"/>
                  <w:lang w:eastAsia="zh-CN"/>
                </w:rPr>
                <w:t xml:space="preserve">Pakeisti </w:t>
              </w:r>
              <w:r>
                <w:rPr>
                  <w:szCs w:val="24"/>
                  <w:lang w:eastAsia="lt-LT"/>
                </w:rPr>
                <w:t xml:space="preserve">Sąmatos </w:t>
              </w:r>
              <w:r>
                <w:rPr>
                  <w:rFonts w:ascii="Thorndale" w:eastAsia="Lucida Sans Unicode" w:hAnsi="Thorndale" w:cs="Tahoma"/>
                  <w:kern w:val="2"/>
                  <w:szCs w:val="24"/>
                  <w:lang w:eastAsia="zh-CN"/>
                </w:rPr>
                <w:t>1 punktą ir jį išdėstyti taip:</w:t>
              </w:r>
            </w:p>
          </w:sdtContent>
        </w:sdt>
        <w:sdt>
          <w:sdtPr>
            <w:alias w:val="1 p."/>
            <w:tag w:val="part_604d3159488d479386a595a9d64f5d84"/>
            <w:lock w:val="sdtLocked"/>
            <w:richText/>
          </w:sdtPr>
          <w:sdtContent>
            <w:p>
              <w:pPr>
                <w:tabs>
                  <w:tab w:val="left" w:pos="8222"/>
                  <w:tab w:val="left" w:pos="8505"/>
                  <w:tab w:val="left" w:pos="9639"/>
                </w:tabs>
                <w:spacing w:line="276" w:lineRule="auto"/>
                <w:ind w:firstLine="709"/>
                <w:jc w:val="both"/>
                <w:rPr>
                  <w:lang w:bidi="he-IL"/>
                </w:rPr>
              </w:pPr>
              <w:sdt>
                <w:sdtPr>
                  <w:alias w:val="Numeris"/>
                  <w:tag w:val="nr_604d3159488d479386a595a9d64f5d84"/>
                  <w:lock w:val="sdtLocked"/>
                  <w:richText/>
                </w:sdtPr>
                <w:sdtContent>
                  <w:r>
                    <w:rPr>
                      <w:rFonts w:cs="Tahoma"/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rFonts w:cs="Tahoma"/>
                  <w:b/>
                  <w:szCs w:val="24"/>
                </w:rPr>
                <w:t>. Informacija apie Savivaldybių aplinkos apsaugos rėmimo specialiosios programos (toliau – Programa) lėšas</w:t>
              </w:r>
            </w:p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1E0" w:firstRow="1" w:lastRow="1" w:firstColumn="1" w:lastColumn="1" w:noHBand="0" w:noVBand="0"/>
              </w:tblPr>
              <w:tblGrid>
                <w:gridCol w:w="809"/>
                <w:gridCol w:w="7450"/>
                <w:gridCol w:w="1369"/>
              </w:tblGrid>
              <w:tr>
                <w:tc>
                  <w:tcPr>
                    <w:tcW w:w="809" w:type="dxa"/>
                  </w:tcPr>
                  <w:p>
                    <w:pPr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Eil. Nr.</w:t>
                    </w:r>
                  </w:p>
                </w:tc>
                <w:tc>
                  <w:tcPr>
                    <w:tcW w:w="7450" w:type="dxa"/>
                  </w:tcPr>
                  <w:p>
                    <w:pPr>
                      <w:ind w:firstLine="312"/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(1) Programos finansavimo šaltiniai</w:t>
                    </w:r>
                  </w:p>
                </w:tc>
                <w:tc>
                  <w:tcPr>
                    <w:tcW w:w="1369" w:type="dxa"/>
                  </w:tcPr>
                  <w:p>
                    <w:pPr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Lėšos, Eur</w:t>
                    </w:r>
                  </w:p>
                </w:tc>
              </w:tr>
              <w:tr>
                <w:tc>
                  <w:tcPr>
                    <w:tcW w:w="809" w:type="dxa"/>
                  </w:tcPr>
                  <w:p>
                    <w:pPr>
                      <w:widowControl w:val="0"/>
                      <w:suppressAutoHyphens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1.1.</w:t>
                    </w:r>
                  </w:p>
                </w:tc>
                <w:tc>
                  <w:tcPr>
                    <w:tcW w:w="7450" w:type="dxa"/>
                  </w:tcPr>
                  <w:p>
                    <w:pPr>
                      <w:widowControl w:val="0"/>
                      <w:suppressAutoHyphens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Mokesčiai už teršalų išmetimą į aplinką</w:t>
                    </w:r>
                  </w:p>
                </w:tc>
                <w:tc>
                  <w:tcPr>
                    <w:tcW w:w="1369" w:type="dxa"/>
                  </w:tcPr>
                  <w:p>
                    <w:pPr>
                      <w:widowControl w:val="0"/>
                      <w:suppressAutoHyphens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100 000</w:t>
                    </w:r>
                  </w:p>
                </w:tc>
              </w:tr>
              <w:tr>
                <w:tc>
                  <w:tcPr>
                    <w:tcW w:w="809" w:type="dxa"/>
                  </w:tcPr>
                  <w:p>
                    <w:pPr>
                      <w:widowControl w:val="0"/>
                      <w:suppressAutoHyphens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1.2.</w:t>
                    </w:r>
                  </w:p>
                </w:tc>
                <w:tc>
                  <w:tcPr>
                    <w:tcW w:w="7450" w:type="dxa"/>
                  </w:tcPr>
                  <w:p>
                    <w:pPr>
                      <w:widowControl w:val="0"/>
                      <w:suppressAutoHyphens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Mokesčiai už valstybinius gamtos išteklius</w:t>
                    </w:r>
                  </w:p>
                </w:tc>
                <w:tc>
                  <w:tcPr>
                    <w:tcW w:w="1369" w:type="dxa"/>
                  </w:tcPr>
                  <w:p>
                    <w:pPr>
                      <w:widowControl w:val="0"/>
                      <w:suppressAutoHyphens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70 000</w:t>
                    </w:r>
                  </w:p>
                </w:tc>
              </w:tr>
              <w:tr>
                <w:tc>
                  <w:tcPr>
                    <w:tcW w:w="809" w:type="dxa"/>
                  </w:tcPr>
                  <w:p>
                    <w:pPr>
                      <w:widowControl w:val="0"/>
                      <w:suppressAutoHyphens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1.3.</w:t>
                    </w:r>
                  </w:p>
                </w:tc>
                <w:tc>
                  <w:tcPr>
                    <w:tcW w:w="7450" w:type="dxa"/>
                  </w:tcPr>
                  <w:p>
                    <w:pPr>
                      <w:widowControl w:val="0"/>
                      <w:suppressAutoHyphens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Lėšos, gautos kaip želdinių atkuriamosios vertės kompensacija</w:t>
                    </w:r>
                  </w:p>
                </w:tc>
                <w:tc>
                  <w:tcPr>
                    <w:tcW w:w="1369" w:type="dxa"/>
                  </w:tcPr>
                  <w:p>
                    <w:pPr>
                      <w:widowControl w:val="0"/>
                      <w:suppressAutoHyphens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1 000 </w:t>
                    </w:r>
                  </w:p>
                </w:tc>
              </w:tr>
              <w:tr>
                <w:tc>
                  <w:tcPr>
                    <w:tcW w:w="809" w:type="dxa"/>
                  </w:tcPr>
                  <w:p>
                    <w:pPr>
                      <w:widowControl w:val="0"/>
                      <w:suppressAutoHyphens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1.4.</w:t>
                    </w:r>
                  </w:p>
                </w:tc>
                <w:tc>
                  <w:tcPr>
                    <w:tcW w:w="7450" w:type="dxa"/>
                  </w:tcPr>
                  <w:p>
                    <w:pPr>
                      <w:widowControl w:val="0"/>
                      <w:suppressAutoHyphens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Savanoriškos juridinių ir fizinių asmenų įmokos ir kitos teisėtai gautos lėšos</w:t>
                    </w:r>
                  </w:p>
                </w:tc>
                <w:tc>
                  <w:tcPr>
                    <w:tcW w:w="1369" w:type="dxa"/>
                  </w:tcPr>
                  <w:p>
                    <w:pPr>
                      <w:widowControl w:val="0"/>
                      <w:suppressAutoHyphens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9 000</w:t>
                    </w:r>
                  </w:p>
                </w:tc>
              </w:tr>
              <w:tr>
                <w:tc>
                  <w:tcPr>
                    <w:tcW w:w="809" w:type="dxa"/>
                  </w:tcPr>
                  <w:p>
                    <w:pPr>
                      <w:widowControl w:val="0"/>
                      <w:suppressAutoHyphens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1.5.</w:t>
                    </w:r>
                  </w:p>
                </w:tc>
                <w:tc>
                  <w:tcPr>
                    <w:tcW w:w="7450" w:type="dxa"/>
                  </w:tcPr>
                  <w:p>
                    <w:pPr>
                      <w:widowControl w:val="0"/>
                      <w:suppressAutoHyphens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Iš viso (1.1 + 1.2 + 1.3 + 1.4):</w:t>
                    </w:r>
                  </w:p>
                </w:tc>
                <w:tc>
                  <w:tcPr>
                    <w:tcW w:w="1369" w:type="dxa"/>
                  </w:tcPr>
                  <w:p>
                    <w:pPr>
                      <w:widowControl w:val="0"/>
                      <w:suppressAutoHyphens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180 000</w:t>
                    </w:r>
                  </w:p>
                </w:tc>
              </w:tr>
              <w:tr>
                <w:tc>
                  <w:tcPr>
                    <w:tcW w:w="809" w:type="dxa"/>
                  </w:tcPr>
                  <w:p>
                    <w:pPr>
                      <w:widowControl w:val="0"/>
                      <w:suppressAutoHyphens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1.6.</w:t>
                    </w:r>
                  </w:p>
                </w:tc>
                <w:tc>
                  <w:tcPr>
                    <w:tcW w:w="7450" w:type="dxa"/>
                  </w:tcPr>
                  <w:p>
                    <w:pPr>
                      <w:widowControl w:val="0"/>
                      <w:suppressAutoHyphens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Mokesčiai, sumokėti už medžiojamųjų gyvūnų išteklių naudojimą</w:t>
                    </w:r>
                  </w:p>
                </w:tc>
                <w:tc>
                  <w:tcPr>
                    <w:tcW w:w="1369" w:type="dxa"/>
                  </w:tcPr>
                  <w:p>
                    <w:pPr>
                      <w:widowControl w:val="0"/>
                      <w:suppressAutoHyphens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50 000</w:t>
                    </w:r>
                  </w:p>
                </w:tc>
              </w:tr>
              <w:tr>
                <w:tc>
                  <w:tcPr>
                    <w:tcW w:w="809" w:type="dxa"/>
                  </w:tcPr>
                  <w:p>
                    <w:pPr>
                      <w:widowControl w:val="0"/>
                      <w:suppressAutoHyphens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1.7.</w:t>
                    </w:r>
                  </w:p>
                </w:tc>
                <w:tc>
                  <w:tcPr>
                    <w:tcW w:w="7450" w:type="dxa"/>
                  </w:tcPr>
                  <w:p>
                    <w:pPr>
                      <w:widowControl w:val="0"/>
                      <w:suppressAutoHyphens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Ankstesnio ataskaitinio laikotarpio ataskaitos atitinkamų lėšų likutis </w:t>
                    </w:r>
                  </w:p>
                </w:tc>
                <w:tc>
                  <w:tcPr>
                    <w:tcW w:w="1369" w:type="dxa"/>
                  </w:tcPr>
                  <w:p>
                    <w:pPr>
                      <w:widowControl w:val="0"/>
                      <w:suppressAutoHyphens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47 095</w:t>
                    </w:r>
                  </w:p>
                </w:tc>
              </w:tr>
              <w:tr>
                <w:tc>
                  <w:tcPr>
                    <w:tcW w:w="809" w:type="dxa"/>
                  </w:tcPr>
                  <w:p>
                    <w:pPr>
                      <w:widowControl w:val="0"/>
                      <w:suppressAutoHyphens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1.8.</w:t>
                    </w:r>
                  </w:p>
                </w:tc>
                <w:tc>
                  <w:tcPr>
                    <w:tcW w:w="7450" w:type="dxa"/>
                  </w:tcPr>
                  <w:p>
                    <w:pPr>
                      <w:widowControl w:val="0"/>
                      <w:suppressAutoHyphens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Iš viso (1.6 + 1.7):</w:t>
                    </w:r>
                  </w:p>
                </w:tc>
                <w:tc>
                  <w:tcPr>
                    <w:tcW w:w="1369" w:type="dxa"/>
                  </w:tcPr>
                  <w:p>
                    <w:pPr>
                      <w:widowControl w:val="0"/>
                      <w:suppressAutoHyphens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97 095</w:t>
                    </w:r>
                  </w:p>
                </w:tc>
              </w:tr>
              <w:tr>
                <w:tc>
                  <w:tcPr>
                    <w:tcW w:w="809" w:type="dxa"/>
                  </w:tcPr>
                  <w:p>
                    <w:pPr>
                      <w:widowControl w:val="0"/>
                      <w:suppressAutoHyphens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1.9.</w:t>
                    </w:r>
                  </w:p>
                </w:tc>
                <w:tc>
                  <w:tcPr>
                    <w:tcW w:w="7450" w:type="dxa"/>
                  </w:tcPr>
                  <w:p>
                    <w:pPr>
                      <w:widowControl w:val="0"/>
                      <w:suppressAutoHyphens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Faktinės ataskaitinio laikotarpio Programos lėšos (1.5 + 1.8)</w:t>
                    </w:r>
                  </w:p>
                </w:tc>
                <w:tc>
                  <w:tcPr>
                    <w:tcW w:w="1369" w:type="dxa"/>
                  </w:tcPr>
                  <w:p>
                    <w:pPr>
                      <w:widowControl w:val="0"/>
                      <w:suppressAutoHyphens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277 095</w:t>
                    </w:r>
                  </w:p>
                </w:tc>
              </w:tr>
            </w:tbl>
            <w:p>
              <w:pPr>
                <w:jc w:val="both"/>
                <w:rPr>
                  <w:b/>
                  <w:szCs w:val="24"/>
                </w:rPr>
              </w:pPr>
            </w:p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1E0" w:firstRow="1" w:lastRow="1" w:firstColumn="1" w:lastColumn="1" w:noHBand="0" w:noVBand="0"/>
              </w:tblPr>
              <w:tblGrid>
                <w:gridCol w:w="696"/>
                <w:gridCol w:w="7568"/>
                <w:gridCol w:w="1364"/>
              </w:tblGrid>
              <w:tr>
                <w:tc>
                  <w:tcPr>
                    <w:tcW w:w="696" w:type="dxa"/>
                  </w:tcPr>
                  <w:p>
                    <w:pPr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Eil. Nr.</w:t>
                    </w:r>
                  </w:p>
                </w:tc>
                <w:tc>
                  <w:tcPr>
                    <w:tcW w:w="7568" w:type="dxa"/>
                  </w:tcPr>
                  <w:p>
                    <w:pPr>
                      <w:ind w:firstLine="312"/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(2) Savivaldybės visuomenės sveikatos rėmimo specialiajai programai skirtinos lėšos</w:t>
                    </w:r>
                  </w:p>
                </w:tc>
                <w:tc>
                  <w:tcPr>
                    <w:tcW w:w="1364" w:type="dxa"/>
                  </w:tcPr>
                  <w:p>
                    <w:pPr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Lėšos, Eur</w:t>
                    </w:r>
                  </w:p>
                </w:tc>
              </w:tr>
              <w:tr>
                <w:tc>
                  <w:tcPr>
                    <w:tcW w:w="696" w:type="dxa"/>
                  </w:tcPr>
                  <w:p>
                    <w:pPr>
                      <w:widowControl w:val="0"/>
                      <w:suppressAutoHyphens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1.10.</w:t>
                    </w:r>
                  </w:p>
                </w:tc>
                <w:tc>
                  <w:tcPr>
                    <w:tcW w:w="7568" w:type="dxa"/>
                  </w:tcPr>
                  <w:p>
                    <w:pPr>
                      <w:widowControl w:val="0"/>
                      <w:suppressAutoHyphens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20 procentų Savivaldybių aplinkos apsaugos rėmimo specialiosios programos lėšų, neįskaitant įplaukų už medžioklės plotų naudotojų mokesčius, mokamus įstatymų nustatytomis proporcijomis ir tvarka už medžiojamųjų gyvūnų išteklių naudojimą</w:t>
                    </w:r>
                  </w:p>
                </w:tc>
                <w:tc>
                  <w:tcPr>
                    <w:tcW w:w="1364" w:type="dxa"/>
                  </w:tcPr>
                  <w:p>
                    <w:pPr>
                      <w:widowControl w:val="0"/>
                      <w:suppressAutoHyphens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36 000</w:t>
                    </w:r>
                  </w:p>
                </w:tc>
              </w:tr>
              <w:tr>
                <w:tc>
                  <w:tcPr>
                    <w:tcW w:w="696" w:type="dxa"/>
                  </w:tcPr>
                  <w:p>
                    <w:pPr>
                      <w:widowControl w:val="0"/>
                      <w:suppressAutoHyphens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1.11.</w:t>
                    </w:r>
                  </w:p>
                </w:tc>
                <w:tc>
                  <w:tcPr>
                    <w:tcW w:w="7568" w:type="dxa"/>
                  </w:tcPr>
                  <w:p>
                    <w:pPr>
                      <w:widowControl w:val="0"/>
                      <w:suppressAutoHyphens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Ankstesnio ataskaitinio laikotarpio ataskaitos atitinkamų lėšų likutis </w:t>
                    </w:r>
                  </w:p>
                </w:tc>
                <w:tc>
                  <w:tcPr>
                    <w:tcW w:w="1364" w:type="dxa"/>
                  </w:tcPr>
                  <w:p>
                    <w:pPr>
                      <w:widowControl w:val="0"/>
                      <w:suppressAutoHyphens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11 321</w:t>
                    </w:r>
                  </w:p>
                </w:tc>
              </w:tr>
              <w:tr>
                <w:tc>
                  <w:tcPr>
                    <w:tcW w:w="696" w:type="dxa"/>
                  </w:tcPr>
                  <w:p>
                    <w:pPr>
                      <w:widowControl w:val="0"/>
                      <w:suppressAutoHyphens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1.12.</w:t>
                    </w:r>
                  </w:p>
                </w:tc>
                <w:tc>
                  <w:tcPr>
                    <w:tcW w:w="7568" w:type="dxa"/>
                  </w:tcPr>
                  <w:p>
                    <w:pPr>
                      <w:widowControl w:val="0"/>
                      <w:suppressAutoHyphens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Iš viso (1.10 + 1.11):</w:t>
                    </w:r>
                  </w:p>
                </w:tc>
                <w:tc>
                  <w:tcPr>
                    <w:tcW w:w="1364" w:type="dxa"/>
                  </w:tcPr>
                  <w:p>
                    <w:pPr>
                      <w:widowControl w:val="0"/>
                      <w:suppressAutoHyphens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Cs w:val="24"/>
                        <w:lang w:val="en-US"/>
                      </w:rPr>
                      <w:t>47 321</w:t>
                    </w:r>
                  </w:p>
                </w:tc>
              </w:tr>
              <w:tr>
                <w:tc>
                  <w:tcPr>
                    <w:tcW w:w="696" w:type="dxa"/>
                  </w:tcPr>
                  <w:p>
                    <w:pPr>
                      <w:widowControl w:val="0"/>
                      <w:suppressAutoHyphens/>
                      <w:jc w:val="both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Eil. Nr.</w:t>
                    </w:r>
                  </w:p>
                </w:tc>
                <w:tc>
                  <w:tcPr>
                    <w:tcW w:w="7568" w:type="dxa"/>
                  </w:tcPr>
                  <w:p>
                    <w:pPr>
                      <w:ind w:firstLine="312"/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(3) Kitoms Programos priemonėms skirtinos lėšos</w:t>
                    </w:r>
                  </w:p>
                </w:tc>
                <w:tc>
                  <w:tcPr>
                    <w:tcW w:w="1364" w:type="dxa"/>
                  </w:tcPr>
                  <w:p>
                    <w:pPr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Lėšos, Eur</w:t>
                    </w:r>
                  </w:p>
                </w:tc>
              </w:tr>
              <w:tr>
                <w:tc>
                  <w:tcPr>
                    <w:tcW w:w="696" w:type="dxa"/>
                  </w:tcPr>
                  <w:p>
                    <w:pPr>
                      <w:widowControl w:val="0"/>
                      <w:suppressAutoHyphens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1.13.</w:t>
                    </w:r>
                  </w:p>
                </w:tc>
                <w:tc>
                  <w:tcPr>
                    <w:tcW w:w="7568" w:type="dxa"/>
                  </w:tcPr>
                  <w:p>
                    <w:pPr>
                      <w:widowControl w:val="0"/>
                      <w:suppressAutoHyphens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80 procentų Savivaldybių aplinkos apsaugos rėmimo specialiosios programos lėšų, neįskaitant įplaukų už medžioklės plotų naudotojų mokesčius, mokamus įstatymų nustatytomis proporcijomis ir tvarka už medžiojamųjų gyvūnų išteklių naudojimą</w:t>
                    </w:r>
                  </w:p>
                </w:tc>
                <w:tc>
                  <w:tcPr>
                    <w:tcW w:w="1364" w:type="dxa"/>
                  </w:tcPr>
                  <w:p>
                    <w:pPr>
                      <w:widowControl w:val="0"/>
                      <w:suppressAutoHyphens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Cs w:val="24"/>
                        <w:lang w:val="en-US"/>
                      </w:rPr>
                      <w:t>144 000</w:t>
                    </w:r>
                  </w:p>
                </w:tc>
              </w:tr>
              <w:tr>
                <w:tc>
                  <w:tcPr>
                    <w:tcW w:w="696" w:type="dxa"/>
                  </w:tcPr>
                  <w:p>
                    <w:pPr>
                      <w:widowControl w:val="0"/>
                      <w:suppressAutoHyphens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1.14.</w:t>
                    </w:r>
                  </w:p>
                </w:tc>
                <w:tc>
                  <w:tcPr>
                    <w:tcW w:w="7568" w:type="dxa"/>
                  </w:tcPr>
                  <w:p>
                    <w:pPr>
                      <w:widowControl w:val="0"/>
                      <w:suppressAutoHyphens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Ankstesnio ataskaitinio laikotarpio ataskaitos atitinkamų lėšų likutis </w:t>
                    </w:r>
                  </w:p>
                </w:tc>
                <w:tc>
                  <w:tcPr>
                    <w:tcW w:w="1364" w:type="dxa"/>
                  </w:tcPr>
                  <w:p>
                    <w:pPr>
                      <w:widowControl w:val="0"/>
                      <w:suppressAutoHyphens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43 906</w:t>
                    </w:r>
                  </w:p>
                </w:tc>
              </w:tr>
              <w:tr>
                <w:tc>
                  <w:tcPr>
                    <w:tcW w:w="696" w:type="dxa"/>
                  </w:tcPr>
                  <w:p>
                    <w:pPr>
                      <w:widowControl w:val="0"/>
                      <w:suppressAutoHyphens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1.15.</w:t>
                    </w:r>
                  </w:p>
                </w:tc>
                <w:tc>
                  <w:tcPr>
                    <w:tcW w:w="7568" w:type="dxa"/>
                  </w:tcPr>
                  <w:p>
                    <w:pPr>
                      <w:widowControl w:val="0"/>
                      <w:suppressAutoHyphens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Iš viso (1.13 + 1.14):</w:t>
                    </w:r>
                  </w:p>
                </w:tc>
                <w:tc>
                  <w:tcPr>
                    <w:tcW w:w="1364" w:type="dxa"/>
                  </w:tcPr>
                  <w:p>
                    <w:pPr>
                      <w:widowControl w:val="0"/>
                      <w:suppressAutoHyphens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187 906</w:t>
                    </w:r>
                  </w:p>
                </w:tc>
              </w:tr>
            </w:tbl>
            <w:p>
              <w:pPr>
                <w:suppressAutoHyphens/>
                <w:spacing w:line="276" w:lineRule="auto"/>
                <w:ind w:firstLine="709"/>
                <w:jc w:val="both"/>
                <w:textAlignment w:val="baseline"/>
                <w:rPr>
                  <w:szCs w:val="24"/>
                </w:rPr>
              </w:pPr>
            </w:p>
          </w:sdtContent>
        </w:sdt>
        <w:sdt>
          <w:sdtPr>
            <w:alias w:val="2 p."/>
            <w:tag w:val="part_993a5a0f5fcc4dc4bcbceb75d2ed5c29"/>
            <w:lock w:val="sdtLocked"/>
            <w:richText/>
          </w:sdtPr>
          <w:sdtContent>
            <w:p>
              <w:pPr>
                <w:suppressAutoHyphens/>
                <w:spacing w:line="276" w:lineRule="auto"/>
                <w:ind w:firstLine="709"/>
                <w:jc w:val="both"/>
                <w:textAlignment w:val="baseline"/>
                <w:rPr>
                  <w:szCs w:val="24"/>
                </w:rPr>
              </w:pPr>
              <w:sdt>
                <w:sdtPr>
                  <w:alias w:val="Numeris"/>
                  <w:tag w:val="nr_993a5a0f5fcc4dc4bcbceb75d2ed5c29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Pakeisti Sąmatos 3 punktą ir jį išdėstyti taip:</w:t>
              </w:r>
            </w:p>
          </w:sdtContent>
        </w:sdt>
        <w:sdt>
          <w:sdtPr>
            <w:alias w:val="3 p."/>
            <w:tag w:val="part_343b959b7dd74c22b9c8e93059e02211"/>
            <w:lock w:val="sdtLocked"/>
            <w:richText/>
          </w:sdtPr>
          <w:sdtContent>
            <w:p>
              <w:pPr>
                <w:suppressAutoHyphens/>
                <w:ind w:firstLine="709"/>
                <w:jc w:val="both"/>
                <w:textAlignment w:val="baseline"/>
                <w:rPr>
                  <w:b/>
                  <w:szCs w:val="24"/>
                </w:rPr>
              </w:pPr>
              <w:sdt>
                <w:sdtPr>
                  <w:alias w:val="Numeris"/>
                  <w:tag w:val="nr_343b959b7dd74c22b9c8e93059e02211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3</w:t>
                  </w:r>
                </w:sdtContent>
              </w:sdt>
              <w:r>
                <w:rPr>
                  <w:b/>
                  <w:szCs w:val="24"/>
                </w:rPr>
                <w:t>. Programos lėšos, skirtos Savivaldybės visuomenės sveikatos rėmimo specialiajai programai</w:t>
              </w:r>
            </w:p>
            <w:tbl>
              <w:tblPr>
                <w:tblW w:w="9634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1E0" w:firstRow="1" w:lastRow="1" w:firstColumn="1" w:lastColumn="1" w:noHBand="0" w:noVBand="0"/>
              </w:tblPr>
              <w:tblGrid>
                <w:gridCol w:w="7621"/>
                <w:gridCol w:w="2013"/>
              </w:tblGrid>
              <w:tr>
                <w:tc>
                  <w:tcPr>
                    <w:tcW w:w="7621" w:type="dxa"/>
                  </w:tcPr>
                  <w:p>
                    <w:pPr>
                      <w:suppressAutoHyphens/>
                      <w:ind w:firstLine="709"/>
                      <w:jc w:val="both"/>
                      <w:textAlignment w:val="baseline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Programos pavadinimas</w:t>
                    </w:r>
                  </w:p>
                </w:tc>
                <w:tc>
                  <w:tcPr>
                    <w:tcW w:w="2013" w:type="dxa"/>
                  </w:tcPr>
                  <w:p>
                    <w:pPr>
                      <w:suppressAutoHyphens/>
                      <w:ind w:firstLine="709"/>
                      <w:jc w:val="both"/>
                      <w:textAlignment w:val="baseline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Pagal sąmatą lėšų poreikis, Eur</w:t>
                    </w:r>
                  </w:p>
                </w:tc>
              </w:tr>
              <w:tr>
                <w:trPr>
                  <w:trHeight w:val="312"/>
                </w:trPr>
                <w:tc>
                  <w:tcPr>
                    <w:tcW w:w="7621" w:type="dxa"/>
                  </w:tcPr>
                  <w:p>
                    <w:pPr>
                      <w:suppressAutoHyphens/>
                      <w:ind w:firstLine="709"/>
                      <w:jc w:val="both"/>
                      <w:textAlignment w:val="baseline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Savivaldybės visuomenės sveikatos rėmimo specialioji programa</w:t>
                    </w:r>
                  </w:p>
                </w:tc>
                <w:tc>
                  <w:tcPr>
                    <w:tcW w:w="2013" w:type="dxa"/>
                  </w:tcPr>
                  <w:p>
                    <w:pPr>
                      <w:suppressAutoHyphens/>
                      <w:ind w:firstLine="709"/>
                      <w:jc w:val="both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47 321</w:t>
                    </w:r>
                  </w:p>
                </w:tc>
              </w:tr>
            </w:tbl>
            <w:p/>
          </w:sdtContent>
        </w:sdt>
        <w:sdt>
          <w:sdtPr>
            <w:alias w:val="3 p."/>
            <w:tag w:val="part_2d2f34f0bb104202965d10b625bd4553"/>
            <w:lock w:val="sdtLocked"/>
            <w:richText/>
          </w:sdtPr>
          <w:sdtContent>
            <w:p>
              <w:pPr>
                <w:suppressAutoHyphens/>
                <w:ind w:firstLine="709"/>
                <w:jc w:val="both"/>
                <w:textAlignment w:val="baseline"/>
                <w:rPr>
                  <w:rFonts w:ascii="Thorndale" w:eastAsia="Lucida Sans Unicode" w:hAnsi="Thorndale" w:cs="Tahoma"/>
                  <w:kern w:val="2"/>
                  <w:szCs w:val="24"/>
                  <w:lang w:eastAsia="zh-CN"/>
                </w:rPr>
              </w:pPr>
              <w:sdt>
                <w:sdtPr>
                  <w:alias w:val="Numeris"/>
                  <w:tag w:val="nr_2d2f34f0bb104202965d10b625bd4553"/>
                  <w:lock w:val="sdtLocked"/>
                  <w:richText/>
                </w:sdtPr>
                <w:sdtContent>
                  <w:r>
                    <w:rPr>
                      <w:rFonts w:ascii="Thorndale" w:eastAsia="Lucida Sans Unicode" w:hAnsi="Thorndale" w:cs="Tahoma"/>
                      <w:kern w:val="2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rFonts w:ascii="Thorndale" w:eastAsia="Lucida Sans Unicode" w:hAnsi="Thorndale" w:cs="Tahoma"/>
                  <w:kern w:val="2"/>
                  <w:szCs w:val="24"/>
                  <w:lang w:eastAsia="lt-LT"/>
                </w:rPr>
                <w:t xml:space="preserve">. </w:t>
              </w:r>
              <w:r>
                <w:rPr>
                  <w:rFonts w:ascii="Thorndale" w:eastAsia="Lucida Sans Unicode" w:hAnsi="Thorndale" w:cs="Tahoma"/>
                  <w:kern w:val="2"/>
                  <w:szCs w:val="24"/>
                  <w:lang w:eastAsia="zh-CN"/>
                </w:rPr>
                <w:t>Pakeisti</w:t>
              </w:r>
              <w:r>
                <w:rPr>
                  <w:spacing w:val="42"/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  <w:lang w:eastAsia="lt-LT"/>
                </w:rPr>
                <w:t>Sąmatos 4.</w:t>
              </w:r>
              <w:r>
                <w:rPr>
                  <w:rFonts w:ascii="Thorndale" w:eastAsia="Lucida Sans Unicode" w:hAnsi="Thorndale" w:cs="Tahoma"/>
                  <w:kern w:val="2"/>
                  <w:szCs w:val="24"/>
                  <w:lang w:eastAsia="zh-CN"/>
                </w:rPr>
                <w:t>1.5. papunktį ir jį išdėstyti taip:</w:t>
              </w:r>
            </w:p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1E0" w:firstRow="1" w:lastRow="1" w:firstColumn="1" w:lastColumn="1" w:noHBand="0" w:noVBand="0"/>
              </w:tblPr>
              <w:tblGrid>
                <w:gridCol w:w="869"/>
                <w:gridCol w:w="2592"/>
                <w:gridCol w:w="4807"/>
                <w:gridCol w:w="1360"/>
              </w:tblGrid>
              <w:tr>
                <w:trPr>
                  <w:trHeight w:val="2027"/>
                </w:trPr>
                <w:tc>
                  <w:tcPr>
                    <w:tcW w:w="869" w:type="dxa"/>
                  </w:tcPr>
                  <w:p>
                    <w:pPr>
                      <w:widowControl w:val="0"/>
                      <w:suppressAutoHyphens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4.1.5.</w:t>
                    </w:r>
                  </w:p>
                </w:tc>
                <w:tc>
                  <w:tcPr>
                    <w:tcW w:w="2592" w:type="dxa"/>
                  </w:tcPr>
                  <w:p>
                    <w:pPr>
                      <w:snapToGrid w:val="0"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Teritorijoje esančių valstybės saugomų teritorijų apsaugos ir tvarkymo darbai (šienavimas, menkaverčių krūmų iškirtimas)</w:t>
                    </w:r>
                  </w:p>
                </w:tc>
                <w:tc>
                  <w:tcPr>
                    <w:tcW w:w="4807" w:type="dxa"/>
                  </w:tcPr>
                  <w:p>
                    <w:pPr>
                      <w:widowControl w:val="0"/>
                      <w:suppressAutoHyphens/>
                      <w:ind w:firstLine="13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Asignavimų valdytojas – Radviliškio rajono savivaldybės administracija, atsakingas – Šaukoto seniūnija. Vykdytojas – Šaukoto seniūnija. Vykdymo pradžia – 2025 m. I ketv., pabaiga – 2025 m. IV ketv.</w:t>
                    </w:r>
                  </w:p>
                </w:tc>
                <w:tc>
                  <w:tcPr>
                    <w:tcW w:w="1360" w:type="dxa"/>
                  </w:tcPr>
                  <w:p>
                    <w:pPr>
                      <w:widowControl w:val="0"/>
                      <w:suppressAutoHyphens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3 500</w:t>
                    </w:r>
                  </w:p>
                  <w:p>
                    <w:pPr>
                      <w:widowControl w:val="0"/>
                      <w:suppressAutoHyphens/>
                      <w:jc w:val="center"/>
                      <w:rPr>
                        <w:szCs w:val="24"/>
                      </w:rPr>
                    </w:pPr>
                  </w:p>
                </w:tc>
              </w:tr>
            </w:tbl>
            <w:p/>
          </w:sdtContent>
        </w:sdt>
        <w:sdt>
          <w:sdtPr>
            <w:alias w:val="4 p."/>
            <w:tag w:val="part_588e1d785dac472c895d5f803d06caab"/>
            <w:lock w:val="sdtLocked"/>
            <w:richText/>
          </w:sdtPr>
          <w:sdtContent>
            <w:p>
              <w:pPr>
                <w:suppressAutoHyphens/>
                <w:ind w:firstLine="709"/>
                <w:jc w:val="both"/>
                <w:textAlignment w:val="baseline"/>
                <w:rPr>
                  <w:rFonts w:ascii="Thorndale" w:eastAsia="Lucida Sans Unicode" w:hAnsi="Thorndale" w:cs="Tahoma"/>
                  <w:kern w:val="2"/>
                  <w:szCs w:val="24"/>
                  <w:lang w:eastAsia="zh-CN"/>
                </w:rPr>
              </w:pPr>
              <w:sdt>
                <w:sdtPr>
                  <w:alias w:val="Numeris"/>
                  <w:tag w:val="nr_588e1d785dac472c895d5f803d06caab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 xml:space="preserve">. </w:t>
              </w:r>
              <w:r>
                <w:rPr>
                  <w:rFonts w:ascii="Thorndale" w:eastAsia="Lucida Sans Unicode" w:hAnsi="Thorndale" w:cs="Tahoma"/>
                  <w:kern w:val="2"/>
                  <w:szCs w:val="24"/>
                  <w:lang w:eastAsia="zh-CN"/>
                </w:rPr>
                <w:t>Pakeisti</w:t>
              </w:r>
              <w:r>
                <w:rPr>
                  <w:spacing w:val="42"/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  <w:lang w:eastAsia="lt-LT"/>
                </w:rPr>
                <w:t>Sąmatos 4.6.</w:t>
              </w:r>
              <w:r>
                <w:rPr>
                  <w:rFonts w:ascii="Thorndale" w:eastAsia="Lucida Sans Unicode" w:hAnsi="Thorndale" w:cs="Tahoma"/>
                  <w:kern w:val="2"/>
                  <w:szCs w:val="24"/>
                  <w:lang w:eastAsia="zh-CN"/>
                </w:rPr>
                <w:t>1. papunktį ir jį išdėstyti taip:</w:t>
              </w:r>
            </w:p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1E0" w:firstRow="1" w:lastRow="1" w:firstColumn="1" w:lastColumn="1" w:noHBand="0" w:noVBand="0"/>
              </w:tblPr>
              <w:tblGrid>
                <w:gridCol w:w="869"/>
                <w:gridCol w:w="2592"/>
                <w:gridCol w:w="4801"/>
                <w:gridCol w:w="1366"/>
              </w:tblGrid>
              <w:tr>
                <w:tc>
                  <w:tcPr>
                    <w:tcW w:w="869" w:type="dxa"/>
                  </w:tcPr>
                  <w:p>
                    <w:pPr>
                      <w:widowControl w:val="0"/>
                      <w:suppressAutoHyphens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4.6.1.</w:t>
                    </w:r>
                  </w:p>
                </w:tc>
                <w:tc>
                  <w:tcPr>
                    <w:tcW w:w="2592" w:type="dxa"/>
                  </w:tcPr>
                  <w:p>
                    <w:pPr>
                      <w:widowControl w:val="0"/>
                      <w:suppressAutoHyphens/>
                      <w:ind w:firstLine="13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Naujų želdinių įsigijimas, pavojų keliančių medžių šalinimo darbai, medžių ir krūmų genėjimo darbai</w:t>
                    </w:r>
                  </w:p>
                </w:tc>
                <w:tc>
                  <w:tcPr>
                    <w:tcW w:w="4801" w:type="dxa"/>
                  </w:tcPr>
                  <w:p>
                    <w:pPr>
                      <w:widowControl w:val="0"/>
                      <w:suppressAutoHyphens/>
                      <w:ind w:firstLine="13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Asignavimų valdytojas – Radviliškio rajono savivaldybės administracija, atsakingas – Žemės ūkio skyrius, Radviliškio rajono savivaldybės administracijos seniūnijos. Vykdytojas – Radviliškio rajono savivaldybės administracijos seniūnijos. Vykdymo pradžia – 2025 m. I ketv., pabaiga – 2025 m. IV ketv. (pagal pridedamą sąrašą)</w:t>
                    </w:r>
                  </w:p>
                </w:tc>
                <w:tc>
                  <w:tcPr>
                    <w:tcW w:w="1366" w:type="dxa"/>
                  </w:tcPr>
                  <w:p>
                    <w:pPr>
                      <w:widowControl w:val="0"/>
                      <w:suppressAutoHyphens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35 900</w:t>
                    </w:r>
                  </w:p>
                  <w:p>
                    <w:pPr>
                      <w:widowControl w:val="0"/>
                      <w:suppressAutoHyphens/>
                      <w:jc w:val="center"/>
                      <w:rPr>
                        <w:szCs w:val="24"/>
                      </w:rPr>
                    </w:pPr>
                  </w:p>
                </w:tc>
              </w:tr>
            </w:tbl>
            <w:p/>
          </w:sdtContent>
        </w:sdt>
        <w:sdt>
          <w:sdtPr>
            <w:alias w:val="5 p."/>
            <w:tag w:val="part_79a3a721953140daa5a609bbf1056f2a"/>
            <w:lock w:val="sdtLocked"/>
            <w:richText/>
          </w:sdtPr>
          <w:sdtContent>
            <w:p>
              <w:pPr>
                <w:suppressAutoHyphens/>
                <w:ind w:firstLine="709"/>
                <w:jc w:val="both"/>
                <w:textAlignment w:val="baseline"/>
                <w:rPr>
                  <w:rFonts w:ascii="Thorndale" w:eastAsia="Lucida Sans Unicode" w:hAnsi="Thorndale" w:cs="Tahoma"/>
                  <w:kern w:val="2"/>
                  <w:szCs w:val="24"/>
                  <w:lang w:eastAsia="zh-CN"/>
                </w:rPr>
              </w:pPr>
              <w:sdt>
                <w:sdtPr>
                  <w:alias w:val="Numeris"/>
                  <w:tag w:val="nr_79a3a721953140daa5a609bbf1056f2a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 xml:space="preserve">. </w:t>
              </w:r>
              <w:r>
                <w:rPr>
                  <w:rFonts w:ascii="Thorndale" w:eastAsia="Lucida Sans Unicode" w:hAnsi="Thorndale" w:cs="Tahoma"/>
                  <w:kern w:val="2"/>
                  <w:szCs w:val="24"/>
                  <w:lang w:eastAsia="zh-CN"/>
                </w:rPr>
                <w:t>Pakeisti</w:t>
              </w:r>
              <w:r>
                <w:rPr>
                  <w:spacing w:val="42"/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  <w:lang w:eastAsia="lt-LT"/>
                </w:rPr>
                <w:t>Sąmatos prie 4.6.</w:t>
              </w:r>
              <w:r>
                <w:rPr>
                  <w:rFonts w:ascii="Thorndale" w:eastAsia="Lucida Sans Unicode" w:hAnsi="Thorndale" w:cs="Tahoma"/>
                  <w:kern w:val="2"/>
                  <w:szCs w:val="24"/>
                  <w:lang w:eastAsia="zh-CN"/>
                </w:rPr>
                <w:t>1. papunkčio</w:t>
              </w:r>
              <w:r>
                <w:rPr>
                  <w:szCs w:val="24"/>
                  <w:lang w:eastAsia="lt-LT"/>
                </w:rPr>
                <w:t xml:space="preserve"> pridedamą sąrašą </w:t>
              </w:r>
              <w:r>
                <w:rPr>
                  <w:rFonts w:ascii="Thorndale" w:eastAsia="Lucida Sans Unicode" w:hAnsi="Thorndale" w:cs="Tahoma"/>
                  <w:kern w:val="2"/>
                  <w:szCs w:val="24"/>
                  <w:lang w:eastAsia="zh-CN"/>
                </w:rPr>
                <w:t>ir jį išdėstyti taip:</w:t>
              </w:r>
            </w:p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1E0" w:firstRow="1" w:lastRow="1" w:firstColumn="1" w:lastColumn="1" w:noHBand="0" w:noVBand="0"/>
              </w:tblPr>
              <w:tblGrid>
                <w:gridCol w:w="742"/>
                <w:gridCol w:w="3013"/>
                <w:gridCol w:w="1769"/>
                <w:gridCol w:w="4104"/>
              </w:tblGrid>
              <w:tr>
                <w:tc>
                  <w:tcPr>
                    <w:tcW w:w="74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30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Baisogalos seniūnija</w:t>
                    </w:r>
                  </w:p>
                </w:tc>
                <w:tc>
                  <w:tcPr>
                    <w:tcW w:w="176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4 000</w:t>
                    </w:r>
                  </w:p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10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Pavojų keliančių ir sergančių medžių šalinimo darbai, medžių ir krūmų genėjimo darbams (ir elektros oro linijų apsaugos zonose) – </w:t>
                    </w:r>
                    <w:r>
                      <w:rPr>
                        <w:b/>
                        <w:bCs/>
                        <w:szCs w:val="24"/>
                        <w:lang w:eastAsia="lt-LT"/>
                      </w:rPr>
                      <w:t>3000 €</w:t>
                    </w:r>
                    <w:r>
                      <w:rPr>
                        <w:szCs w:val="24"/>
                        <w:lang w:eastAsia="lt-LT"/>
                      </w:rPr>
                      <w:t xml:space="preserve">; kuras aplinkos, želdynų tvarkymui – </w:t>
                    </w:r>
                    <w:r>
                      <w:rPr>
                        <w:b/>
                        <w:bCs/>
                        <w:szCs w:val="24"/>
                        <w:lang w:eastAsia="lt-LT"/>
                      </w:rPr>
                      <w:t>500 €</w:t>
                    </w:r>
                    <w:r>
                      <w:rPr>
                        <w:szCs w:val="24"/>
                        <w:lang w:eastAsia="lt-LT"/>
                      </w:rPr>
                      <w:t xml:space="preserve">; naujų želdinių įsigijimas – </w:t>
                    </w:r>
                    <w:r>
                      <w:rPr>
                        <w:b/>
                        <w:bCs/>
                        <w:szCs w:val="24"/>
                        <w:lang w:eastAsia="lt-LT"/>
                      </w:rPr>
                      <w:t>500 €.</w:t>
                    </w:r>
                  </w:p>
                </w:tc>
              </w:tr>
              <w:tr>
                <w:tc>
                  <w:tcPr>
                    <w:tcW w:w="742" w:type="dxa"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3013" w:type="dxa"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Radviliškio seniūnija</w:t>
                    </w:r>
                  </w:p>
                </w:tc>
                <w:tc>
                  <w:tcPr>
                    <w:tcW w:w="1769" w:type="dxa"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4 000</w:t>
                    </w:r>
                  </w:p>
                  <w:p>
                    <w:pPr>
                      <w:jc w:val="center"/>
                      <w:rPr>
                        <w:szCs w:val="24"/>
                        <w:u w:val="single"/>
                        <w:lang w:eastAsia="lt-LT"/>
                      </w:rPr>
                    </w:pPr>
                  </w:p>
                </w:tc>
                <w:tc>
                  <w:tcPr>
                    <w:tcW w:w="4104" w:type="dxa"/>
                  </w:tcPr>
                  <w:p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Pavojų keliančių ir sergančių medžių šalinimo darbai, medžių ir krūmų genėjimo darbams (ir elektros oro linijų apsaugos zonose) – </w:t>
                    </w:r>
                    <w:r>
                      <w:rPr>
                        <w:b/>
                        <w:bCs/>
                        <w:szCs w:val="24"/>
                        <w:lang w:eastAsia="lt-LT"/>
                      </w:rPr>
                      <w:t>33</w:t>
                    </w:r>
                    <w:r>
                      <w:rPr>
                        <w:b/>
                        <w:szCs w:val="24"/>
                        <w:lang w:eastAsia="lt-LT"/>
                      </w:rPr>
                      <w:t>00 €</w:t>
                    </w:r>
                    <w:r>
                      <w:rPr>
                        <w:bCs/>
                        <w:szCs w:val="24"/>
                        <w:lang w:eastAsia="lt-LT"/>
                      </w:rPr>
                      <w:t>;</w:t>
                    </w:r>
                    <w:r>
                      <w:rPr>
                        <w:rFonts w:cs="Tahoma"/>
                        <w:szCs w:val="24"/>
                      </w:rPr>
                      <w:t xml:space="preserve"> kuras aplinkos, </w:t>
                    </w:r>
                    <w:r>
                      <w:rPr>
                        <w:szCs w:val="24"/>
                        <w:lang w:eastAsia="lt-LT"/>
                      </w:rPr>
                      <w:t>želdynų</w:t>
                    </w:r>
                    <w:r>
                      <w:rPr>
                        <w:rFonts w:cs="Tahoma"/>
                        <w:szCs w:val="24"/>
                      </w:rPr>
                      <w:t xml:space="preserve"> tvarkymui – 5</w:t>
                    </w:r>
                    <w:r>
                      <w:rPr>
                        <w:b/>
                        <w:bCs/>
                        <w:szCs w:val="24"/>
                        <w:lang w:eastAsia="lt-LT"/>
                      </w:rPr>
                      <w:t>0</w:t>
                    </w:r>
                    <w:r>
                      <w:rPr>
                        <w:b/>
                        <w:szCs w:val="24"/>
                        <w:lang w:eastAsia="lt-LT"/>
                      </w:rPr>
                      <w:t>0 €</w:t>
                    </w:r>
                    <w:r>
                      <w:rPr>
                        <w:rFonts w:cs="Tahoma"/>
                        <w:szCs w:val="24"/>
                      </w:rPr>
                      <w:t>; n</w:t>
                    </w:r>
                    <w:r>
                      <w:rPr>
                        <w:szCs w:val="24"/>
                        <w:lang w:eastAsia="lt-LT"/>
                      </w:rPr>
                      <w:t xml:space="preserve">aujų želdinių įsigijimas – </w:t>
                    </w:r>
                    <w:r>
                      <w:rPr>
                        <w:b/>
                        <w:bCs/>
                        <w:szCs w:val="24"/>
                        <w:lang w:eastAsia="lt-LT"/>
                      </w:rPr>
                      <w:t>2</w:t>
                    </w:r>
                    <w:r>
                      <w:rPr>
                        <w:b/>
                        <w:szCs w:val="24"/>
                        <w:lang w:eastAsia="lt-LT"/>
                      </w:rPr>
                      <w:t>00 €</w:t>
                    </w:r>
                    <w:r>
                      <w:rPr>
                        <w:bCs/>
                        <w:szCs w:val="24"/>
                        <w:lang w:eastAsia="lt-LT"/>
                      </w:rPr>
                      <w:t>.</w:t>
                    </w:r>
                  </w:p>
                </w:tc>
              </w:tr>
              <w:tr>
                <w:tc>
                  <w:tcPr>
                    <w:tcW w:w="74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</w:t>
                    </w:r>
                  </w:p>
                </w:tc>
                <w:tc>
                  <w:tcPr>
                    <w:tcW w:w="30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Tyrulių seniūnija</w:t>
                    </w:r>
                  </w:p>
                </w:tc>
                <w:tc>
                  <w:tcPr>
                    <w:tcW w:w="176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3 500</w:t>
                    </w:r>
                  </w:p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10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Pavojų keliančių ir sergančių medžių šalinimo darbai, medžių ir krūmų genėjimo darbams (ir elektros oro linijų apsaugos zonose) – </w:t>
                    </w:r>
                    <w:r>
                      <w:rPr>
                        <w:b/>
                        <w:bCs/>
                        <w:szCs w:val="24"/>
                        <w:lang w:eastAsia="lt-LT"/>
                      </w:rPr>
                      <w:t>3100 €</w:t>
                    </w:r>
                    <w:r>
                      <w:rPr>
                        <w:szCs w:val="24"/>
                        <w:lang w:eastAsia="lt-LT"/>
                      </w:rPr>
                      <w:t xml:space="preserve">; kuras aplinkos, želdynų tvarkymui – </w:t>
                    </w:r>
                    <w:r>
                      <w:rPr>
                        <w:b/>
                        <w:bCs/>
                        <w:szCs w:val="24"/>
                        <w:lang w:eastAsia="lt-LT"/>
                      </w:rPr>
                      <w:t>400 €.</w:t>
                    </w:r>
                  </w:p>
                </w:tc>
              </w:tr>
            </w:tbl>
            <w:p/>
          </w:sdtContent>
        </w:sdt>
        <w:sdt>
          <w:sdtPr>
            <w:alias w:val="6 p."/>
            <w:tag w:val="part_d80790b6f01b453eb5dfba1fd559f7c4"/>
            <w:lock w:val="sdtLocked"/>
            <w:richText/>
          </w:sdtPr>
          <w:sdtContent>
            <w:p>
              <w:pPr>
                <w:suppressAutoHyphens/>
                <w:ind w:firstLine="709"/>
                <w:jc w:val="both"/>
                <w:textAlignment w:val="baseline"/>
                <w:rPr>
                  <w:rFonts w:ascii="Thorndale" w:eastAsia="Lucida Sans Unicode" w:hAnsi="Thorndale" w:cs="Tahoma"/>
                  <w:kern w:val="2"/>
                  <w:szCs w:val="24"/>
                  <w:lang w:eastAsia="zh-CN"/>
                </w:rPr>
              </w:pPr>
              <w:sdt>
                <w:sdtPr>
                  <w:alias w:val="Numeris"/>
                  <w:tag w:val="nr_d80790b6f01b453eb5dfba1fd559f7c4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6</w:t>
                  </w:r>
                </w:sdtContent>
              </w:sdt>
              <w:r>
                <w:rPr>
                  <w:szCs w:val="24"/>
                </w:rPr>
                <w:t xml:space="preserve">. </w:t>
              </w:r>
              <w:r>
                <w:rPr>
                  <w:rFonts w:ascii="Thorndale" w:eastAsia="Lucida Sans Unicode" w:hAnsi="Thorndale" w:cs="Tahoma"/>
                  <w:kern w:val="2"/>
                  <w:szCs w:val="24"/>
                  <w:lang w:eastAsia="zh-CN"/>
                </w:rPr>
                <w:t>Pakeisti</w:t>
              </w:r>
              <w:r>
                <w:rPr>
                  <w:spacing w:val="42"/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  <w:lang w:eastAsia="lt-LT"/>
                </w:rPr>
                <w:t>Sąmatos 4.6.</w:t>
              </w:r>
              <w:r>
                <w:rPr>
                  <w:rFonts w:ascii="Thorndale" w:eastAsia="Lucida Sans Unicode" w:hAnsi="Thorndale" w:cs="Tahoma"/>
                  <w:kern w:val="2"/>
                  <w:szCs w:val="24"/>
                  <w:lang w:eastAsia="zh-CN"/>
                </w:rPr>
                <w:t>5. papunktį ir jį išdėstyti taip:</w:t>
              </w:r>
            </w:p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1E0" w:firstRow="1" w:lastRow="1" w:firstColumn="1" w:lastColumn="1" w:noHBand="0" w:noVBand="0"/>
              </w:tblPr>
              <w:tblGrid>
                <w:gridCol w:w="869"/>
                <w:gridCol w:w="2592"/>
                <w:gridCol w:w="4801"/>
                <w:gridCol w:w="1366"/>
              </w:tblGrid>
              <w:tr>
                <w:trPr>
                  <w:trHeight w:val="690"/>
                </w:trPr>
                <w:tc>
                  <w:tcPr>
                    <w:tcW w:w="869" w:type="dxa"/>
                  </w:tcPr>
                  <w:p>
                    <w:pPr>
                      <w:widowControl w:val="0"/>
                      <w:suppressAutoHyphens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4.6.5.</w:t>
                    </w:r>
                  </w:p>
                </w:tc>
                <w:tc>
                  <w:tcPr>
                    <w:tcW w:w="2592" w:type="dxa"/>
                  </w:tcPr>
                  <w:p>
                    <w:pPr>
                      <w:widowControl w:val="0"/>
                      <w:suppressAutoHyphens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Želdynų tvarkymas, pertvarkymas, pagal želdinių tvarkymo projektus (aiškinamuosius raštus)</w:t>
                    </w:r>
                  </w:p>
                </w:tc>
                <w:tc>
                  <w:tcPr>
                    <w:tcW w:w="4801" w:type="dxa"/>
                  </w:tcPr>
                  <w:p>
                    <w:pPr>
                      <w:widowControl w:val="0"/>
                      <w:suppressAutoHyphens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Asignavimų valdytojas – </w:t>
                    </w:r>
                    <w:r>
                      <w:rPr>
                        <w:rFonts w:cs="Tahoma"/>
                        <w:szCs w:val="24"/>
                      </w:rPr>
                      <w:t>Radviliškio rajono savivaldybės administracija</w:t>
                    </w:r>
                    <w:r>
                      <w:rPr>
                        <w:szCs w:val="24"/>
                      </w:rPr>
                      <w:t>, atsakingas – Radviliškio miesto seniūnija. Vykdytojas – Radviliškio miesto seniūnija. Vykdymo pradžia – 2025 m. I ketv., pabaiga – 2025 m. IV ketv.</w:t>
                    </w:r>
                  </w:p>
                </w:tc>
                <w:tc>
                  <w:tcPr>
                    <w:tcW w:w="1366" w:type="dxa"/>
                  </w:tcPr>
                  <w:p>
                    <w:pPr>
                      <w:widowControl w:val="0"/>
                      <w:suppressAutoHyphens/>
                      <w:jc w:val="center"/>
                      <w:rPr>
                        <w:rFonts w:cs="Tahoma"/>
                        <w:szCs w:val="24"/>
                      </w:rPr>
                    </w:pPr>
                    <w:r>
                      <w:rPr>
                        <w:rFonts w:cs="Tahoma"/>
                        <w:szCs w:val="24"/>
                      </w:rPr>
                      <w:t>4 500</w:t>
                    </w:r>
                  </w:p>
                  <w:p>
                    <w:pPr>
                      <w:widowControl w:val="0"/>
                      <w:suppressAutoHyphens/>
                      <w:jc w:val="center"/>
                      <w:rPr>
                        <w:szCs w:val="24"/>
                      </w:rPr>
                    </w:pPr>
                  </w:p>
                </w:tc>
              </w:tr>
            </w:tbl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Savivaldybės meras        </w:t>
              </w:r>
            </w:p>
            <w:sdt>
              <w:sdtPr>
                <w:alias w:val="lentele"/>
                <w:tag w:val="part_028b9e9b7fd2480ca468bd8fe745c2b2"/>
                <w:lock w:val="sdtLocked"/>
                <w:richText/>
              </w:sdtPr>
              <w:sdtContent>
                <w:sdt>
                  <w:sdtPr>
                    <w:alias w:val="Pavadinimas"/>
                    <w:tag w:val="title_028b9e9b7fd2480ca468bd8fe745c2b2"/>
                    <w:lock w:val="sdtLocked"/>
                    <w:richText/>
                  </w:sdtPr>
                  <w:sdtContent>
                    <w:p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b/>
                          <w:position w:val="6"/>
                          <w:szCs w:val="24"/>
                          <w:lang w:eastAsia="lt-LT"/>
                          <w14:cntxtAlts/>
                        </w:rPr>
                        <w:t>DĖL RADVILIŠKIO RAJONO SAVIVALDYBĖS TARYBOS 2025 M. VASARIO 13 D. SPRENDIMO NR. T-570 „ DĖL RADVILIŠKIO RAJONO SAVIVALDYBĖS APLINKOS APSAUGOS RĖMIMO SPECIALIOSIOS PROGRAMOS 2025 METŲ PRIEMONIŲ VYKDYMO SĄMATOS PATVIRTINIMO“ PAKEITIMO</w:t>
                      </w:r>
                    </w:p>
                    <w:p>
                      <w:pPr>
                        <w:keepNext/>
                        <w:jc w:val="center"/>
                        <w:outlineLvl w:val="1"/>
                        <w:rPr>
                          <w:b/>
                          <w:bCs/>
                          <w:caps/>
                          <w:szCs w:val="24"/>
                        </w:rPr>
                      </w:pPr>
                      <w:r>
                        <w:rPr>
                          <w:b/>
                          <w:bCs/>
                          <w:caps/>
                          <w:szCs w:val="24"/>
                        </w:rPr>
                        <w:t>AIŠKINAMASIS RAŠTAS</w:t>
                      </w:r>
                    </w:p>
                  </w:sdtContent>
                </w:sdt>
                <w:tbl>
                  <w:tblPr>
                    <w:tblW w:w="9793" w:type="dxa"/>
                    <w:tblInd w:w="-12" w:type="dxa"/>
                    <w:tblLayout w:type="fixed"/>
                    <w:tblLook w:val="0000" w:firstRow="0" w:lastRow="0" w:firstColumn="0" w:lastColumn="0" w:noHBand="0" w:noVBand="0"/>
                  </w:tblPr>
                  <w:tblGrid>
                    <w:gridCol w:w="12"/>
                    <w:gridCol w:w="9781"/>
                  </w:tblGrid>
                  <w:tr>
                    <w:tc>
                      <w:tcPr>
                        <w:tcW w:w="9793" w:type="dxa"/>
                        <w:gridSpan w:val="2"/>
                      </w:tcPr>
                      <w:p>
                        <w:pPr>
                          <w:widowControl w:val="0"/>
                          <w:tabs>
                            <w:tab w:val="left" w:pos="567"/>
                          </w:tabs>
                          <w:suppressAutoHyphens/>
                          <w:spacing w:line="360" w:lineRule="auto"/>
                          <w:jc w:val="center"/>
                          <w:rPr>
                            <w:szCs w:val="24"/>
                          </w:rPr>
                        </w:pPr>
                      </w:p>
                      <w:p>
                        <w:pPr>
                          <w:widowControl w:val="0"/>
                          <w:tabs>
                            <w:tab w:val="left" w:pos="567"/>
                          </w:tabs>
                          <w:suppressAutoHyphens/>
                          <w:spacing w:line="360" w:lineRule="auto"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2025 m. rugsėjo 10 d.</w:t>
                        </w:r>
                      </w:p>
                      <w:p>
                        <w:pPr>
                          <w:widowControl w:val="0"/>
                          <w:tabs>
                            <w:tab w:val="left" w:pos="567"/>
                          </w:tabs>
                          <w:suppressAutoHyphens/>
                          <w:spacing w:line="360" w:lineRule="auto"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Radviliškis</w:t>
                        </w:r>
                      </w:p>
                      <w:p>
                        <w:pPr>
                          <w:tabs>
                            <w:tab w:val="left" w:pos="1134"/>
                          </w:tabs>
                          <w:spacing w:line="360" w:lineRule="auto"/>
                          <w:jc w:val="both"/>
                          <w:rPr>
                            <w:rFonts w:ascii="Thorndale" w:hAnsi="Thorndale" w:cs="Tahoma"/>
                            <w:szCs w:val="24"/>
                            <w:lang w:bidi="he-IL"/>
                          </w:rPr>
                        </w:pPr>
                      </w:p>
                      <w:p>
                        <w:pPr>
                          <w:widowControl w:val="0"/>
                          <w:tabs>
                            <w:tab w:val="left" w:pos="993"/>
                          </w:tabs>
                          <w:suppressAutoHyphens/>
                          <w:spacing w:line="360" w:lineRule="auto"/>
                          <w:ind w:firstLine="761"/>
                          <w:jc w:val="both"/>
                          <w:rPr>
                            <w:rFonts w:ascii="Thorndale" w:hAnsi="Thorndale" w:cs="Tahoma"/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1.</w:t>
                          <w:tab/>
                        </w:r>
                        <w:r>
                          <w:rPr>
                            <w:rFonts w:ascii="Thorndale" w:hAnsi="Thorndale" w:cs="Tahoma"/>
                            <w:b/>
                            <w:szCs w:val="24"/>
                            <w:lang w:bidi="he-IL"/>
                          </w:rPr>
                          <w:t>Projekto rengimą paskatinusios priežastys, parengto projekto tikslai, sprendimo projekto tikslai ir uždaviniai</w:t>
                        </w:r>
                        <w:r>
                          <w:rPr>
                            <w:rFonts w:ascii="Thorndale" w:hAnsi="Thorndale" w:cs="Tahoma"/>
                            <w:szCs w:val="24"/>
                            <w:lang w:bidi="he-IL"/>
                          </w:rPr>
                          <w:t>.</w:t>
                        </w:r>
                      </w:p>
                      <w:p>
                        <w:pPr>
                          <w:spacing w:line="360" w:lineRule="auto"/>
                          <w:ind w:firstLine="761"/>
                          <w:jc w:val="both"/>
                          <w:rPr>
                            <w:rFonts w:ascii="Thorndale" w:hAnsi="Thorndale" w:cs="Tahoma"/>
                            <w:bCs/>
                            <w:szCs w:val="24"/>
                          </w:rPr>
                        </w:pPr>
                        <w:r>
                          <w:rPr>
                            <w:rFonts w:ascii="Thorndale" w:hAnsi="Thorndale" w:cs="Tahoma"/>
                            <w:szCs w:val="24"/>
                          </w:rPr>
                          <w:t>Pakeisti Radviliškio rajono savivaldybės 2025 m. aplinkos apsaugos rėmimo specialiosios programos priemonių vykdymo sąmatą patvirtintą R</w:t>
                        </w:r>
                        <w:r>
                          <w:rPr>
                            <w:rFonts w:ascii="Thorndale" w:hAnsi="Thorndale" w:cs="Tahoma"/>
                            <w:bCs/>
                            <w:szCs w:val="24"/>
                          </w:rPr>
                          <w:t xml:space="preserve">adviliškio rajono savivaldybės tarybos 2025 m. vasario 13 d. sprendimu Nr. T-570 „ Dėl Radviliškio rajono savivaldybės aplinkos apsaugos rėmimo specialiosios programos 2025 metų priemonių vykdymo sąmatos patvirtinimo“. </w:t>
                        </w:r>
                      </w:p>
                      <w:p>
                        <w:pPr>
                          <w:widowControl w:val="0"/>
                          <w:tabs>
                            <w:tab w:val="left" w:pos="993"/>
                          </w:tabs>
                          <w:suppressAutoHyphens/>
                          <w:spacing w:line="360" w:lineRule="auto"/>
                          <w:ind w:left="1656" w:hanging="895"/>
                          <w:jc w:val="both"/>
                          <w:rPr>
                            <w:rFonts w:ascii="Thorndale" w:hAnsi="Thorndale" w:cs="Tahoma"/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2.</w:t>
                          <w:tab/>
                        </w:r>
                        <w:r>
                          <w:rPr>
                            <w:rFonts w:ascii="Thorndale" w:hAnsi="Thorndale" w:cs="Tahoma"/>
                            <w:b/>
                            <w:bCs/>
                            <w:szCs w:val="24"/>
                          </w:rPr>
                          <w:t>Projekto iniciatoriai (institucija, asmenys ar piliečių atstovai) ir rengėjai.</w:t>
                        </w:r>
                      </w:p>
                      <w:p>
                        <w:pPr>
                          <w:widowControl w:val="0"/>
                          <w:suppressAutoHyphens/>
                          <w:spacing w:line="360" w:lineRule="auto"/>
                          <w:ind w:firstLine="761"/>
                          <w:jc w:val="both"/>
                          <w:rPr>
                            <w:rFonts w:ascii="Thorndale" w:hAnsi="Thorndale" w:cs="Tahoma"/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Žemės ūkio skyriaus vyriausioji specialistė Valentina Grinienė.</w:t>
                        </w:r>
                      </w:p>
                      <w:p>
                        <w:pPr>
                          <w:widowControl w:val="0"/>
                          <w:tabs>
                            <w:tab w:val="left" w:pos="993"/>
                          </w:tabs>
                          <w:suppressAutoHyphens/>
                          <w:spacing w:line="360" w:lineRule="auto"/>
                          <w:ind w:left="1656" w:hanging="895"/>
                          <w:jc w:val="both"/>
                          <w:rPr>
                            <w:rFonts w:ascii="Thorndale" w:hAnsi="Thorndale" w:cs="Tahoma"/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3.</w:t>
                          <w:tab/>
                        </w:r>
                        <w:r>
                          <w:rPr>
                            <w:rFonts w:ascii="Thorndale" w:hAnsi="Thorndale" w:cs="Tahoma"/>
                            <w:b/>
                            <w:szCs w:val="24"/>
                          </w:rPr>
                          <w:t>Kaip šiuo metu yra reguliuojami sprendimo projekte aptarti teisiniai santykiai.</w:t>
                        </w:r>
                      </w:p>
                      <w:p>
                        <w:pPr>
                          <w:widowControl w:val="0"/>
                          <w:tabs>
                            <w:tab w:val="left" w:pos="0"/>
                          </w:tabs>
                          <w:suppressAutoHyphens/>
                          <w:spacing w:line="360" w:lineRule="auto"/>
                          <w:ind w:firstLine="761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-</w:t>
                        </w:r>
                      </w:p>
                      <w:p>
                        <w:pPr>
                          <w:widowControl w:val="0"/>
                          <w:tabs>
                            <w:tab w:val="left" w:pos="993"/>
                          </w:tabs>
                          <w:suppressAutoHyphens/>
                          <w:spacing w:line="360" w:lineRule="auto"/>
                          <w:ind w:firstLine="761"/>
                          <w:jc w:val="both"/>
                          <w:rPr>
                            <w:rFonts w:ascii="Thorndale" w:hAnsi="Thorndale" w:cs="Tahoma"/>
                            <w:szCs w:val="24"/>
                            <w:shd w:val="clear" w:color="auto" w:fill="FFFFFF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4.</w:t>
                          <w:tab/>
                        </w:r>
                        <w:r>
                          <w:rPr>
                            <w:rFonts w:ascii="Thorndale" w:hAnsi="Thorndale" w:cs="Tahoma"/>
                            <w:b/>
                            <w:bCs/>
                            <w:szCs w:val="24"/>
                          </w:rPr>
                          <w:t>Kokios siūlomos naujos teisinio reguliavimo nuostatos, kokių teigiamų rezultatų laukiama.</w:t>
                        </w:r>
                      </w:p>
                      <w:p>
                        <w:pPr>
                          <w:widowControl w:val="0"/>
                          <w:tabs>
                            <w:tab w:val="left" w:pos="993"/>
                          </w:tabs>
                          <w:suppressAutoHyphens/>
                          <w:spacing w:line="360" w:lineRule="auto"/>
                          <w:ind w:firstLine="761"/>
                          <w:jc w:val="both"/>
                          <w:rPr>
                            <w:rFonts w:ascii="Thorndale" w:hAnsi="Thorndale" w:cs="Tahoma"/>
                            <w:szCs w:val="24"/>
                          </w:rPr>
                        </w:pPr>
                        <w:r>
                          <w:rPr>
                            <w:rFonts w:ascii="Thorndale" w:hAnsi="Thorndale" w:cs="Tahoma"/>
                            <w:szCs w:val="24"/>
                          </w:rPr>
                          <w:t>Bus pakeista Radviliškio rajono savivaldybės 2025 m. aplinkos apsaugos rėmimo specialiosios programos priemonių vykdymo sąmata papildant ją viršplaninėmis lėšomis.</w:t>
                        </w:r>
                      </w:p>
                      <w:p>
                        <w:pPr>
                          <w:widowControl w:val="0"/>
                          <w:tabs>
                            <w:tab w:val="left" w:pos="993"/>
                          </w:tabs>
                          <w:suppressAutoHyphens/>
                          <w:spacing w:line="360" w:lineRule="auto"/>
                          <w:ind w:left="-90" w:firstLine="851"/>
                          <w:jc w:val="both"/>
                          <w:rPr>
                            <w:rFonts w:ascii="Thorndale" w:hAnsi="Thorndale" w:cs="Tahoma"/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5.</w:t>
                          <w:tab/>
                        </w:r>
                        <w:r>
                          <w:rPr>
                            <w:rFonts w:ascii="Thorndale" w:hAnsi="Thorndale" w:cs="Tahoma"/>
                            <w:b/>
                            <w:bCs/>
                            <w:szCs w:val="24"/>
                          </w:rPr>
                          <w:t>Galimos neigiamos priimto sprendimo projekto pasekmės ir kokių priemonių reikėtų imtis, kad tokių pasekmių būtų išvengta.</w:t>
                        </w:r>
                      </w:p>
                      <w:p>
                        <w:pPr>
                          <w:widowControl w:val="0"/>
                          <w:suppressAutoHyphens/>
                          <w:spacing w:line="360" w:lineRule="auto"/>
                          <w:ind w:firstLine="709"/>
                          <w:jc w:val="both"/>
                          <w:rPr>
                            <w:rFonts w:ascii="Thorndale" w:hAnsi="Thorndale" w:cs="Tahoma"/>
                            <w:szCs w:val="24"/>
                          </w:rPr>
                        </w:pPr>
                        <w:r>
                          <w:rPr>
                            <w:rFonts w:ascii="Thorndale" w:hAnsi="Thorndale" w:cs="Tahoma"/>
                            <w:szCs w:val="24"/>
                          </w:rPr>
                          <w:t xml:space="preserve">Neigiamų pasekmių nenumatoma. </w:t>
                        </w:r>
                      </w:p>
                      <w:p>
                        <w:pPr>
                          <w:widowControl w:val="0"/>
                          <w:tabs>
                            <w:tab w:val="left" w:pos="993"/>
                          </w:tabs>
                          <w:suppressAutoHyphens/>
                          <w:spacing w:line="360" w:lineRule="auto"/>
                          <w:ind w:firstLine="761"/>
                          <w:jc w:val="both"/>
                          <w:rPr>
                            <w:rFonts w:ascii="Thorndale" w:hAnsi="Thorndale" w:cs="Tahoma"/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6.</w:t>
                          <w:tab/>
                        </w:r>
                        <w:r>
                          <w:rPr>
                            <w:rFonts w:ascii="Thorndale" w:hAnsi="Thorndale" w:cs="Tahoma"/>
                            <w:b/>
                            <w:bCs/>
                            <w:szCs w:val="24"/>
                          </w:rPr>
                          <w:t>Kokius teisės aktus būtina priimti, kokius galiojančius teisės aktus būtina pakeisti ar pripažinti netekusiais galios priėmus sprendimo projektą.</w:t>
                        </w:r>
                      </w:p>
                      <w:p>
                        <w:pPr>
                          <w:tabs>
                            <w:tab w:val="left" w:pos="0"/>
                            <w:tab w:val="left" w:pos="993"/>
                            <w:tab w:val="left" w:pos="1134"/>
                            <w:tab w:val="left" w:pos="3664"/>
                            <w:tab w:val="left" w:pos="4580"/>
                            <w:tab w:val="left" w:pos="5496"/>
                            <w:tab w:val="left" w:pos="6412"/>
                            <w:tab w:val="left" w:pos="7328"/>
                            <w:tab w:val="left" w:pos="8244"/>
                            <w:tab w:val="left" w:pos="9160"/>
                            <w:tab w:val="left" w:pos="10076"/>
                            <w:tab w:val="left" w:pos="10992"/>
                            <w:tab w:val="left" w:pos="11908"/>
                            <w:tab w:val="left" w:pos="12824"/>
                            <w:tab w:val="left" w:pos="13740"/>
                            <w:tab w:val="left" w:pos="14656"/>
                          </w:tabs>
                          <w:spacing w:line="360" w:lineRule="auto"/>
                          <w:ind w:left="52" w:firstLine="709"/>
                          <w:jc w:val="both"/>
                          <w:rPr>
                            <w:bCs/>
                            <w:szCs w:val="24"/>
                            <w:lang w:val="en-US"/>
                          </w:rPr>
                        </w:pPr>
                        <w:r>
                          <w:rPr>
                            <w:szCs w:val="24"/>
                          </w:rPr>
                          <w:t xml:space="preserve">Reikės patikslinti </w:t>
                        </w:r>
                        <w:r>
                          <w:rPr>
                            <w:szCs w:val="24"/>
                            <w:lang w:val="en-US"/>
                          </w:rPr>
                          <w:t>R</w:t>
                        </w:r>
                        <w:r>
                          <w:rPr>
                            <w:bCs/>
                            <w:szCs w:val="24"/>
                            <w:lang w:val="en-US"/>
                          </w:rPr>
                          <w:t xml:space="preserve">adviliškio </w:t>
                        </w:r>
                        <w:r>
                          <w:rPr>
                            <w:bCs/>
                            <w:szCs w:val="24"/>
                          </w:rPr>
                          <w:t>rajono savivaldybės tarybos 2025 m. vasario 13 d. sprendimą Nr. T-570 „ Dėl Radviliškio rajono savivaldybės aplinkos apsaugos rėmimo specialiosios programos 2025 metų priemonių vykdymo sąmatos patvirtinimo“.</w:t>
                        </w:r>
                        <w:r>
                          <w:rPr>
                            <w:bCs/>
                            <w:szCs w:val="24"/>
                            <w:lang w:val="en-US"/>
                          </w:rPr>
                          <w:t xml:space="preserve"> </w:t>
                        </w:r>
                      </w:p>
                      <w:p>
                        <w:pPr>
                          <w:widowControl w:val="0"/>
                          <w:tabs>
                            <w:tab w:val="left" w:pos="0"/>
                            <w:tab w:val="left" w:pos="993"/>
                            <w:tab w:val="left" w:pos="1134"/>
                            <w:tab w:val="left" w:pos="3664"/>
                            <w:tab w:val="left" w:pos="4580"/>
                            <w:tab w:val="left" w:pos="5496"/>
                            <w:tab w:val="left" w:pos="6412"/>
                            <w:tab w:val="left" w:pos="7328"/>
                            <w:tab w:val="left" w:pos="8244"/>
                            <w:tab w:val="left" w:pos="9160"/>
                            <w:tab w:val="left" w:pos="10076"/>
                            <w:tab w:val="left" w:pos="10992"/>
                            <w:tab w:val="left" w:pos="11908"/>
                            <w:tab w:val="left" w:pos="12824"/>
                            <w:tab w:val="left" w:pos="13740"/>
                            <w:tab w:val="left" w:pos="14656"/>
                          </w:tabs>
                          <w:suppressAutoHyphens/>
                          <w:spacing w:line="360" w:lineRule="auto"/>
                          <w:ind w:left="1611" w:hanging="850"/>
                          <w:jc w:val="both"/>
                          <w:rPr>
                            <w:rFonts w:ascii="Thorndale" w:hAnsi="Thorndale" w:cs="Tahoma"/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7.</w:t>
                          <w:tab/>
                        </w:r>
                        <w:r>
                          <w:rPr>
                            <w:rFonts w:ascii="Thorndale" w:hAnsi="Thorndale" w:cs="Tahoma"/>
                            <w:b/>
                            <w:szCs w:val="24"/>
                          </w:rPr>
                          <w:t>Sprendimo projektui įgyvendinti reikalingos lėšos, finansavimo šaltiniai.</w:t>
                        </w:r>
                      </w:p>
                      <w:p>
                        <w:pPr>
                          <w:tabs>
                            <w:tab w:val="left" w:pos="0"/>
                            <w:tab w:val="left" w:pos="993"/>
                            <w:tab w:val="left" w:pos="1134"/>
                            <w:tab w:val="left" w:pos="3664"/>
                            <w:tab w:val="left" w:pos="4580"/>
                            <w:tab w:val="left" w:pos="5496"/>
                            <w:tab w:val="left" w:pos="6412"/>
                            <w:tab w:val="left" w:pos="7328"/>
                            <w:tab w:val="left" w:pos="8244"/>
                            <w:tab w:val="left" w:pos="9160"/>
                            <w:tab w:val="left" w:pos="10076"/>
                            <w:tab w:val="left" w:pos="10992"/>
                            <w:tab w:val="left" w:pos="11908"/>
                            <w:tab w:val="left" w:pos="12824"/>
                            <w:tab w:val="left" w:pos="13740"/>
                            <w:tab w:val="left" w:pos="14656"/>
                          </w:tabs>
                          <w:spacing w:line="360" w:lineRule="auto"/>
                          <w:ind w:left="761"/>
                          <w:jc w:val="both"/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>-</w:t>
                        </w:r>
                      </w:p>
                      <w:p>
                        <w:pPr>
                          <w:widowControl w:val="0"/>
                          <w:tabs>
                            <w:tab w:val="left" w:pos="0"/>
                            <w:tab w:val="left" w:pos="993"/>
                            <w:tab w:val="left" w:pos="1134"/>
                            <w:tab w:val="left" w:pos="3664"/>
                            <w:tab w:val="left" w:pos="4580"/>
                            <w:tab w:val="left" w:pos="5496"/>
                            <w:tab w:val="left" w:pos="6412"/>
                            <w:tab w:val="left" w:pos="7328"/>
                            <w:tab w:val="left" w:pos="8244"/>
                            <w:tab w:val="left" w:pos="9160"/>
                            <w:tab w:val="left" w:pos="10076"/>
                            <w:tab w:val="left" w:pos="10992"/>
                            <w:tab w:val="left" w:pos="11908"/>
                            <w:tab w:val="left" w:pos="12824"/>
                            <w:tab w:val="left" w:pos="13740"/>
                            <w:tab w:val="left" w:pos="14656"/>
                          </w:tabs>
                          <w:suppressAutoHyphens/>
                          <w:spacing w:line="360" w:lineRule="auto"/>
                          <w:ind w:left="1656" w:hanging="895"/>
                          <w:jc w:val="both"/>
                          <w:rPr>
                            <w:rFonts w:ascii="Thorndale" w:hAnsi="Thorndale" w:cs="Tahoma"/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8.</w:t>
                          <w:tab/>
                        </w:r>
                        <w:r>
                          <w:rPr>
                            <w:rFonts w:ascii="Thorndale" w:hAnsi="Thorndale" w:cs="Tahoma"/>
                            <w:b/>
                            <w:szCs w:val="24"/>
                          </w:rPr>
                          <w:t xml:space="preserve">Sprendimo projekto rengimo metu gauti specialistų vertinimai ir išvados. </w:t>
                        </w:r>
                      </w:p>
                      <w:p>
                        <w:pPr>
                          <w:widowControl w:val="0"/>
                          <w:tabs>
                            <w:tab w:val="left" w:pos="0"/>
                            <w:tab w:val="left" w:pos="993"/>
                            <w:tab w:val="left" w:pos="1134"/>
                            <w:tab w:val="left" w:pos="3664"/>
                            <w:tab w:val="left" w:pos="4580"/>
                            <w:tab w:val="left" w:pos="5496"/>
                            <w:tab w:val="left" w:pos="6412"/>
                            <w:tab w:val="left" w:pos="7328"/>
                            <w:tab w:val="left" w:pos="8244"/>
                            <w:tab w:val="left" w:pos="9160"/>
                            <w:tab w:val="left" w:pos="10076"/>
                            <w:tab w:val="left" w:pos="10992"/>
                            <w:tab w:val="left" w:pos="11908"/>
                            <w:tab w:val="left" w:pos="12824"/>
                            <w:tab w:val="left" w:pos="13740"/>
                            <w:tab w:val="left" w:pos="14656"/>
                          </w:tabs>
                          <w:suppressAutoHyphens/>
                          <w:spacing w:line="360" w:lineRule="auto"/>
                          <w:ind w:left="761"/>
                          <w:jc w:val="both"/>
                          <w:rPr>
                            <w:rFonts w:ascii="Thorndale" w:hAnsi="Thorndale" w:cs="Tahoma"/>
                            <w:b/>
                            <w:szCs w:val="24"/>
                          </w:rPr>
                        </w:pPr>
                        <w:r>
                          <w:rPr>
                            <w:rFonts w:ascii="Thorndale" w:hAnsi="Thorndale" w:cs="Tahoma"/>
                            <w:b/>
                            <w:szCs w:val="24"/>
                          </w:rPr>
                          <w:t>-</w:t>
                        </w:r>
                      </w:p>
                      <w:p>
                        <w:pPr>
                          <w:widowControl w:val="0"/>
                          <w:tabs>
                            <w:tab w:val="left" w:pos="0"/>
                            <w:tab w:val="left" w:pos="993"/>
                            <w:tab w:val="left" w:pos="1134"/>
                            <w:tab w:val="left" w:pos="3664"/>
                            <w:tab w:val="left" w:pos="4580"/>
                            <w:tab w:val="left" w:pos="5496"/>
                            <w:tab w:val="left" w:pos="6412"/>
                            <w:tab w:val="left" w:pos="7328"/>
                            <w:tab w:val="left" w:pos="8244"/>
                            <w:tab w:val="left" w:pos="9160"/>
                            <w:tab w:val="left" w:pos="10076"/>
                            <w:tab w:val="left" w:pos="10992"/>
                            <w:tab w:val="left" w:pos="11908"/>
                            <w:tab w:val="left" w:pos="12824"/>
                            <w:tab w:val="left" w:pos="13740"/>
                            <w:tab w:val="left" w:pos="14656"/>
                          </w:tabs>
                          <w:suppressAutoHyphens/>
                          <w:spacing w:line="360" w:lineRule="auto"/>
                          <w:ind w:left="1656" w:hanging="895"/>
                          <w:jc w:val="both"/>
                          <w:rPr>
                            <w:rFonts w:ascii="Thorndale" w:hAnsi="Thorndale" w:cs="Tahoma"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9.</w:t>
                          <w:tab/>
                        </w:r>
                        <w:r>
                          <w:rPr>
                            <w:rFonts w:ascii="Thorndale" w:hAnsi="Thorndale" w:cs="Tahoma"/>
                            <w:b/>
                            <w:szCs w:val="24"/>
                          </w:rPr>
                          <w:t>Numatomo teisinio reguliavimo poveikio vertinimo rezultatai.</w:t>
                        </w:r>
                      </w:p>
                      <w:p>
                        <w:pPr>
                          <w:widowControl w:val="0"/>
                          <w:tabs>
                            <w:tab w:val="left" w:pos="0"/>
                            <w:tab w:val="left" w:pos="993"/>
                            <w:tab w:val="left" w:pos="1134"/>
                            <w:tab w:val="left" w:pos="3664"/>
                            <w:tab w:val="left" w:pos="4580"/>
                            <w:tab w:val="left" w:pos="5496"/>
                            <w:tab w:val="left" w:pos="6412"/>
                            <w:tab w:val="left" w:pos="7328"/>
                            <w:tab w:val="left" w:pos="8244"/>
                            <w:tab w:val="left" w:pos="9160"/>
                            <w:tab w:val="left" w:pos="10076"/>
                            <w:tab w:val="left" w:pos="10992"/>
                            <w:tab w:val="left" w:pos="11908"/>
                            <w:tab w:val="left" w:pos="12824"/>
                            <w:tab w:val="left" w:pos="13740"/>
                            <w:tab w:val="left" w:pos="14656"/>
                          </w:tabs>
                          <w:suppressAutoHyphens/>
                          <w:spacing w:line="360" w:lineRule="auto"/>
                          <w:ind w:left="761"/>
                          <w:jc w:val="both"/>
                          <w:rPr>
                            <w:rFonts w:ascii="Thorndale" w:hAnsi="Thorndale" w:cs="Tahoma"/>
                            <w:bCs/>
                            <w:szCs w:val="24"/>
                          </w:rPr>
                        </w:pPr>
                        <w:r>
                          <w:rPr>
                            <w:rFonts w:ascii="Thorndale" w:hAnsi="Thorndale" w:cs="Tahoma"/>
                            <w:bCs/>
                            <w:szCs w:val="24"/>
                          </w:rPr>
                          <w:t>-</w:t>
                        </w:r>
                      </w:p>
                      <w:p>
                        <w:pPr>
                          <w:widowControl w:val="0"/>
                          <w:tabs>
                            <w:tab w:val="left" w:pos="0"/>
                            <w:tab w:val="left" w:pos="993"/>
                            <w:tab w:val="left" w:pos="1134"/>
                            <w:tab w:val="left" w:pos="3664"/>
                            <w:tab w:val="left" w:pos="4580"/>
                            <w:tab w:val="left" w:pos="5496"/>
                            <w:tab w:val="left" w:pos="6412"/>
                            <w:tab w:val="left" w:pos="7328"/>
                            <w:tab w:val="left" w:pos="8244"/>
                            <w:tab w:val="left" w:pos="9160"/>
                            <w:tab w:val="left" w:pos="10076"/>
                            <w:tab w:val="left" w:pos="10992"/>
                            <w:tab w:val="left" w:pos="11908"/>
                            <w:tab w:val="left" w:pos="12824"/>
                            <w:tab w:val="left" w:pos="13740"/>
                            <w:tab w:val="left" w:pos="14656"/>
                          </w:tabs>
                          <w:suppressAutoHyphens/>
                          <w:spacing w:line="360" w:lineRule="auto"/>
                          <w:ind w:left="1656" w:hanging="895"/>
                          <w:jc w:val="both"/>
                          <w:rPr>
                            <w:rFonts w:ascii="Thorndale" w:hAnsi="Thorndale" w:cs="Tahoma"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10.</w:t>
                          <w:tab/>
                        </w:r>
                        <w:r>
                          <w:rPr>
                            <w:rFonts w:ascii="Thorndale" w:eastAsia="Calibri" w:hAnsi="Thorndale" w:cs="Tahoma"/>
                            <w:b/>
                            <w:szCs w:val="24"/>
                            <w:lang w:eastAsia="ar-SA"/>
                          </w:rPr>
                          <w:t>Sprendimo projekto antikorupcinis vertinimas.</w:t>
                        </w:r>
                      </w:p>
                      <w:p>
                        <w:pPr>
                          <w:widowControl w:val="0"/>
                          <w:tabs>
                            <w:tab w:val="left" w:pos="1134"/>
                          </w:tabs>
                          <w:suppressAutoHyphens/>
                          <w:spacing w:line="360" w:lineRule="auto"/>
                          <w:ind w:firstLine="709"/>
                          <w:rPr>
                            <w:rFonts w:ascii="Thorndale" w:eastAsia="Calibri" w:hAnsi="Thorndale" w:cs="Tahoma"/>
                            <w:szCs w:val="24"/>
                          </w:rPr>
                        </w:pPr>
                        <w:r>
                          <w:rPr>
                            <w:rFonts w:ascii="Thorndale" w:eastAsia="Calibri" w:hAnsi="Thorndale" w:cs="Tahoma"/>
                            <w:szCs w:val="24"/>
                          </w:rPr>
                          <w:t>Teisės akto projektas antikorupciniam vertinimui neteikiamas.</w:t>
                        </w:r>
                      </w:p>
                      <w:p>
                        <w:pPr>
                          <w:widowControl w:val="0"/>
                          <w:tabs>
                            <w:tab w:val="left" w:pos="1134"/>
                          </w:tabs>
                          <w:suppressAutoHyphens/>
                          <w:spacing w:line="360" w:lineRule="auto"/>
                          <w:ind w:left="1656" w:hanging="895"/>
                          <w:rPr>
                            <w:rFonts w:ascii="Thorndale" w:eastAsia="Calibri" w:hAnsi="Thorndale" w:cs="Tahoma"/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Cs w:val="24"/>
                          </w:rPr>
                          <w:t>11.</w:t>
                          <w:tab/>
                        </w:r>
                        <w:r>
                          <w:rPr>
                            <w:rFonts w:ascii="Thorndale" w:eastAsia="Calibri" w:hAnsi="Thorndale" w:cs="Tahoma"/>
                            <w:b/>
                            <w:bCs/>
                            <w:szCs w:val="24"/>
                          </w:rPr>
                          <w:t xml:space="preserve">Kiti, iniciatoriaus nuomone, reikalingi pagrindimai ir paaiškinimai. </w:t>
                        </w:r>
                      </w:p>
                      <w:p>
                        <w:pPr>
                          <w:tabs>
                            <w:tab w:val="left" w:pos="1134"/>
                          </w:tabs>
                          <w:spacing w:line="360" w:lineRule="auto"/>
                          <w:ind w:left="709" w:firstLine="52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 xml:space="preserve">Nėra. </w:t>
                        </w:r>
                      </w:p>
                      <w:p>
                        <w:pPr>
                          <w:widowControl w:val="0"/>
                          <w:tabs>
                            <w:tab w:val="left" w:pos="1134"/>
                          </w:tabs>
                          <w:suppressAutoHyphens/>
                          <w:spacing w:line="360" w:lineRule="auto"/>
                          <w:ind w:left="1656" w:hanging="895"/>
                          <w:rPr>
                            <w:rFonts w:ascii="Thorndale" w:eastAsia="Calibri" w:hAnsi="Thorndale" w:cs="Tahoma"/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Cs w:val="24"/>
                          </w:rPr>
                          <w:t>12.</w:t>
                          <w:tab/>
                        </w:r>
                        <w:r>
                          <w:rPr>
                            <w:rFonts w:ascii="Thorndale" w:eastAsia="Calibri" w:hAnsi="Thorndale" w:cs="Tahoma"/>
                            <w:b/>
                            <w:bCs/>
                            <w:szCs w:val="24"/>
                          </w:rPr>
                          <w:t xml:space="preserve">Pridedami dokumentai. </w:t>
                        </w:r>
                      </w:p>
                      <w:p>
                        <w:pPr>
                          <w:widowControl w:val="0"/>
                          <w:suppressAutoHyphens/>
                          <w:spacing w:line="360" w:lineRule="auto"/>
                          <w:ind w:firstLine="761"/>
                          <w:jc w:val="both"/>
                          <w:rPr>
                            <w:rFonts w:ascii="Thorndale" w:hAnsi="Thorndale" w:cs="Tahoma"/>
                            <w:b/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Sprendimo projekto lyginamasis variantas.</w:t>
                        </w:r>
                      </w:p>
                    </w:tc>
                  </w:tr>
                  <w:tr>
                    <w:trPr>
                      <w:gridBefore w:val="1"/>
                      <w:wBefore w:w="12" w:type="dxa"/>
                      <w:cantSplit/>
                    </w:trPr>
                    <w:tc>
                      <w:tcPr>
                        <w:tcW w:w="9781" w:type="dxa"/>
                      </w:tcPr>
                      <w:p>
                        <w:pPr>
                          <w:widowControl w:val="0"/>
                          <w:tabs>
                            <w:tab w:val="left" w:pos="0"/>
                          </w:tabs>
                          <w:suppressAutoHyphens/>
                          <w:jc w:val="both"/>
                          <w:rPr>
                            <w:szCs w:val="24"/>
                          </w:rPr>
                        </w:pPr>
                      </w:p>
                    </w:tc>
                  </w:tr>
                </w:tbl>
                <w:p>
                  <w:pPr>
                    <w:widowControl w:val="0"/>
                    <w:suppressAutoHyphens/>
                    <w:rPr>
                      <w:szCs w:val="24"/>
                    </w:rPr>
                  </w:pPr>
                </w:p>
                <w:p>
                  <w:pPr>
                    <w:widowControl w:val="0"/>
                    <w:suppressAutoHyphens/>
                    <w:rPr>
                      <w:szCs w:val="24"/>
                    </w:rPr>
                  </w:pPr>
                </w:p>
              </w:sdtContent>
            </w:sdt>
            <w:sdt>
              <w:sdtPr>
                <w:alias w:val="pastraipa"/>
                <w:tag w:val="part_f490c1cce6c7410897871a8fd4cbe778"/>
                <w:lock w:val="sdtLocked"/>
                <w:richText/>
              </w:sdtPr>
              <w:sdtContent>
                <w:p>
                  <w:pPr>
                    <w:widowControl w:val="0"/>
                    <w:suppressAutoHyphens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Žemės ūkio skyriaus vyriausioji specialistė         </w:t>
                    <w:tab/>
                    <w:t xml:space="preserve">                                           Valentina Grinienė</w:t>
                  </w:r>
                </w:p>
                <w:p>
                  <w:pPr>
                    <w:widowControl w:val="0"/>
                    <w:suppressAutoHyphens/>
                    <w:rPr>
                      <w:szCs w:val="24"/>
                    </w:rPr>
                  </w:pPr>
                </w:p>
                <w:p>
                  <w:pPr>
                    <w:jc w:val="both"/>
                    <w:rPr>
                      <w:szCs w:val="24"/>
                      <w:lang w:eastAsia="lt-LT"/>
                    </w:rPr>
                  </w:pPr>
                </w:p>
                <w:p>
                  <w:pPr>
                    <w:jc w:val="both"/>
                    <w:rPr>
                      <w:szCs w:val="24"/>
                      <w:lang w:eastAsia="lt-LT"/>
                    </w:rPr>
                  </w:pPr>
                </w:p>
                <w:p>
                  <w:pPr>
                    <w:jc w:val="right"/>
                    <w:rPr>
                      <w:szCs w:val="24"/>
                      <w:lang w:eastAsia="lt-LT"/>
                    </w:rPr>
                  </w:pPr>
                </w:p>
                <w:p>
                  <w:pPr>
                    <w:jc w:val="right"/>
                    <w:rPr>
                      <w:szCs w:val="24"/>
                      <w:lang w:eastAsia="lt-LT"/>
                    </w:rPr>
                  </w:pPr>
                </w:p>
                <w:p>
                  <w:pPr>
                    <w:jc w:val="right"/>
                    <w:rPr>
                      <w:szCs w:val="24"/>
                      <w:lang w:eastAsia="lt-LT"/>
                    </w:rPr>
                  </w:pPr>
                </w:p>
                <w:p>
                  <w:pPr>
                    <w:jc w:val="right"/>
                    <w:rPr>
                      <w:szCs w:val="24"/>
                      <w:lang w:eastAsia="lt-LT"/>
                    </w:rPr>
                  </w:pPr>
                </w:p>
                <w:p>
                  <w:pPr>
                    <w:jc w:val="right"/>
                    <w:rPr>
                      <w:szCs w:val="24"/>
                      <w:lang w:eastAsia="lt-LT"/>
                    </w:rPr>
                  </w:pPr>
                </w:p>
                <w:p>
                  <w:pPr>
                    <w:jc w:val="right"/>
                    <w:rPr>
                      <w:szCs w:val="24"/>
                      <w:lang w:eastAsia="lt-LT"/>
                    </w:rPr>
                  </w:pPr>
                </w:p>
                <w:p>
                  <w:pPr>
                    <w:jc w:val="right"/>
                    <w:rPr>
                      <w:szCs w:val="24"/>
                      <w:lang w:eastAsia="lt-LT"/>
                    </w:rPr>
                  </w:pPr>
                </w:p>
                <w:p>
                  <w:pPr>
                    <w:jc w:val="right"/>
                    <w:rPr>
                      <w:szCs w:val="24"/>
                      <w:lang w:eastAsia="lt-LT"/>
                    </w:rPr>
                  </w:pPr>
                </w:p>
                <w:p>
                  <w:pPr>
                    <w:jc w:val="right"/>
                    <w:rPr>
                      <w:szCs w:val="24"/>
                      <w:lang w:eastAsia="lt-LT"/>
                    </w:rPr>
                  </w:pPr>
                </w:p>
                <w:p>
                  <w:pPr>
                    <w:jc w:val="right"/>
                    <w:rPr>
                      <w:szCs w:val="24"/>
                      <w:lang w:eastAsia="lt-LT"/>
                    </w:rPr>
                  </w:pPr>
                </w:p>
                <w:p>
                  <w:pPr>
                    <w:jc w:val="right"/>
                    <w:rPr>
                      <w:szCs w:val="24"/>
                      <w:lang w:eastAsia="lt-LT"/>
                    </w:rPr>
                  </w:pPr>
                </w:p>
                <w:p>
                  <w:pPr>
                    <w:jc w:val="right"/>
                    <w:rPr>
                      <w:szCs w:val="24"/>
                      <w:lang w:eastAsia="lt-LT"/>
                    </w:rPr>
                  </w:pPr>
                </w:p>
                <w:p>
                  <w:pPr>
                    <w:jc w:val="right"/>
                    <w:rPr>
                      <w:szCs w:val="24"/>
                      <w:lang w:eastAsia="lt-LT"/>
                    </w:rPr>
                  </w:pPr>
                </w:p>
                <w:p>
                  <w:pPr>
                    <w:jc w:val="right"/>
                    <w:rPr>
                      <w:szCs w:val="24"/>
                      <w:lang w:eastAsia="lt-LT"/>
                    </w:rPr>
                  </w:pPr>
                </w:p>
                <w:p>
                  <w:pPr>
                    <w:jc w:val="right"/>
                    <w:rPr>
                      <w:szCs w:val="24"/>
                      <w:lang w:eastAsia="lt-LT"/>
                    </w:rPr>
                  </w:pPr>
                </w:p>
                <w:p>
                  <w:pPr>
                    <w:jc w:val="right"/>
                    <w:rPr>
                      <w:szCs w:val="24"/>
                      <w:lang w:eastAsia="lt-LT"/>
                    </w:rPr>
                  </w:pPr>
                </w:p>
                <w:p>
                  <w:pPr>
                    <w:jc w:val="right"/>
                    <w:rPr>
                      <w:szCs w:val="24"/>
                      <w:lang w:eastAsia="lt-LT"/>
                    </w:rPr>
                  </w:pPr>
                </w:p>
                <w:p>
                  <w:pPr>
                    <w:jc w:val="right"/>
                    <w:rPr>
                      <w:szCs w:val="24"/>
                      <w:lang w:eastAsia="lt-LT"/>
                    </w:rPr>
                  </w:pPr>
                </w:p>
                <w:p>
                  <w:pPr>
                    <w:jc w:val="right"/>
                    <w:rPr>
                      <w:szCs w:val="24"/>
                      <w:lang w:eastAsia="lt-LT"/>
                    </w:rPr>
                  </w:pPr>
                </w:p>
                <w:p>
                  <w:pPr>
                    <w:jc w:val="right"/>
                    <w:rPr>
                      <w:szCs w:val="24"/>
                      <w:lang w:eastAsia="lt-LT"/>
                    </w:rPr>
                  </w:pPr>
                </w:p>
                <w:p>
                  <w:pPr>
                    <w:jc w:val="right"/>
                    <w:rPr>
                      <w:szCs w:val="24"/>
                      <w:lang w:eastAsia="lt-LT"/>
                    </w:rPr>
                  </w:pPr>
                </w:p>
                <w:p>
                  <w:pPr>
                    <w:jc w:val="right"/>
                    <w:rPr>
                      <w:szCs w:val="24"/>
                      <w:lang w:eastAsia="lt-LT"/>
                    </w:rPr>
                  </w:pPr>
                </w:p>
                <w:p>
                  <w:pPr>
                    <w:jc w:val="right"/>
                    <w:rPr>
                      <w:szCs w:val="24"/>
                      <w:lang w:eastAsia="lt-LT"/>
                    </w:rPr>
                  </w:pPr>
                </w:p>
                <w:p>
                  <w:pPr>
                    <w:jc w:val="right"/>
                    <w:rPr>
                      <w:szCs w:val="24"/>
                      <w:lang w:eastAsia="lt-LT"/>
                    </w:rPr>
                  </w:pPr>
                </w:p>
                <w:p>
                  <w:pPr>
                    <w:jc w:val="right"/>
                    <w:rPr>
                      <w:szCs w:val="24"/>
                      <w:lang w:eastAsia="lt-LT"/>
                    </w:rPr>
                  </w:pPr>
                </w:p>
                <w:p>
                  <w:pPr>
                    <w:jc w:val="right"/>
                    <w:rPr>
                      <w:szCs w:val="24"/>
                      <w:lang w:eastAsia="lt-LT"/>
                    </w:rPr>
                  </w:pPr>
                </w:p>
                <w:p>
                  <w:pPr>
                    <w:jc w:val="right"/>
                    <w:rPr>
                      <w:szCs w:val="24"/>
                      <w:lang w:eastAsia="lt-LT"/>
                    </w:rPr>
                  </w:pPr>
                </w:p>
                <w:p>
                  <w:pPr>
                    <w:jc w:val="right"/>
                    <w:rPr>
                      <w:szCs w:val="24"/>
                      <w:lang w:eastAsia="lt-LT"/>
                    </w:rPr>
                  </w:pPr>
                </w:p>
                <w:p>
                  <w:pPr>
                    <w:jc w:val="right"/>
                    <w:rPr>
                      <w:szCs w:val="24"/>
                      <w:lang w:eastAsia="lt-LT"/>
                    </w:rPr>
                  </w:pPr>
                </w:p>
                <w:p>
                  <w:pPr>
                    <w:jc w:val="right"/>
                    <w:rPr>
                      <w:szCs w:val="24"/>
                      <w:lang w:eastAsia="lt-LT"/>
                    </w:rPr>
                  </w:pPr>
                </w:p>
                <w:p>
                  <w:pPr>
                    <w:jc w:val="right"/>
                    <w:rPr>
                      <w:szCs w:val="24"/>
                      <w:lang w:eastAsia="lt-LT"/>
                    </w:rPr>
                  </w:pPr>
                </w:p>
                <w:p>
                  <w:pPr>
                    <w:rPr>
                      <w:szCs w:val="24"/>
                      <w:lang w:eastAsia="lt-LT"/>
                    </w:rPr>
                  </w:pPr>
                </w:p>
                <w:p>
                  <w:pPr>
                    <w:rPr>
                      <w:szCs w:val="24"/>
                      <w:lang w:eastAsia="lt-LT"/>
                    </w:rPr>
                  </w:pPr>
                </w:p>
                <w:p>
                  <w:pPr>
                    <w:jc w:val="right"/>
                    <w:rPr>
                      <w:szCs w:val="24"/>
                      <w:lang w:eastAsia="lt-LT"/>
                    </w:rPr>
                  </w:pPr>
                </w:p>
                <w:p>
                  <w:pPr>
                    <w:jc w:val="right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kirsnis"/>
            <w:tag w:val="part_86b1542a318e463a8bf34b66e1eec85a"/>
            <w:lock w:val="sdtLocked"/>
            <w:richText/>
          </w:sdtPr>
          <w:sdtContent>
            <w:p>
              <w:pPr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Pavadinimas"/>
                  <w:tag w:val="title_86b1542a318e463a8bf34b66e1eec85a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LYGINAMASIS SPRENDIMO VARIANTAS</w:t>
                  </w:r>
                </w:sdtContent>
              </w:sdt>
            </w:p>
            <w:p>
              <w:pPr>
                <w:tabs>
                  <w:tab w:val="left" w:pos="1304"/>
                  <w:tab w:val="left" w:pos="1457"/>
                  <w:tab w:val="left" w:pos="1604"/>
                  <w:tab w:val="left" w:pos="1757"/>
                </w:tabs>
                <w:ind w:left="5529"/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tabs>
                  <w:tab w:val="left" w:pos="1304"/>
                  <w:tab w:val="left" w:pos="1457"/>
                  <w:tab w:val="left" w:pos="1604"/>
                  <w:tab w:val="left" w:pos="1757"/>
                </w:tabs>
                <w:ind w:left="5529" w:firstLine="124"/>
                <w:rPr>
                  <w:szCs w:val="24"/>
                </w:rPr>
              </w:pPr>
            </w:p>
          </w:sdtContent>
        </w:sdt>
        <w:sdt>
          <w:sdtPr>
            <w:alias w:val="skirsnis"/>
            <w:tag w:val="part_9b78bf25c49749f5933991a87adbbda7"/>
            <w:lock w:val="sdtLocked"/>
            <w:richText/>
          </w:sdtPr>
          <w:sdtContent>
            <w:p>
              <w:pPr>
                <w:widowControl w:val="0"/>
                <w:suppressAutoHyphens/>
                <w:jc w:val="center"/>
                <w:rPr>
                  <w:szCs w:val="24"/>
                </w:rPr>
              </w:pPr>
              <w:sdt>
                <w:sdtPr>
                  <w:alias w:val="Pavadinimas"/>
                  <w:tag w:val="title_9b78bf25c49749f5933991a87adbbda7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RADVILIŠKIO RAJONO SAVIVALDYBĖS ADMINISTRACIJA</w:t>
                  </w:r>
                </w:sdtContent>
              </w:sdt>
            </w:p>
            <w:p>
              <w:pPr>
                <w:widowControl w:val="0"/>
                <w:suppressAutoHyphens/>
                <w:rPr>
                  <w:szCs w:val="24"/>
                </w:rPr>
              </w:pPr>
            </w:p>
          </w:sdtContent>
        </w:sdt>
        <w:sdt>
          <w:sdtPr>
            <w:alias w:val="skirsnis"/>
            <w:tag w:val="part_f0a174b153104123b981698d9256f2b1"/>
            <w:lock w:val="sdtLocked"/>
            <w:richText/>
          </w:sdtPr>
          <w:sdtContent>
            <w:p>
              <w:pPr>
                <w:widowControl w:val="0"/>
                <w:suppressAutoHyphens/>
                <w:jc w:val="center"/>
                <w:rPr>
                  <w:b/>
                  <w:szCs w:val="24"/>
                </w:rPr>
              </w:pPr>
              <w:sdt>
                <w:sdtPr>
                  <w:alias w:val="Pavadinimas"/>
                  <w:tag w:val="title_f0a174b153104123b981698d9256f2b1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RADVILIŠKIO RAJONO SAVIVALDYBĖS APLINKOS APSAUGOS RĖMIMO SPECIALIOSIOS PROGRAMOS _2025_ METŲ SĄMATA</w:t>
                  </w:r>
                </w:sdtContent>
              </w:sdt>
            </w:p>
            <w:p>
              <w:pPr>
                <w:jc w:val="both"/>
                <w:rPr>
                  <w:b/>
                  <w:szCs w:val="24"/>
                </w:rPr>
              </w:pPr>
            </w:p>
            <w:sdt>
              <w:sdtPr>
                <w:alias w:val="45 p."/>
                <w:tag w:val="part_fd2437a0cc734105a7cfb2867f5a7926"/>
                <w:lock w:val="sdtLocked"/>
                <w:richText/>
              </w:sdtPr>
              <w:sdtContent>
                <w:p>
                  <w:pPr>
                    <w:ind w:left="672" w:hanging="36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fd2437a0cc734105a7cfb2867f5a7926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45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</w:r>
                  <w:r>
                    <w:rPr>
                      <w:b/>
                      <w:szCs w:val="24"/>
                    </w:rPr>
                    <w:t>Informacija apie Savivaldybių aplinkos apsaugos rėmimo specialiosios programos (toliau – Programa) lėšas</w:t>
                  </w:r>
                </w:p>
                <w:p>
                  <w:pPr>
                    <w:ind w:firstLine="312"/>
                    <w:jc w:val="both"/>
                    <w:rPr>
                      <w:b/>
                      <w:szCs w:val="24"/>
                    </w:rPr>
                  </w:pP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1E0" w:firstRow="1" w:lastRow="1" w:firstColumn="1" w:lastColumn="1" w:noHBand="0" w:noVBand="0"/>
                  </w:tblPr>
                  <w:tblGrid>
                    <w:gridCol w:w="809"/>
                    <w:gridCol w:w="7450"/>
                    <w:gridCol w:w="1369"/>
                  </w:tblGrid>
                  <w:tr>
                    <w:tc>
                      <w:tcPr>
                        <w:tcW w:w="817" w:type="dxa"/>
                      </w:tcPr>
                      <w:p>
                        <w:pPr>
                          <w:jc w:val="center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Eil. Nr.</w:t>
                        </w:r>
                      </w:p>
                    </w:tc>
                    <w:tc>
                      <w:tcPr>
                        <w:tcW w:w="7655" w:type="dxa"/>
                      </w:tcPr>
                      <w:p>
                        <w:pPr>
                          <w:ind w:firstLine="312"/>
                          <w:jc w:val="center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(1) Programos finansavimo šaltiniai</w:t>
                        </w:r>
                      </w:p>
                    </w:tc>
                    <w:tc>
                      <w:tcPr>
                        <w:tcW w:w="1382" w:type="dxa"/>
                      </w:tcPr>
                      <w:p>
                        <w:pPr>
                          <w:jc w:val="center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Lėšos, Eur</w:t>
                        </w:r>
                      </w:p>
                    </w:tc>
                  </w:tr>
                  <w:tr>
                    <w:tc>
                      <w:tcPr>
                        <w:tcW w:w="817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1.1.</w:t>
                        </w:r>
                      </w:p>
                    </w:tc>
                    <w:tc>
                      <w:tcPr>
                        <w:tcW w:w="7655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Mokesčiai už teršalų išmetimą į aplinką</w:t>
                        </w:r>
                      </w:p>
                    </w:tc>
                    <w:tc>
                      <w:tcPr>
                        <w:tcW w:w="1382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100 000</w:t>
                        </w:r>
                      </w:p>
                    </w:tc>
                  </w:tr>
                  <w:tr>
                    <w:tc>
                      <w:tcPr>
                        <w:tcW w:w="817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1.2.</w:t>
                        </w:r>
                      </w:p>
                    </w:tc>
                    <w:tc>
                      <w:tcPr>
                        <w:tcW w:w="7655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Mokesčiai už valstybinius gamtos išteklius</w:t>
                        </w:r>
                      </w:p>
                    </w:tc>
                    <w:tc>
                      <w:tcPr>
                        <w:tcW w:w="1382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trike/>
                            <w:szCs w:val="24"/>
                          </w:rPr>
                        </w:pPr>
                        <w:r>
                          <w:rPr>
                            <w:strike/>
                            <w:szCs w:val="24"/>
                          </w:rPr>
                          <w:t>60 000</w:t>
                        </w:r>
                      </w:p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70 000</w:t>
                        </w:r>
                      </w:p>
                    </w:tc>
                  </w:tr>
                  <w:tr>
                    <w:tc>
                      <w:tcPr>
                        <w:tcW w:w="817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1.3.</w:t>
                        </w:r>
                      </w:p>
                    </w:tc>
                    <w:tc>
                      <w:tcPr>
                        <w:tcW w:w="7655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Lėšos, gautos kaip želdinių atkuriamosios vertės kompensacija</w:t>
                        </w:r>
                      </w:p>
                    </w:tc>
                    <w:tc>
                      <w:tcPr>
                        <w:tcW w:w="1382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1 000 </w:t>
                        </w:r>
                      </w:p>
                    </w:tc>
                  </w:tr>
                  <w:tr>
                    <w:tc>
                      <w:tcPr>
                        <w:tcW w:w="817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1.4.</w:t>
                        </w:r>
                      </w:p>
                    </w:tc>
                    <w:tc>
                      <w:tcPr>
                        <w:tcW w:w="7655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Savanoriškos juridinių ir fizinių asmenų įmokos ir kitos teisėtai gautos lėšos</w:t>
                        </w:r>
                      </w:p>
                    </w:tc>
                    <w:tc>
                      <w:tcPr>
                        <w:tcW w:w="1382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9 000</w:t>
                        </w:r>
                      </w:p>
                    </w:tc>
                  </w:tr>
                  <w:tr>
                    <w:tc>
                      <w:tcPr>
                        <w:tcW w:w="817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1.5.</w:t>
                        </w:r>
                      </w:p>
                    </w:tc>
                    <w:tc>
                      <w:tcPr>
                        <w:tcW w:w="7655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Iš viso (1.1 + 1.2 + 1.3 + 1.4):</w:t>
                        </w:r>
                      </w:p>
                    </w:tc>
                    <w:tc>
                      <w:tcPr>
                        <w:tcW w:w="1382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trike/>
                            <w:szCs w:val="24"/>
                          </w:rPr>
                        </w:pPr>
                        <w:r>
                          <w:rPr>
                            <w:strike/>
                            <w:szCs w:val="24"/>
                          </w:rPr>
                          <w:t>170 000</w:t>
                        </w:r>
                      </w:p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180 000</w:t>
                        </w:r>
                      </w:p>
                    </w:tc>
                  </w:tr>
                  <w:tr>
                    <w:tc>
                      <w:tcPr>
                        <w:tcW w:w="817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1.6.</w:t>
                        </w:r>
                      </w:p>
                    </w:tc>
                    <w:tc>
                      <w:tcPr>
                        <w:tcW w:w="7655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Mokesčiai, sumokėti už medžiojamųjų gyvūnų išteklių naudojimą</w:t>
                        </w:r>
                      </w:p>
                    </w:tc>
                    <w:tc>
                      <w:tcPr>
                        <w:tcW w:w="1382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50 000</w:t>
                        </w:r>
                      </w:p>
                    </w:tc>
                  </w:tr>
                  <w:tr>
                    <w:tc>
                      <w:tcPr>
                        <w:tcW w:w="817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1.7.</w:t>
                        </w:r>
                      </w:p>
                    </w:tc>
                    <w:tc>
                      <w:tcPr>
                        <w:tcW w:w="7655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Ankstesnio ataskaitinio laikotarpio ataskaitos atitinkamų lėšų likutis </w:t>
                        </w:r>
                      </w:p>
                    </w:tc>
                    <w:tc>
                      <w:tcPr>
                        <w:tcW w:w="1382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47 095</w:t>
                        </w:r>
                      </w:p>
                    </w:tc>
                  </w:tr>
                  <w:tr>
                    <w:tc>
                      <w:tcPr>
                        <w:tcW w:w="817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1.8.</w:t>
                        </w:r>
                      </w:p>
                    </w:tc>
                    <w:tc>
                      <w:tcPr>
                        <w:tcW w:w="7655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Iš viso (1.6 + 1.7):</w:t>
                        </w:r>
                      </w:p>
                    </w:tc>
                    <w:tc>
                      <w:tcPr>
                        <w:tcW w:w="1382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97 095</w:t>
                        </w:r>
                      </w:p>
                    </w:tc>
                  </w:tr>
                  <w:tr>
                    <w:tc>
                      <w:tcPr>
                        <w:tcW w:w="817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1.9.</w:t>
                        </w:r>
                      </w:p>
                    </w:tc>
                    <w:tc>
                      <w:tcPr>
                        <w:tcW w:w="7655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Faktinės ataskaitinio laikotarpio Programos lėšos (1.5 + 1.8)</w:t>
                        </w:r>
                      </w:p>
                    </w:tc>
                    <w:tc>
                      <w:tcPr>
                        <w:tcW w:w="1382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trike/>
                            <w:szCs w:val="24"/>
                          </w:rPr>
                        </w:pPr>
                        <w:r>
                          <w:rPr>
                            <w:strike/>
                            <w:szCs w:val="24"/>
                          </w:rPr>
                          <w:t>267 095</w:t>
                        </w:r>
                      </w:p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277 095</w:t>
                        </w:r>
                      </w:p>
                    </w:tc>
                  </w:tr>
                </w:tbl>
                <w:p>
                  <w:pPr>
                    <w:jc w:val="both"/>
                    <w:rPr>
                      <w:b/>
                      <w:szCs w:val="24"/>
                    </w:rPr>
                  </w:pP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1E0" w:firstRow="1" w:lastRow="1" w:firstColumn="1" w:lastColumn="1" w:noHBand="0" w:noVBand="0"/>
                  </w:tblPr>
                  <w:tblGrid>
                    <w:gridCol w:w="696"/>
                    <w:gridCol w:w="7568"/>
                    <w:gridCol w:w="1364"/>
                  </w:tblGrid>
                  <w:tr>
                    <w:tc>
                      <w:tcPr>
                        <w:tcW w:w="696" w:type="dxa"/>
                      </w:tcPr>
                      <w:p>
                        <w:pPr>
                          <w:jc w:val="center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Eil. Nr.</w:t>
                        </w:r>
                      </w:p>
                    </w:tc>
                    <w:tc>
                      <w:tcPr>
                        <w:tcW w:w="7568" w:type="dxa"/>
                      </w:tcPr>
                      <w:p>
                        <w:pPr>
                          <w:ind w:firstLine="312"/>
                          <w:jc w:val="center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(2) Savivaldybės visuomenės sveikatos rėmimo specialiajai programai skirtinos lėšos</w:t>
                        </w:r>
                      </w:p>
                    </w:tc>
                    <w:tc>
                      <w:tcPr>
                        <w:tcW w:w="1364" w:type="dxa"/>
                      </w:tcPr>
                      <w:p>
                        <w:pPr>
                          <w:jc w:val="center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Lėšos, Eur</w:t>
                        </w:r>
                      </w:p>
                    </w:tc>
                  </w:tr>
                  <w:tr>
                    <w:tc>
                      <w:tcPr>
                        <w:tcW w:w="696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1.10.</w:t>
                        </w:r>
                      </w:p>
                    </w:tc>
                    <w:tc>
                      <w:tcPr>
                        <w:tcW w:w="7568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20 procentų Savivaldybių aplinkos apsaugos rėmimo specialiosios programos lėšų, neįskaitant įplaukų už medžioklės plotų naudotojų mokesčius, mokamus įstatymų nustatytomis proporcijomis ir tvarka už medžiojamųjų gyvūnų išteklių naudojimą</w:t>
                        </w:r>
                      </w:p>
                    </w:tc>
                    <w:tc>
                      <w:tcPr>
                        <w:tcW w:w="1364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trike/>
                            <w:szCs w:val="24"/>
                          </w:rPr>
                        </w:pPr>
                        <w:r>
                          <w:rPr>
                            <w:strike/>
                            <w:szCs w:val="24"/>
                          </w:rPr>
                          <w:t>34 000</w:t>
                        </w:r>
                      </w:p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36 000</w:t>
                        </w:r>
                      </w:p>
                    </w:tc>
                  </w:tr>
                  <w:tr>
                    <w:tc>
                      <w:tcPr>
                        <w:tcW w:w="696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1.11.</w:t>
                        </w:r>
                      </w:p>
                    </w:tc>
                    <w:tc>
                      <w:tcPr>
                        <w:tcW w:w="7568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Ankstesnio ataskaitinio laikotarpio ataskaitos atitinkamų lėšų likutis </w:t>
                        </w:r>
                      </w:p>
                    </w:tc>
                    <w:tc>
                      <w:tcPr>
                        <w:tcW w:w="1364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11 321</w:t>
                        </w:r>
                      </w:p>
                    </w:tc>
                  </w:tr>
                  <w:tr>
                    <w:tc>
                      <w:tcPr>
                        <w:tcW w:w="696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1.12.</w:t>
                        </w:r>
                      </w:p>
                    </w:tc>
                    <w:tc>
                      <w:tcPr>
                        <w:tcW w:w="7568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Iš viso (1.10 + 1.11):</w:t>
                        </w:r>
                      </w:p>
                    </w:tc>
                    <w:tc>
                      <w:tcPr>
                        <w:tcW w:w="1364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trike/>
                            <w:szCs w:val="24"/>
                            <w:lang w:val="en-US"/>
                          </w:rPr>
                        </w:pPr>
                        <w:r>
                          <w:rPr>
                            <w:strike/>
                            <w:szCs w:val="24"/>
                            <w:lang w:val="en-US"/>
                          </w:rPr>
                          <w:t>45 321</w:t>
                        </w:r>
                      </w:p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b/>
                            <w:bCs/>
                            <w:szCs w:val="24"/>
                            <w:lang w:val="en-US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val="en-US"/>
                          </w:rPr>
                          <w:t>47 321</w:t>
                        </w:r>
                      </w:p>
                    </w:tc>
                  </w:tr>
                  <w:tr>
                    <w:tc>
                      <w:tcPr>
                        <w:tcW w:w="696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Eil. Nr.</w:t>
                        </w:r>
                      </w:p>
                    </w:tc>
                    <w:tc>
                      <w:tcPr>
                        <w:tcW w:w="7568" w:type="dxa"/>
                      </w:tcPr>
                      <w:p>
                        <w:pPr>
                          <w:ind w:firstLine="312"/>
                          <w:jc w:val="center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(3) Kitoms Programos priemonėms skirtinos lėšos</w:t>
                        </w:r>
                      </w:p>
                    </w:tc>
                    <w:tc>
                      <w:tcPr>
                        <w:tcW w:w="1364" w:type="dxa"/>
                      </w:tcPr>
                      <w:p>
                        <w:pPr>
                          <w:jc w:val="center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Lėšos, Eur</w:t>
                        </w:r>
                      </w:p>
                    </w:tc>
                  </w:tr>
                  <w:tr>
                    <w:tc>
                      <w:tcPr>
                        <w:tcW w:w="696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1.13.</w:t>
                        </w:r>
                      </w:p>
                    </w:tc>
                    <w:tc>
                      <w:tcPr>
                        <w:tcW w:w="7568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80 procentų Savivaldybių aplinkos apsaugos rėmimo specialiosios programos lėšų, neįskaitant įplaukų už medžioklės plotų naudotojų mokesčius, mokamus įstatymų nustatytomis proporcijomis ir tvarka už medžiojamųjų gyvūnų išteklių naudojimą</w:t>
                        </w:r>
                      </w:p>
                    </w:tc>
                    <w:tc>
                      <w:tcPr>
                        <w:tcW w:w="1364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trike/>
                            <w:szCs w:val="24"/>
                            <w:lang w:val="en-US"/>
                          </w:rPr>
                        </w:pPr>
                        <w:r>
                          <w:rPr>
                            <w:strike/>
                            <w:szCs w:val="24"/>
                            <w:lang w:val="en-US"/>
                          </w:rPr>
                          <w:t>136 000</w:t>
                        </w:r>
                      </w:p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b/>
                            <w:bCs/>
                            <w:szCs w:val="24"/>
                            <w:lang w:val="en-US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val="en-US"/>
                          </w:rPr>
                          <w:t>144 000</w:t>
                        </w:r>
                      </w:p>
                    </w:tc>
                  </w:tr>
                  <w:tr>
                    <w:tc>
                      <w:tcPr>
                        <w:tcW w:w="696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1.14.</w:t>
                        </w:r>
                      </w:p>
                    </w:tc>
                    <w:tc>
                      <w:tcPr>
                        <w:tcW w:w="7568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Ankstesnio ataskaitinio laikotarpio ataskaitos atitinkamų lėšų likutis </w:t>
                        </w:r>
                      </w:p>
                    </w:tc>
                    <w:tc>
                      <w:tcPr>
                        <w:tcW w:w="1364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43 906</w:t>
                        </w:r>
                      </w:p>
                    </w:tc>
                  </w:tr>
                  <w:tr>
                    <w:tc>
                      <w:tcPr>
                        <w:tcW w:w="696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1.15.</w:t>
                        </w:r>
                      </w:p>
                    </w:tc>
                    <w:tc>
                      <w:tcPr>
                        <w:tcW w:w="7568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Iš viso (1.13 + 1.14):</w:t>
                        </w:r>
                      </w:p>
                    </w:tc>
                    <w:tc>
                      <w:tcPr>
                        <w:tcW w:w="1364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trike/>
                            <w:szCs w:val="24"/>
                          </w:rPr>
                        </w:pPr>
                        <w:r>
                          <w:rPr>
                            <w:strike/>
                            <w:szCs w:val="24"/>
                          </w:rPr>
                          <w:t>179 906</w:t>
                        </w:r>
                      </w:p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187 906</w:t>
                        </w:r>
                      </w:p>
                    </w:tc>
                  </w:tr>
                </w:tbl>
                <w:p>
                  <w:pPr>
                    <w:widowControl w:val="0"/>
                    <w:suppressAutoHyphens/>
                    <w:rPr>
                      <w:rFonts w:ascii="Thorndale" w:hAnsi="Thorndale" w:cs="Tahoma"/>
                      <w:b/>
                      <w:szCs w:val="24"/>
                    </w:rPr>
                  </w:pPr>
                </w:p>
                <w:p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2 p."/>
                <w:tag w:val="part_fb3224d9e58f47938ca812a4827e5f90"/>
                <w:lock w:val="sdtLocked"/>
                <w:richText/>
              </w:sdtPr>
              <w:sdtContent>
                <w:p>
                  <w:pPr>
                    <w:widowControl w:val="0"/>
                    <w:suppressAutoHyphens/>
                    <w:rPr>
                      <w:rFonts w:cs="Tahoma"/>
                      <w:b/>
                      <w:szCs w:val="24"/>
                    </w:rPr>
                  </w:pPr>
                  <w:sdt>
                    <w:sdtPr>
                      <w:alias w:val="Numeris"/>
                      <w:tag w:val="nr_fb3224d9e58f47938ca812a4827e5f90"/>
                      <w:lock w:val="sdtLocked"/>
                      <w:richText/>
                    </w:sdtPr>
                    <w:sdtContent>
                      <w:r>
                        <w:rPr>
                          <w:rFonts w:ascii="Thorndale" w:hAnsi="Thorndale" w:cs="Tahoma"/>
                          <w:b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rFonts w:ascii="Thorndale" w:hAnsi="Thorndale" w:cs="Tahoma"/>
                      <w:b/>
                      <w:szCs w:val="24"/>
                    </w:rPr>
                    <w:t xml:space="preserve">. </w:t>
                  </w:r>
                  <w:r>
                    <w:rPr>
                      <w:rFonts w:cs="Tahoma"/>
                      <w:b/>
                      <w:szCs w:val="24"/>
                    </w:rPr>
                    <w:t>Priemonės, kurioms finansuoti naudojamos lėšos, surinktos už medžiojamųjų gyvūnų išteklių naudojimą</w:t>
                  </w:r>
                </w:p>
                <w:p>
                  <w:pPr>
                    <w:rPr>
                      <w:sz w:val="10"/>
                      <w:szCs w:val="10"/>
                    </w:rPr>
                  </w:pP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1E0" w:firstRow="1" w:lastRow="1" w:firstColumn="1" w:lastColumn="1" w:noHBand="0" w:noVBand="0"/>
                  </w:tblPr>
                  <w:tblGrid>
                    <w:gridCol w:w="756"/>
                    <w:gridCol w:w="2783"/>
                    <w:gridCol w:w="4721"/>
                    <w:gridCol w:w="1368"/>
                  </w:tblGrid>
                  <w:tr>
                    <w:tc>
                      <w:tcPr>
                        <w:tcW w:w="756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Eil. Nr.</w:t>
                        </w:r>
                      </w:p>
                    </w:tc>
                    <w:tc>
                      <w:tcPr>
                        <w:tcW w:w="2783" w:type="dxa"/>
                      </w:tcPr>
                      <w:p>
                        <w:pPr>
                          <w:widowControl w:val="0"/>
                          <w:suppressAutoHyphens/>
                          <w:rPr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Priemonės pavadinimas</w:t>
                        </w:r>
                      </w:p>
                    </w:tc>
                    <w:tc>
                      <w:tcPr>
                        <w:tcW w:w="4721" w:type="dxa"/>
                      </w:tcPr>
                      <w:p>
                        <w:pPr>
                          <w:widowControl w:val="0"/>
                          <w:suppressAutoHyphens/>
                          <w:ind w:firstLine="312"/>
                          <w:jc w:val="both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Detalus priemonės vykdymo aprašymas</w:t>
                        </w:r>
                      </w:p>
                    </w:tc>
                    <w:tc>
                      <w:tcPr>
                        <w:tcW w:w="1368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Pagal sąmatą lėšų poreikis, Eur</w:t>
                        </w:r>
                      </w:p>
                    </w:tc>
                  </w:tr>
                  <w:tr>
                    <w:tc>
                      <w:tcPr>
                        <w:tcW w:w="756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2.1.</w:t>
                        </w:r>
                      </w:p>
                    </w:tc>
                    <w:tc>
                      <w:tcPr>
                        <w:tcW w:w="7504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ind w:firstLine="312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Miško sklypų, kuriuose medžioklė nėra uždrausta, savininkų, valdytojų ir naudotojų, įgyvendinamos žalos prevencijos priemonės, kuriomis jie siekia išvengti medžiojamųjų gyvūnų daromos žalos miškui</w:t>
                        </w:r>
                      </w:p>
                    </w:tc>
                    <w:tc>
                      <w:tcPr>
                        <w:tcW w:w="1368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756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2.1.1.</w:t>
                        </w:r>
                      </w:p>
                    </w:tc>
                    <w:tc>
                      <w:tcPr>
                        <w:tcW w:w="2783" w:type="dxa"/>
                      </w:tcPr>
                      <w:p>
                        <w:pPr>
                          <w:widowControl w:val="0"/>
                          <w:suppressAutoHyphens/>
                          <w:ind w:firstLine="312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Miškų valdytojų ir savininkų repelentų įsigijimas, miške esančių želdinių ir žėlinių apdorojimo repelentais darbai, miškų aptvėrimo tvoromis darbai ir šiems darbams atlikti reikalingų medžiagų įsigijimas  </w:t>
                        </w:r>
                      </w:p>
                    </w:tc>
                    <w:tc>
                      <w:tcPr>
                        <w:tcW w:w="4721" w:type="dxa"/>
                      </w:tcPr>
                      <w:p>
                        <w:pPr>
                          <w:widowControl w:val="0"/>
                          <w:suppressAutoHyphens/>
                          <w:ind w:firstLine="312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Asignavimų valdytojas – Radviliškio rajono savivaldybės administracija, atsakingas – Žemės ūkio skyrius. Vykdytojas – VĮ Valstybinių miškų urėdija Radviliškio regioninis padalinys. Vykdymo pradžia 2025 m. I ketv., pabaiga – 2025 m. IV ketv.</w:t>
                        </w:r>
                      </w:p>
                    </w:tc>
                    <w:tc>
                      <w:tcPr>
                        <w:tcW w:w="1368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60 000</w:t>
                        </w:r>
                      </w:p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756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2.1.2.</w:t>
                        </w:r>
                      </w:p>
                    </w:tc>
                    <w:tc>
                      <w:tcPr>
                        <w:tcW w:w="2783" w:type="dxa"/>
                      </w:tcPr>
                      <w:p>
                        <w:pPr>
                          <w:widowControl w:val="0"/>
                          <w:suppressAutoHyphens/>
                          <w:ind w:firstLine="312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Miškų valdytojų ir savininkų,</w:t>
                        </w:r>
                        <w:r>
                          <w:rPr>
                            <w:kern w:val="2"/>
                            <w:sz w:val="28"/>
                            <w:szCs w:val="28"/>
                            <w14:ligatures w14:val="standardContextual"/>
                          </w:rPr>
                          <w:t xml:space="preserve"> ž</w:t>
                        </w:r>
                        <w:r>
                          <w:rPr>
                            <w:szCs w:val="24"/>
                          </w:rPr>
                          <w:t xml:space="preserve">emės sklypų, kuriuose neuždrausta medžioklė, savininkų, valdytojų ir naudotojų įgyvendinamos priemonės, repelentų įsigijimas, želdinių ir žėlinių apdorojimo repelentais darbai, aptvėrimo tvoromis darbai ir šiems darbams atlikti reikalingų medžiagų įsigijimas; medelių individualių apsaugos priemonių pirkimas ir jų įrengimas  </w:t>
                        </w:r>
                      </w:p>
                    </w:tc>
                    <w:tc>
                      <w:tcPr>
                        <w:tcW w:w="4721" w:type="dxa"/>
                      </w:tcPr>
                      <w:p>
                        <w:pPr>
                          <w:widowControl w:val="0"/>
                          <w:suppressAutoHyphens/>
                          <w:ind w:firstLine="312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Asignavimų valdytojas – Radviliškio rajono savivaldybės administracija, atsakingas – Žemės ūkio skyrius. Vykdytojas –                     . Vykdymo pradžia 2025 m. I ketv., pabaiga – 2025 m. IV ketv.</w:t>
                        </w:r>
                      </w:p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(Vykdoma esant poreikiui, pateikus paraišką)</w:t>
                        </w:r>
                      </w:p>
                    </w:tc>
                    <w:tc>
                      <w:tcPr>
                        <w:tcW w:w="1368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27 095</w:t>
                        </w:r>
                      </w:p>
                    </w:tc>
                  </w:tr>
                  <w:tr>
                    <w:tc>
                      <w:tcPr>
                        <w:tcW w:w="756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2.2.</w:t>
                        </w:r>
                      </w:p>
                    </w:tc>
                    <w:tc>
                      <w:tcPr>
                        <w:tcW w:w="7504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ind w:firstLine="312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Kartografinės ir kitos medžiagos, reikalingos pagal Medžioklės įstatymo reikalavimus rengiamiems medžioklės plotų vienetų sudarymo ar jų ribų pakeitimo projektų parengimo priemonės</w:t>
                        </w:r>
                      </w:p>
                    </w:tc>
                    <w:tc>
                      <w:tcPr>
                        <w:tcW w:w="1368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756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2.2.1.</w:t>
                        </w:r>
                      </w:p>
                    </w:tc>
                    <w:tc>
                      <w:tcPr>
                        <w:tcW w:w="2783" w:type="dxa"/>
                      </w:tcPr>
                      <w:p>
                        <w:pPr>
                          <w:widowControl w:val="0"/>
                          <w:suppressAutoHyphens/>
                          <w:ind w:firstLine="312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Kartografinės ir kitos medžiagos, reikalingos pagal Medžioklės įstatymo reikalavimus rengiamiems medžioklės plotų vienetų sudarymo ar jų ribų pakeitimo projektams parengti, pirkimas</w:t>
                        </w:r>
                      </w:p>
                    </w:tc>
                    <w:tc>
                      <w:tcPr>
                        <w:tcW w:w="4721" w:type="dxa"/>
                      </w:tcPr>
                      <w:p>
                        <w:pPr>
                          <w:widowControl w:val="0"/>
                          <w:suppressAutoHyphens/>
                          <w:ind w:firstLine="312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Asignavimų valdytojas – Radviliškio rajono savivaldybės administracija, atsakingas – Žemės ūkio skyrius. Vykdytojas –                     . Vykdymo pradžia 2025 m. I ketv., pabaiga – 2025 m. IV ketv.</w:t>
                        </w:r>
                      </w:p>
                      <w:p>
                        <w:pPr>
                          <w:widowControl w:val="0"/>
                          <w:suppressAutoHyphens/>
                          <w:ind w:firstLine="312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(Vykdoma esant poreikiui, pateikus paraišką)</w:t>
                        </w:r>
                      </w:p>
                    </w:tc>
                    <w:tc>
                      <w:tcPr>
                        <w:tcW w:w="1368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10 000</w:t>
                        </w:r>
                      </w:p>
                    </w:tc>
                  </w:tr>
                  <w:tr>
                    <w:tc>
                      <w:tcPr>
                        <w:tcW w:w="756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...</w:t>
                        </w:r>
                      </w:p>
                    </w:tc>
                    <w:tc>
                      <w:tcPr>
                        <w:tcW w:w="2783" w:type="dxa"/>
                      </w:tcPr>
                      <w:p>
                        <w:pPr>
                          <w:widowControl w:val="0"/>
                          <w:suppressAutoHyphens/>
                          <w:ind w:firstLine="312"/>
                          <w:jc w:val="both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4721" w:type="dxa"/>
                      </w:tcPr>
                      <w:p>
                        <w:pPr>
                          <w:widowControl w:val="0"/>
                          <w:suppressAutoHyphens/>
                          <w:ind w:firstLine="312"/>
                          <w:jc w:val="both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368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756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7504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Iš viso: </w:t>
                        </w:r>
                      </w:p>
                    </w:tc>
                    <w:tc>
                      <w:tcPr>
                        <w:tcW w:w="1368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97 095</w:t>
                        </w:r>
                      </w:p>
                    </w:tc>
                  </w:tr>
                </w:tbl>
                <w:p/>
              </w:sdtContent>
            </w:sdt>
            <w:sdt>
              <w:sdtPr>
                <w:alias w:val="3 p."/>
                <w:tag w:val="part_9cf94c93d45c4c908cf948610c5d43ab"/>
                <w:lock w:val="sdtLocked"/>
                <w:richText/>
              </w:sdtPr>
              <w:sdtContent>
                <w:p>
                  <w:pPr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9cf94c93d45c4c908cf948610c5d43a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b/>
                      <w:szCs w:val="24"/>
                    </w:rPr>
                    <w:t>. Programos lėšos, skirtos Savivaldybės visuomenės sveikatos rėmimo specialiajai programai</w:t>
                  </w:r>
                </w:p>
                <w:tbl>
                  <w:tblPr>
                    <w:tblW w:w="9889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1E0" w:firstRow="1" w:lastRow="1" w:firstColumn="1" w:lastColumn="1" w:noHBand="0" w:noVBand="0"/>
                  </w:tblPr>
                  <w:tblGrid>
                    <w:gridCol w:w="7621"/>
                    <w:gridCol w:w="2268"/>
                  </w:tblGrid>
                  <w:tr>
                    <w:tc>
                      <w:tcPr>
                        <w:tcW w:w="7621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Programos pavadinimas</w:t>
                        </w:r>
                      </w:p>
                    </w:tc>
                    <w:tc>
                      <w:tcPr>
                        <w:tcW w:w="2268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Pagal sąmatą lėšų poreikis, Eur</w:t>
                        </w:r>
                      </w:p>
                    </w:tc>
                  </w:tr>
                  <w:tr>
                    <w:trPr>
                      <w:trHeight w:val="312"/>
                    </w:trPr>
                    <w:tc>
                      <w:tcPr>
                        <w:tcW w:w="7621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Savivaldybės visuomenės sveikatos rėmimo specialioji programa</w:t>
                        </w:r>
                      </w:p>
                    </w:tc>
                    <w:tc>
                      <w:tcPr>
                        <w:tcW w:w="2268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trike/>
                            <w:szCs w:val="24"/>
                          </w:rPr>
                        </w:pPr>
                        <w:r>
                          <w:rPr>
                            <w:strike/>
                            <w:szCs w:val="24"/>
                          </w:rPr>
                          <w:t>45 321</w:t>
                        </w:r>
                      </w:p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47 321</w:t>
                        </w:r>
                      </w:p>
                    </w:tc>
                  </w:tr>
                </w:tbl>
                <w:p>
                  <w:pPr>
                    <w:jc w:val="both"/>
                    <w:rPr>
                      <w:b/>
                      <w:szCs w:val="24"/>
                    </w:rPr>
                  </w:pPr>
                </w:p>
              </w:sdtContent>
            </w:sdt>
            <w:sdt>
              <w:sdtPr>
                <w:alias w:val="4 p."/>
                <w:tag w:val="part_d961fdc2672e44b38999854a9c560565"/>
                <w:lock w:val="sdtLocked"/>
                <w:richText/>
              </w:sdtPr>
              <w:sdtContent>
                <w:p>
                  <w:pPr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d961fdc2672e44b38999854a9c56056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b/>
                      <w:szCs w:val="24"/>
                    </w:rPr>
                    <w:t>. Kitos aplinkosaugos priemonės, kurioms įgyvendinti panaudotos Programos lėšos</w:t>
                  </w: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1E0" w:firstRow="1" w:lastRow="1" w:firstColumn="1" w:lastColumn="1" w:noHBand="0" w:noVBand="0"/>
                  </w:tblPr>
                  <w:tblGrid>
                    <w:gridCol w:w="869"/>
                    <w:gridCol w:w="2592"/>
                    <w:gridCol w:w="4801"/>
                    <w:gridCol w:w="6"/>
                    <w:gridCol w:w="1360"/>
                  </w:tblGrid>
                  <w:tr>
                    <w:trPr>
                      <w:tblHeader/>
                    </w:trPr>
                    <w:tc>
                      <w:tcPr>
                        <w:tcW w:w="869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Eil. Nr.</w:t>
                        </w:r>
                      </w:p>
                    </w:tc>
                    <w:tc>
                      <w:tcPr>
                        <w:tcW w:w="2592" w:type="dxa"/>
                      </w:tcPr>
                      <w:p>
                        <w:pPr>
                          <w:widowControl w:val="0"/>
                          <w:suppressAutoHyphens/>
                          <w:rPr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Priemonės pavadinimas</w:t>
                        </w:r>
                      </w:p>
                    </w:tc>
                    <w:tc>
                      <w:tcPr>
                        <w:tcW w:w="4807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ind w:firstLine="312"/>
                          <w:jc w:val="both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Detalus priemonės vykdymo aprašymas</w:t>
                        </w:r>
                      </w:p>
                    </w:tc>
                    <w:tc>
                      <w:tcPr>
                        <w:tcW w:w="1360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Pagal sąmatą lėšų poreikis, Eur</w:t>
                        </w:r>
                      </w:p>
                    </w:tc>
                  </w:tr>
                  <w:tr>
                    <w:tc>
                      <w:tcPr>
                        <w:tcW w:w="869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4.1.</w:t>
                        </w:r>
                      </w:p>
                    </w:tc>
                    <w:tc>
                      <w:tcPr>
                        <w:tcW w:w="7399" w:type="dxa"/>
                        <w:gridSpan w:val="3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Aplinkos kokybės gerinimo ir apsaugos priemonės</w:t>
                        </w:r>
                      </w:p>
                    </w:tc>
                    <w:tc>
                      <w:tcPr>
                        <w:tcW w:w="1360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869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4.1.1.</w:t>
                        </w:r>
                      </w:p>
                    </w:tc>
                    <w:tc>
                      <w:tcPr>
                        <w:tcW w:w="2592" w:type="dxa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Teršalų, išmetamų į atmosferą, vandenį, žemės paviršių ir gilesnius jo sluoksnius, mažinimo įrenginių (pvz., nuotekų ir lietaus surinkimo, valymo, vandens tiekimo sistemos ir jų elementai) įsigijimo, projektavimo, statybos, remonto, rekonstravimo darbų finansavimas </w:t>
                        </w:r>
                        <w:r>
                          <w:rPr>
                            <w:b/>
                            <w:i/>
                            <w:szCs w:val="24"/>
                          </w:rPr>
                          <w:t>(B</w:t>
                        </w:r>
                        <w:r>
                          <w:rPr>
                            <w:b/>
                            <w:bCs/>
                            <w:i/>
                            <w:szCs w:val="24"/>
                          </w:rPr>
                          <w:t>aisogalos</w:t>
                        </w:r>
                        <w:r>
                          <w:rPr>
                            <w:b/>
                            <w:i/>
                            <w:szCs w:val="24"/>
                          </w:rPr>
                          <w:t xml:space="preserve"> – paviršinių vandens nuotekų tinklų atskyrimas nuo buitinių nuotekų tinklų)</w:t>
                        </w:r>
                      </w:p>
                    </w:tc>
                    <w:tc>
                      <w:tcPr>
                        <w:tcW w:w="4807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Asignavimų valdytojas – Radviliškio rajono savivaldybės administracija, atsakingas – Investicijų ir turto skyrius. Vykdytojas – Investicijų ir turto skyrius. Vykdymo pradžia 2025 m. I ketv., pabaiga – 2025 m. IV ketv. (Dotacija UAB „Radviliškio vanduo“)</w:t>
                        </w:r>
                      </w:p>
                    </w:tc>
                    <w:tc>
                      <w:tcPr>
                        <w:tcW w:w="1360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30 000</w:t>
                        </w:r>
                      </w:p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869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4.1.2.</w:t>
                        </w:r>
                      </w:p>
                    </w:tc>
                    <w:tc>
                      <w:tcPr>
                        <w:tcW w:w="2592" w:type="dxa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Teršalų, išmetamų į atmosferą, vandenį, žemės paviršių ir gilesnius jo sluoksnius, mažinimo įrenginių (pvz., nuotekų ir lietaus surinkimo, valymo, vandens tiekimo sistemos ir jų elementai) įsigijimo, projektavimo, statybos, remonto, rekonstravimo darbų finansavimas </w:t>
                        </w:r>
                        <w:r>
                          <w:rPr>
                            <w:b/>
                            <w:szCs w:val="24"/>
                          </w:rPr>
                          <w:t>(</w:t>
                        </w:r>
                        <w:r>
                          <w:rPr>
                            <w:b/>
                            <w:i/>
                            <w:szCs w:val="24"/>
                          </w:rPr>
                          <w:t xml:space="preserve">Radviliškio rajono savivaldybės teritorijoje –  nuotekų surinkimo, valymo ir vandens tiekimo sistemos ir jų elementai, naujų tinklų tiesimas – prisidėjimas prie socialinių būstų</w:t>
                        </w:r>
                        <w:r>
                          <w:rPr>
                            <w:b/>
                            <w:szCs w:val="24"/>
                          </w:rPr>
                          <w:t>)</w:t>
                        </w:r>
                      </w:p>
                    </w:tc>
                    <w:tc>
                      <w:tcPr>
                        <w:tcW w:w="4807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Asignavimų valdytojas – Radviliškio rajono savivaldybės administracija, atsakingas – Investicijų ir turto skyrius. Vykdytojas – Investicijų ir turto skyrius. Vykdymo pradžia 2025 m. I ketv., pabaiga – 2025 m. IV ketv. (Dotacija UAB „Radviliškio vanduo“)</w:t>
                        </w:r>
                      </w:p>
                    </w:tc>
                    <w:tc>
                      <w:tcPr>
                        <w:tcW w:w="1360" w:type="dxa"/>
                      </w:tcPr>
                      <w:p>
                        <w:pPr>
                          <w:widowControl w:val="0"/>
                          <w:suppressAutoHyphens/>
                          <w:ind w:firstLine="62"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4 000</w:t>
                        </w:r>
                      </w:p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rPr>
                      <w:trHeight w:val="2513"/>
                    </w:trPr>
                    <w:tc>
                      <w:tcPr>
                        <w:tcW w:w="869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4.1.3.</w:t>
                        </w:r>
                      </w:p>
                    </w:tc>
                    <w:tc>
                      <w:tcPr>
                        <w:tcW w:w="2592" w:type="dxa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Teršalų, išmetamų į atmosferą, vandenį, žemės paviršių ir gilesnius jo sluoksnius, mažinimo įrenginių (pvz., nuotekų ir lietaus surinkimo, valymo, vandens tiekimo sistemos ir jų elementai) įsigijimo, projektavimo, statybos, remonto, rekonstravimo darbų finansavimas </w:t>
                        </w:r>
                        <w:r>
                          <w:rPr>
                            <w:b/>
                            <w:i/>
                            <w:szCs w:val="24"/>
                          </w:rPr>
                          <w:t>(Polekėlės k. – buitinių nuotekų tinklų rekonstrukcija ir nuotekų siurblinės įrengimas)</w:t>
                        </w:r>
                      </w:p>
                    </w:tc>
                    <w:tc>
                      <w:tcPr>
                        <w:tcW w:w="4807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Asignavimų valdytojas – Radviliškio rajono savivaldybės administracija, atsakingas – Investicijų ir turto skyrius. Vykdytojas – Investicijų ir turto skyrius. Vykdymo pradžia 2025 m. I ketv., pabaiga – 2025 m. IV ketv. (Dotacija UAB „Radviliškio vanduo“)</w:t>
                        </w:r>
                      </w:p>
                    </w:tc>
                    <w:tc>
                      <w:tcPr>
                        <w:tcW w:w="1360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15 000</w:t>
                        </w:r>
                      </w:p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rPr>
                      <w:trHeight w:val="2513"/>
                    </w:trPr>
                    <w:tc>
                      <w:tcPr>
                        <w:tcW w:w="869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4.1.4.</w:t>
                        </w:r>
                      </w:p>
                    </w:tc>
                    <w:tc>
                      <w:tcPr>
                        <w:tcW w:w="2592" w:type="dxa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Smėlio, druskos ir purvo mišinio, kuris didina kietųjų dalelių koncentraciją aplinkos ore, surinkimo iš miestų gatvių ir šalinimo darbų, atliekamų tik pavasario laikotarpiu, finansavimas</w:t>
                        </w:r>
                      </w:p>
                    </w:tc>
                    <w:tc>
                      <w:tcPr>
                        <w:tcW w:w="4807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Asignavimų valdytojas – Radviliškio rajono savivaldybės administracija, atsakingas – Radviliškio miesto seniūnija. Vykdytojas – Radviliškio miesto seniūnija. Vykdymo pradžia 2025 m. I ketv., pabaiga – 2025 m. II ketv.</w:t>
                        </w:r>
                      </w:p>
                    </w:tc>
                    <w:tc>
                      <w:tcPr>
                        <w:tcW w:w="1360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1 500</w:t>
                        </w:r>
                      </w:p>
                      <w:p>
                        <w:pPr>
                          <w:widowControl w:val="0"/>
                          <w:suppressAutoHyphens/>
                          <w:ind w:firstLine="62"/>
                          <w:jc w:val="center"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rPr>
                      <w:trHeight w:val="2027"/>
                    </w:trPr>
                    <w:tc>
                      <w:tcPr>
                        <w:tcW w:w="869" w:type="dxa"/>
                        <w:vMerge w:val="restart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4.1.5.</w:t>
                        </w:r>
                      </w:p>
                    </w:tc>
                    <w:tc>
                      <w:tcPr>
                        <w:tcW w:w="2592" w:type="dxa"/>
                        <w:vMerge w:val="restart"/>
                      </w:tcPr>
                      <w:p>
                        <w:pPr>
                          <w:snapToGrid w:val="0"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Teritorijoje esančių valstybės saugomų teritorijų apsaugos ir tvarkymo darbai (šienavimas, menkaverčių krūmų iškirtimas)</w:t>
                        </w:r>
                      </w:p>
                    </w:tc>
                    <w:tc>
                      <w:tcPr>
                        <w:tcW w:w="4807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Asignavimų valdytojas – Radviliškio rajono savivaldybės administracija, atsakingas – Šaukoto seniūnija. Vykdytojas – Šaukoto seniūnija. Vykdymo pradžia 2025 m. I ketv., pabaiga – 2025 m. IV ketv.</w:t>
                        </w:r>
                      </w:p>
                    </w:tc>
                    <w:tc>
                      <w:tcPr>
                        <w:tcW w:w="1360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trike/>
                            <w:szCs w:val="24"/>
                          </w:rPr>
                        </w:pPr>
                        <w:r>
                          <w:rPr>
                            <w:strike/>
                            <w:szCs w:val="24"/>
                          </w:rPr>
                          <w:t>2 000</w:t>
                        </w:r>
                      </w:p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3 500</w:t>
                        </w:r>
                      </w:p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rPr>
                      <w:trHeight w:val="2027"/>
                    </w:trPr>
                    <w:tc>
                      <w:tcPr>
                        <w:tcW w:w="869" w:type="dxa"/>
                        <w:vMerge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2592" w:type="dxa"/>
                        <w:vMerge/>
                      </w:tcPr>
                      <w:p>
                        <w:pPr>
                          <w:snapToGrid w:val="0"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807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Asignavimų valdytojas – Radviliškio rajono savivaldybės administracija, atsakingas – Šiaulėnų seniūnija. Vykdytojas – Šiaulėnų seniūnija. Vykdymo pradžia 2025 m. I ketv., pabaiga – 2025 m. IV ketv.</w:t>
                        </w:r>
                      </w:p>
                    </w:tc>
                    <w:tc>
                      <w:tcPr>
                        <w:tcW w:w="1360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500</w:t>
                        </w:r>
                      </w:p>
                    </w:tc>
                  </w:tr>
                  <w:tr>
                    <w:trPr>
                      <w:trHeight w:val="443"/>
                    </w:trPr>
                    <w:tc>
                      <w:tcPr>
                        <w:tcW w:w="869" w:type="dxa"/>
                        <w:vMerge w:val="restart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4.1.6.</w:t>
                        </w:r>
                      </w:p>
                    </w:tc>
                    <w:tc>
                      <w:tcPr>
                        <w:tcW w:w="2592" w:type="dxa"/>
                        <w:vMerge w:val="restart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Invazinių Lietuvoje rūšių sąraše esančių rūšių</w:t>
                        </w:r>
                        <w:r>
                          <w:rPr>
                            <w:szCs w:val="24"/>
                            <w:lang w:val="en-US"/>
                          </w:rPr>
                          <w:t xml:space="preserve"> </w:t>
                        </w:r>
                        <w:r>
                          <w:rPr>
                            <w:szCs w:val="24"/>
                          </w:rPr>
                          <w:t>gausos reguliavimo ir naikinimo darbai</w:t>
                        </w:r>
                      </w:p>
                    </w:tc>
                    <w:tc>
                      <w:tcPr>
                        <w:tcW w:w="4807" w:type="dxa"/>
                        <w:gridSpan w:val="2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Asignavimų valdytojas – Radviliškio rajono savivaldybės administracija, atsakingas – Radviliškio miesto seniūnija. Vykdytojas – Radviliškio miesto seniūnija. Vykdymo pradžia 2025 m. I ketv., pabaiga – 2025 m. IV ketv.</w:t>
                        </w:r>
                      </w:p>
                    </w:tc>
                    <w:tc>
                      <w:tcPr>
                        <w:tcW w:w="1360" w:type="dxa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2 000</w:t>
                        </w:r>
                      </w:p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rPr>
                      <w:trHeight w:val="780"/>
                    </w:trPr>
                    <w:tc>
                      <w:tcPr>
                        <w:tcW w:w="869" w:type="dxa"/>
                        <w:vMerge/>
                        <w:tcBorders>
                          <w:left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2592" w:type="dxa"/>
                        <w:vMerge/>
                        <w:tcBorders>
                          <w:left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4807" w:type="dxa"/>
                        <w:gridSpan w:val="2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Asignavimų valdytojas – Radviliškio rajono savivaldybės administracija, atsakingas – Skėmių seniūnija. Vykdytojas – Skėmių seniūnija. Vykdymo pradžia 2025 m. I ketv., pabaiga – 2025 m. IV ketv.</w:t>
                        </w:r>
                      </w:p>
                    </w:tc>
                    <w:tc>
                      <w:tcPr>
                        <w:tcW w:w="1360" w:type="dxa"/>
                        <w:tcBorders>
                          <w:left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1 000</w:t>
                        </w:r>
                      </w:p>
                    </w:tc>
                  </w:tr>
                  <w:tr>
                    <w:trPr>
                      <w:trHeight w:val="780"/>
                    </w:trPr>
                    <w:tc>
                      <w:tcPr>
                        <w:tcW w:w="869" w:type="dxa"/>
                        <w:vMerge/>
                        <w:tcBorders>
                          <w:left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2592" w:type="dxa"/>
                        <w:vMerge/>
                        <w:tcBorders>
                          <w:left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4807" w:type="dxa"/>
                        <w:gridSpan w:val="2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Asignavimų valdytojas – Radviliškio rajono savivaldybės administracija, atsakingas – Grinkiškio seniūnija. Vykdytojas – Grinkiškio seniūnija. Vykdymo pradžia 2025 m. I ketv., pabaiga – 2025 m. IV ketv.</w:t>
                        </w:r>
                      </w:p>
                    </w:tc>
                    <w:tc>
                      <w:tcPr>
                        <w:tcW w:w="1360" w:type="dxa"/>
                        <w:tcBorders>
                          <w:left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2 000</w:t>
                        </w:r>
                      </w:p>
                    </w:tc>
                  </w:tr>
                  <w:tr>
                    <w:trPr>
                      <w:trHeight w:val="278"/>
                    </w:trPr>
                    <w:tc>
                      <w:tcPr>
                        <w:tcW w:w="869" w:type="dxa"/>
                        <w:vMerge w:val="restart"/>
                        <w:tcBorders>
                          <w:left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4.1.7.</w:t>
                        </w:r>
                      </w:p>
                    </w:tc>
                    <w:tc>
                      <w:tcPr>
                        <w:tcW w:w="2592" w:type="dxa"/>
                        <w:vMerge w:val="restart"/>
                        <w:tcBorders>
                          <w:left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Varninių paukščių  gausos reguliavimas</w:t>
                        </w:r>
                      </w:p>
                    </w:tc>
                    <w:tc>
                      <w:tcPr>
                        <w:tcW w:w="4807" w:type="dxa"/>
                        <w:gridSpan w:val="2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Asignavimų valdytojas – Radviliškio rajono savivaldybės administracija, atsakingas – Radviliškio miesto seniūnija. Vykdytojas – Radviliškio miesto seniūnija. Vykdymo pradžia 2025 m. I ketv. (iki kovo 1 d.), pabaiga – 2025 m. IV ketv. (nuo liepos 1 d.) </w:t>
                        </w:r>
                      </w:p>
                    </w:tc>
                    <w:tc>
                      <w:tcPr>
                        <w:tcW w:w="1360" w:type="dxa"/>
                        <w:tcBorders>
                          <w:left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1 500</w:t>
                        </w:r>
                      </w:p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rPr>
                      <w:trHeight w:val="277"/>
                    </w:trPr>
                    <w:tc>
                      <w:tcPr>
                        <w:tcW w:w="869" w:type="dxa"/>
                        <w:vMerge/>
                        <w:tcBorders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2592" w:type="dxa"/>
                        <w:vMerge/>
                        <w:tcBorders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4807" w:type="dxa"/>
                        <w:gridSpan w:val="2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Asignavimų valdytojas – Radviliškio rajono savivaldybės administracija, atsakingas – Šeduvos miesto seniūnija. Vykdytojas – Šeduvos miesto seniūnija. Vykdymo pradžia 2025 m. I ketv. (iki kovo 1 d.), pabaiga – 2025 m. IV ketv. (nuo liepos 1 d.) </w:t>
                        </w:r>
                      </w:p>
                    </w:tc>
                    <w:tc>
                      <w:tcPr>
                        <w:tcW w:w="1360" w:type="dxa"/>
                        <w:tcBorders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suppressAutoHyphens/>
                          <w:ind w:firstLine="62"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1 500</w:t>
                        </w:r>
                      </w:p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869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4.2.</w:t>
                        </w:r>
                      </w:p>
                    </w:tc>
                    <w:tc>
                      <w:tcPr>
                        <w:tcW w:w="7399" w:type="dxa"/>
                        <w:gridSpan w:val="3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Atliekų tvarkymo infrastruktūros plėtros priemonės</w:t>
                        </w:r>
                      </w:p>
                    </w:tc>
                    <w:tc>
                      <w:tcPr>
                        <w:tcW w:w="1360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rPr>
                      <w:trHeight w:val="508"/>
                    </w:trPr>
                    <w:tc>
                      <w:tcPr>
                        <w:tcW w:w="869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4.2.1.</w:t>
                        </w:r>
                      </w:p>
                    </w:tc>
                    <w:tc>
                      <w:tcPr>
                        <w:tcW w:w="2592" w:type="dxa"/>
                      </w:tcPr>
                      <w:p>
                        <w:pPr>
                          <w:widowControl w:val="0"/>
                          <w:suppressAutoHyphens/>
                          <w:rPr>
                            <w:rFonts w:ascii="Thorndale" w:hAnsi="Thorndale" w:cs="Tahoma"/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Atliekų surinkimo iš viešųjų teritorijų priemonių (šiukšlių dėžės) įsigijimas ir įrengimas;</w:t>
                        </w:r>
                      </w:p>
                    </w:tc>
                    <w:tc>
                      <w:tcPr>
                        <w:tcW w:w="4807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Asignavimų valdytojas – Radviliškio rajono savivaldybės administracija, atsakingas – </w:t>
                        </w:r>
                        <w:r>
                          <w:rPr>
                            <w:szCs w:val="24"/>
                            <w:lang w:eastAsia="lt-LT"/>
                          </w:rPr>
                          <w:t>Radviliškio seniūnija</w:t>
                        </w:r>
                        <w:r>
                          <w:rPr>
                            <w:szCs w:val="24"/>
                          </w:rPr>
                          <w:t xml:space="preserve">. Vykdytojas – </w:t>
                        </w:r>
                        <w:r>
                          <w:rPr>
                            <w:szCs w:val="24"/>
                            <w:lang w:eastAsia="lt-LT"/>
                          </w:rPr>
                          <w:t>Radviliškio seniūnija</w:t>
                        </w:r>
                        <w:r>
                          <w:rPr>
                            <w:szCs w:val="24"/>
                          </w:rPr>
                          <w:t>. Vykdymo pradžia 2025 m. I ketv., pabaiga – 2025 m. IV ketv.</w:t>
                          <w:tab/>
                        </w:r>
                      </w:p>
                    </w:tc>
                    <w:tc>
                      <w:tcPr>
                        <w:tcW w:w="1360" w:type="dxa"/>
                      </w:tcPr>
                      <w:p>
                        <w:pPr>
                          <w:widowControl w:val="0"/>
                          <w:suppressAutoHyphens/>
                          <w:ind w:firstLine="62"/>
                          <w:jc w:val="center"/>
                          <w:rPr>
                            <w:rFonts w:cs="Tahoma"/>
                            <w:szCs w:val="24"/>
                          </w:rPr>
                        </w:pPr>
                        <w:r>
                          <w:rPr>
                            <w:rFonts w:cs="Tahoma"/>
                            <w:szCs w:val="24"/>
                          </w:rPr>
                          <w:t>200</w:t>
                        </w:r>
                      </w:p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rPr>
                      <w:trHeight w:val="783"/>
                    </w:trPr>
                    <w:tc>
                      <w:tcPr>
                        <w:tcW w:w="869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  <w:lang w:val="en-US"/>
                          </w:rPr>
                          <w:t>4.3.</w:t>
                        </w:r>
                      </w:p>
                    </w:tc>
                    <w:tc>
                      <w:tcPr>
                        <w:tcW w:w="7399" w:type="dxa"/>
                        <w:gridSpan w:val="3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Atliekų, kurių turėtojo nustatyti neįmanoma arba kuris nebeegzistuoja, tvarkymo priemonės</w:t>
                        </w:r>
                      </w:p>
                    </w:tc>
                    <w:tc>
                      <w:tcPr>
                        <w:tcW w:w="1360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rPr>
                      <w:trHeight w:val="1660"/>
                    </w:trPr>
                    <w:tc>
                      <w:tcPr>
                        <w:tcW w:w="869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  <w:lang w:val="en-US"/>
                          </w:rPr>
                          <w:t>4.3.1.</w:t>
                        </w:r>
                      </w:p>
                    </w:tc>
                    <w:tc>
                      <w:tcPr>
                        <w:tcW w:w="2592" w:type="dxa"/>
                      </w:tcPr>
                      <w:p>
                        <w:pPr>
                          <w:rPr>
                            <w:sz w:val="8"/>
                            <w:szCs w:val="8"/>
                          </w:rPr>
                        </w:pPr>
                      </w:p>
                      <w:p>
                        <w:pPr>
                          <w:ind w:firstLine="62"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Surinkimo, transportavimo, perdirbimo, kitokio naudojimo ar šalinimo darbai</w:t>
                        </w:r>
                      </w:p>
                    </w:tc>
                    <w:tc>
                      <w:tcPr>
                        <w:tcW w:w="4807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Asignavimų valdytojas – Radviliškio rajono savivaldybės administracija, atsakingas – Žemės ūkio skyrius. Vykdytojas –              . Vykdymo pradžia 2025 m. I ketv., pabaiga – 2025 m. IV ketv. (Vykdoma esant užterštai teritorijai, pateikus paraišką) </w:t>
                        </w:r>
                      </w:p>
                    </w:tc>
                    <w:tc>
                      <w:tcPr>
                        <w:tcW w:w="1360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  <w:lang w:val="en-US"/>
                          </w:rPr>
                        </w:pPr>
                        <w:r>
                          <w:rPr>
                            <w:szCs w:val="24"/>
                            <w:lang w:val="en-US"/>
                          </w:rPr>
                          <w:t>500</w:t>
                        </w:r>
                      </w:p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rPr>
                      <w:trHeight w:val="1756"/>
                    </w:trPr>
                    <w:tc>
                      <w:tcPr>
                        <w:tcW w:w="869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  <w:lang w:val="en-US"/>
                          </w:rPr>
                          <w:t>4.3.2.</w:t>
                        </w:r>
                      </w:p>
                    </w:tc>
                    <w:tc>
                      <w:tcPr>
                        <w:tcW w:w="2592" w:type="dxa"/>
                      </w:tcPr>
                      <w:p>
                        <w:pPr>
                          <w:rPr>
                            <w:sz w:val="8"/>
                            <w:szCs w:val="8"/>
                          </w:rPr>
                        </w:pPr>
                      </w:p>
                      <w:p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Atliekomis užterštos teritorijos išvalymo ir sutvarkymo darbai</w:t>
                        </w:r>
                      </w:p>
                    </w:tc>
                    <w:tc>
                      <w:tcPr>
                        <w:tcW w:w="4807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Asignavimų valdytojas – Radviliškio rajono savivaldybės administracija, atsakingas – Žemės ūkio skyrius. Vykdytojas – .............................. Vykdymo pradžia 2025 m. I ketv., pabaiga – 2025 m. IV ketv. (Vykdoma esant užterštai teritorijai, pateikus paraišką)</w:t>
                        </w:r>
                      </w:p>
                    </w:tc>
                    <w:tc>
                      <w:tcPr>
                        <w:tcW w:w="1360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  <w:lang w:val="en-US"/>
                          </w:rPr>
                        </w:pPr>
                        <w:r>
                          <w:rPr>
                            <w:szCs w:val="24"/>
                            <w:lang w:val="en-US"/>
                          </w:rPr>
                          <w:t>500</w:t>
                        </w:r>
                      </w:p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869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4.4.</w:t>
                        </w:r>
                      </w:p>
                    </w:tc>
                    <w:tc>
                      <w:tcPr>
                        <w:tcW w:w="7399" w:type="dxa"/>
                        <w:gridSpan w:val="3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Aplinkos monitoringo, prevencinės, aplinkos atkūrimo priemonės</w:t>
                        </w:r>
                      </w:p>
                    </w:tc>
                    <w:tc>
                      <w:tcPr>
                        <w:tcW w:w="1360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rPr>
                      <w:trHeight w:val="690"/>
                    </w:trPr>
                    <w:tc>
                      <w:tcPr>
                        <w:tcW w:w="869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4.4.1.</w:t>
                        </w:r>
                      </w:p>
                    </w:tc>
                    <w:tc>
                      <w:tcPr>
                        <w:tcW w:w="2592" w:type="dxa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Radviliškio rajono savivaldybės aplinkos monitoringo programos parengtos pagal Bendruosius savivaldybių aplinkos monitoringo nuostatus įgyvendinimas</w:t>
                        </w:r>
                      </w:p>
                    </w:tc>
                    <w:tc>
                      <w:tcPr>
                        <w:tcW w:w="4807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Asignavimų valdytojas – Radviliškio rajono savivaldybės administracija, atsakingas – Žemės ūkio skyrius. Vykdytojas – VDU (atrinktas per viešąjį pirkimą). Vykdymo pradžia 2024 m. I ketv., pabaiga – 2026 m. IV ketv.</w:t>
                        </w:r>
                      </w:p>
                    </w:tc>
                    <w:tc>
                      <w:tcPr>
                        <w:tcW w:w="1360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35 000</w:t>
                        </w:r>
                      </w:p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869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4.4.2.</w:t>
                        </w:r>
                      </w:p>
                    </w:tc>
                    <w:tc>
                      <w:tcPr>
                        <w:tcW w:w="2592" w:type="dxa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Sorbentų ir kitų priemonių, reikalingų avarijų padariniams likviduoti, įsigijimas</w:t>
                        </w:r>
                      </w:p>
                    </w:tc>
                    <w:tc>
                      <w:tcPr>
                        <w:tcW w:w="4807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Asignavimų valdytojas – Radviliškio rajono savivaldybės administracija, atsakingas – Žemės ūkio skyrius. Vykdytojas – ŠAPGV Radviliškio priešgaisrinė gelbėjimo tarnyba. Vykdymo pradžia 2025 m. I ketv., pabaiga – 2025 m. IV ketv.</w:t>
                        </w:r>
                      </w:p>
                    </w:tc>
                    <w:tc>
                      <w:tcPr>
                        <w:tcW w:w="1360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4 000</w:t>
                        </w:r>
                      </w:p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</w:p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869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4.4.3.</w:t>
                        </w:r>
                      </w:p>
                    </w:tc>
                    <w:tc>
                      <w:tcPr>
                        <w:tcW w:w="2592" w:type="dxa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Ekstremalių ekologinių situacijų, avarijų, įvykių padarinių likvidavimo darbai</w:t>
                        </w:r>
                      </w:p>
                    </w:tc>
                    <w:tc>
                      <w:tcPr>
                        <w:tcW w:w="4807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Asignavimų valdytojas – rajono savivaldybės administracija, atsakingas – Žemės ūkio skyrius. Vykdytojas – .......................... Vykdymo pradžia 2025 m. I ketv., pabaiga – 2025 m. IV ketv. (Vykdoma tik įvykus ekstremaliom situacijom).</w:t>
                        </w:r>
                      </w:p>
                    </w:tc>
                    <w:tc>
                      <w:tcPr>
                        <w:tcW w:w="1360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1 627</w:t>
                        </w:r>
                      </w:p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869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4.5.</w:t>
                        </w:r>
                      </w:p>
                    </w:tc>
                    <w:tc>
                      <w:tcPr>
                        <w:tcW w:w="7399" w:type="dxa"/>
                        <w:gridSpan w:val="3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Visuomenės švietimo ir mokymo aplinkosaugos klausimais priemonės</w:t>
                        </w:r>
                      </w:p>
                    </w:tc>
                    <w:tc>
                      <w:tcPr>
                        <w:tcW w:w="1360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869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4.5.1.</w:t>
                        </w:r>
                      </w:p>
                    </w:tc>
                    <w:tc>
                      <w:tcPr>
                        <w:tcW w:w="2592" w:type="dxa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Tikslinių grupių (švietimo įstaigos, neformalaus ugdymo įstaigos, nevyriausybinės organizacijos, bendruomenės ir kt.) vykdomos aplinkosauginės veiklos, aplinkosauginių programų, projektų įgyvendinimo darbų finansavimas</w:t>
                        </w:r>
                      </w:p>
                    </w:tc>
                    <w:tc>
                      <w:tcPr>
                        <w:tcW w:w="4807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Asignavimų valdytojas – Radviliškio rajono savivaldybės administracija, atsakingas – Žemės ūkio skyrius. Vykdytojas –    švietimo įstaigos, neformalaus ugdymo įstaigos, nevyriausybinės organizacijos, bendruomenės ir kt. Vykdymo pradžia 2025 m. I ketv., pabaiga – 2025 m. IV ketv.</w:t>
                        </w:r>
                      </w:p>
                    </w:tc>
                    <w:tc>
                      <w:tcPr>
                        <w:tcW w:w="1360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7 584</w:t>
                        </w:r>
                      </w:p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869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4.5.2.</w:t>
                        </w:r>
                      </w:p>
                    </w:tc>
                    <w:tc>
                      <w:tcPr>
                        <w:tcW w:w="2592" w:type="dxa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Spaudinių (laikraščių,  žurnalų, knygų) aplinkosaugine tema įsigijimas </w:t>
                        </w:r>
                      </w:p>
                    </w:tc>
                    <w:tc>
                      <w:tcPr>
                        <w:tcW w:w="4807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Asignavimų valdytojas – Radviliškio rajono savivaldybės administracija, atsakingas – Žemės ūkio skyrius. Vykdytojas – Žemės ūkio skyrius. Vykdymo pradžia 2025 m. kovo mėn., pabaiga – 2025 m. gruodžio mėn.</w:t>
                        </w:r>
                      </w:p>
                    </w:tc>
                    <w:tc>
                      <w:tcPr>
                        <w:tcW w:w="1360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1 000</w:t>
                        </w:r>
                      </w:p>
                    </w:tc>
                  </w:tr>
                  <w:tr>
                    <w:tc>
                      <w:tcPr>
                        <w:tcW w:w="869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4.6.</w:t>
                        </w:r>
                      </w:p>
                    </w:tc>
                    <w:tc>
                      <w:tcPr>
                        <w:tcW w:w="7399" w:type="dxa"/>
                        <w:gridSpan w:val="3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Želdynų ir želdinių apsaugos, tvarkymo, būklės stebėsenos, želdynų kūrimo, želdinių veisimo ir inventorizavimo priemonės</w:t>
                        </w:r>
                      </w:p>
                    </w:tc>
                    <w:tc>
                      <w:tcPr>
                        <w:tcW w:w="1360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869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4.6.1.</w:t>
                        </w:r>
                      </w:p>
                    </w:tc>
                    <w:tc>
                      <w:tcPr>
                        <w:tcW w:w="2592" w:type="dxa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Naujų želdinių įsigijimas, pavojų keliančių medžių šalinimo darbai, medžių ir krūmų genėjimo darbai</w:t>
                        </w:r>
                      </w:p>
                    </w:tc>
                    <w:tc>
                      <w:tcPr>
                        <w:tcW w:w="4801" w:type="dxa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Asignavimų valdytojas – Radviliškio rajono savivaldybės administracija, atsakingas – Žemės ūkio skyrius, Radviliškio rajono savivaldybės administracijos seniūnijos. Vykdytojas – Radviliškio rajono savivaldybės administracijos seniūnijos. Vykdymo pradžia 2025 m. I ketv., pabaiga – 2025 m. IV ketv. (pagal pridedamą sąrašą)</w:t>
                        </w:r>
                      </w:p>
                    </w:tc>
                    <w:tc>
                      <w:tcPr>
                        <w:tcW w:w="1366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trike/>
                            <w:szCs w:val="24"/>
                          </w:rPr>
                        </w:pPr>
                        <w:r>
                          <w:rPr>
                            <w:strike/>
                            <w:szCs w:val="24"/>
                          </w:rPr>
                          <w:t>31 900</w:t>
                        </w:r>
                      </w:p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35 900</w:t>
                        </w:r>
                      </w:p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rPr>
                      <w:trHeight w:val="2208"/>
                    </w:trPr>
                    <w:tc>
                      <w:tcPr>
                        <w:tcW w:w="869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4.6.2.</w:t>
                        </w:r>
                      </w:p>
                    </w:tc>
                    <w:tc>
                      <w:tcPr>
                        <w:tcW w:w="2592" w:type="dxa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Seminarai, konferencijos, parodos, komandiruotės; darbuotojų, susijusių su želdynų ir želdinių apsauga, priežiūra ir tvarkymu, mokymo ir kvalifikacijos kėlimas</w:t>
                        </w:r>
                      </w:p>
                    </w:tc>
                    <w:tc>
                      <w:tcPr>
                        <w:tcW w:w="4801" w:type="dxa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Asignavimų valdytojas – Radviliškio rajono savivaldybės administracija, atsakingas – Žemės ūkio skyrius. Vykdytojas – Žemės ūkio skyrius. Vykdymo pradžia 2025 m. I ketv., pabaiga – 2025 m. IV ketv.</w:t>
                        </w:r>
                      </w:p>
                    </w:tc>
                    <w:tc>
                      <w:tcPr>
                        <w:tcW w:w="1366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1 210</w:t>
                        </w:r>
                      </w:p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rPr>
                      <w:trHeight w:val="1102"/>
                    </w:trPr>
                    <w:tc>
                      <w:tcPr>
                        <w:tcW w:w="869" w:type="dxa"/>
                      </w:tcPr>
                      <w:p>
                        <w:pPr>
                          <w:widowControl w:val="0"/>
                          <w:suppressAutoHyphens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4.6.3.</w:t>
                        </w:r>
                      </w:p>
                    </w:tc>
                    <w:tc>
                      <w:tcPr>
                        <w:tcW w:w="2592" w:type="dxa"/>
                      </w:tcPr>
                      <w:p>
                        <w:pPr>
                          <w:widowControl w:val="0"/>
                          <w:suppressAutoHyphens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Želdynų kūrimas, tvarkymas, pertvarkymas, inventorizavimas </w:t>
                        </w:r>
                      </w:p>
                      <w:p>
                        <w:pPr>
                          <w:widowControl w:val="0"/>
                          <w:suppressAutoHyphens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4801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Asignavimų valdytojas – Radviliškio rajono savivaldybės administracija, atsakingas – Žemės ūkio skyrius. Vykdytojas – Žemės ūkio skyrius. Vykdymo pradžia 2025 m. I ketv., pabaiga – 2025 m. IV ketv.</w:t>
                        </w:r>
                      </w:p>
                    </w:tc>
                    <w:tc>
                      <w:tcPr>
                        <w:tcW w:w="1366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18 150</w:t>
                        </w:r>
                      </w:p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rPr>
                      <w:trHeight w:val="825"/>
                    </w:trPr>
                    <w:tc>
                      <w:tcPr>
                        <w:tcW w:w="869" w:type="dxa"/>
                        <w:vMerge w:val="restart"/>
                      </w:tcPr>
                      <w:p>
                        <w:pPr>
                          <w:widowControl w:val="0"/>
                          <w:suppressAutoHyphens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4.6.4.</w:t>
                        </w:r>
                      </w:p>
                    </w:tc>
                    <w:tc>
                      <w:tcPr>
                        <w:tcW w:w="2592" w:type="dxa"/>
                        <w:vMerge w:val="restart"/>
                      </w:tcPr>
                      <w:p>
                        <w:pPr>
                          <w:widowControl w:val="0"/>
                          <w:suppressAutoHyphens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Medžių ir krūmų genėjimo, medžių gyvybingumo palaikymo darbai</w:t>
                        </w:r>
                      </w:p>
                    </w:tc>
                    <w:tc>
                      <w:tcPr>
                        <w:tcW w:w="4801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Asignavimų valdytojas – </w:t>
                        </w:r>
                        <w:r>
                          <w:rPr>
                            <w:rFonts w:cs="Tahoma"/>
                            <w:szCs w:val="24"/>
                          </w:rPr>
                          <w:t>Radviliškio rajono savivaldybės administracija</w:t>
                        </w:r>
                        <w:r>
                          <w:rPr>
                            <w:szCs w:val="24"/>
                          </w:rPr>
                          <w:t>, atsakingas – Radviliškio miesto seniūnija. Vykdytojas – Radviliškio miesto seniūnija. Vykdymo pradžia 2025 m. I ketv., pabaiga – 2025 m. IV ketv. (Darbus atliks arboristai)</w:t>
                        </w:r>
                      </w:p>
                    </w:tc>
                    <w:tc>
                      <w:tcPr>
                        <w:tcW w:w="1366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3 000</w:t>
                        </w:r>
                      </w:p>
                      <w:p>
                        <w:pPr>
                          <w:widowControl w:val="0"/>
                          <w:suppressAutoHyphens/>
                          <w:rPr>
                            <w:szCs w:val="24"/>
                          </w:rPr>
                        </w:pPr>
                      </w:p>
                      <w:p>
                        <w:pPr>
                          <w:widowControl w:val="0"/>
                          <w:suppressAutoHyphens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rPr>
                      <w:trHeight w:val="825"/>
                    </w:trPr>
                    <w:tc>
                      <w:tcPr>
                        <w:tcW w:w="869" w:type="dxa"/>
                        <w:vMerge/>
                      </w:tcPr>
                      <w:p>
                        <w:pPr>
                          <w:widowControl w:val="0"/>
                          <w:suppressAutoHyphens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2592" w:type="dxa"/>
                        <w:vMerge/>
                      </w:tcPr>
                      <w:p>
                        <w:pPr>
                          <w:widowControl w:val="0"/>
                          <w:suppressAutoHyphens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4801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rFonts w:cs="Tahoma"/>
                            <w:szCs w:val="24"/>
                          </w:rPr>
                          <w:t xml:space="preserve">Asignavimų valdytojas – Radviliškio rajono savivaldybės administracija, atsakingas – Šeduvos miesto seniūnija. Vykdytojas – Šeduvos miesto seniūnija. Vykdymo pradžia 2025 m. I ketv. </w:t>
                        </w:r>
                        <w:r>
                          <w:rPr>
                            <w:szCs w:val="24"/>
                          </w:rPr>
                          <w:t>(Darbus atliks arboristai)</w:t>
                        </w:r>
                      </w:p>
                    </w:tc>
                    <w:tc>
                      <w:tcPr>
                        <w:tcW w:w="1366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2 000</w:t>
                        </w:r>
                      </w:p>
                      <w:p>
                        <w:pPr>
                          <w:widowControl w:val="0"/>
                          <w:suppressAutoHyphens/>
                          <w:rPr>
                            <w:szCs w:val="24"/>
                          </w:rPr>
                        </w:pPr>
                      </w:p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rPr>
                      <w:trHeight w:val="825"/>
                    </w:trPr>
                    <w:tc>
                      <w:tcPr>
                        <w:tcW w:w="869" w:type="dxa"/>
                        <w:vMerge/>
                      </w:tcPr>
                      <w:p>
                        <w:pPr>
                          <w:widowControl w:val="0"/>
                          <w:suppressAutoHyphens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2592" w:type="dxa"/>
                        <w:vMerge/>
                      </w:tcPr>
                      <w:p>
                        <w:pPr>
                          <w:widowControl w:val="0"/>
                          <w:suppressAutoHyphens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4801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Asignavimų valdytojas – </w:t>
                        </w:r>
                        <w:r>
                          <w:rPr>
                            <w:rFonts w:cs="Tahoma"/>
                            <w:szCs w:val="24"/>
                          </w:rPr>
                          <w:t>Radviliškio rajono savivaldybės administracija</w:t>
                        </w:r>
                        <w:r>
                          <w:rPr>
                            <w:szCs w:val="24"/>
                          </w:rPr>
                          <w:t>, atsakingas – Grinkiškio seniūnija. Vykdytojas – Grinkiškio seniūnija. Vykdymo pradžia 2025 m. I ketv., pabaiga – 2025 m. IV ketv. (Darbus atliks arboristai)</w:t>
                        </w:r>
                      </w:p>
                    </w:tc>
                    <w:tc>
                      <w:tcPr>
                        <w:tcW w:w="1366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1 000</w:t>
                        </w:r>
                      </w:p>
                    </w:tc>
                  </w:tr>
                  <w:tr>
                    <w:trPr>
                      <w:trHeight w:val="690"/>
                    </w:trPr>
                    <w:tc>
                      <w:tcPr>
                        <w:tcW w:w="869" w:type="dxa"/>
                        <w:vMerge w:val="restart"/>
                      </w:tcPr>
                      <w:p>
                        <w:pPr>
                          <w:widowControl w:val="0"/>
                          <w:suppressAutoHyphens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4.6.5.</w:t>
                        </w:r>
                      </w:p>
                    </w:tc>
                    <w:tc>
                      <w:tcPr>
                        <w:tcW w:w="2592" w:type="dxa"/>
                        <w:vMerge w:val="restart"/>
                      </w:tcPr>
                      <w:p>
                        <w:pPr>
                          <w:widowControl w:val="0"/>
                          <w:suppressAutoHyphens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Želdynų tvarkymas, pertvarkymas, pagal želdinių tvarkymo projektus (aiškinamuosius raštus)</w:t>
                        </w:r>
                      </w:p>
                    </w:tc>
                    <w:tc>
                      <w:tcPr>
                        <w:tcW w:w="4801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Asignavimų valdytojas – </w:t>
                        </w:r>
                        <w:r>
                          <w:rPr>
                            <w:rFonts w:cs="Tahoma"/>
                            <w:szCs w:val="24"/>
                          </w:rPr>
                          <w:t>Radviliškio rajono savivaldybės administracija</w:t>
                        </w:r>
                        <w:r>
                          <w:rPr>
                            <w:szCs w:val="24"/>
                          </w:rPr>
                          <w:t>, atsakingas – Radviliškio miesto seniūnija. Vykdytojas – Radviliškio miesto seniūnija. Vykdymo pradžia 2025 m. I ketv., pabaiga – 2025 m. IV ketv.</w:t>
                        </w:r>
                      </w:p>
                    </w:tc>
                    <w:tc>
                      <w:tcPr>
                        <w:tcW w:w="1366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rFonts w:cs="Tahoma"/>
                            <w:strike/>
                            <w:szCs w:val="24"/>
                          </w:rPr>
                        </w:pPr>
                        <w:r>
                          <w:rPr>
                            <w:rFonts w:cs="Tahoma"/>
                            <w:strike/>
                            <w:szCs w:val="24"/>
                          </w:rPr>
                          <w:t>2 000</w:t>
                        </w:r>
                      </w:p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rFonts w:cs="Tahoma"/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rFonts w:cs="Tahoma"/>
                            <w:b/>
                            <w:bCs/>
                            <w:szCs w:val="24"/>
                          </w:rPr>
                          <w:t>4 500</w:t>
                        </w:r>
                      </w:p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rPr>
                      <w:trHeight w:val="690"/>
                    </w:trPr>
                    <w:tc>
                      <w:tcPr>
                        <w:tcW w:w="869" w:type="dxa"/>
                        <w:vMerge/>
                      </w:tcPr>
                      <w:p>
                        <w:pPr>
                          <w:widowControl w:val="0"/>
                          <w:suppressAutoHyphens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2592" w:type="dxa"/>
                        <w:vMerge/>
                      </w:tcPr>
                      <w:p>
                        <w:pPr>
                          <w:widowControl w:val="0"/>
                          <w:suppressAutoHyphens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4801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Asignavimų valdytojas – </w:t>
                        </w:r>
                        <w:r>
                          <w:rPr>
                            <w:rFonts w:cs="Tahoma"/>
                            <w:szCs w:val="24"/>
                          </w:rPr>
                          <w:t>Radviliškio rajono savivaldybės administracija</w:t>
                        </w:r>
                        <w:r>
                          <w:rPr>
                            <w:szCs w:val="24"/>
                          </w:rPr>
                          <w:t>, atsakingas – Sidabravo seniūnija. Vykdytojas – Sidabravo seniūnija. Vykdymo pradžia 2025 m. I ketv., pabaiga – 2025 m. IV ketv.</w:t>
                        </w:r>
                      </w:p>
                    </w:tc>
                    <w:tc>
                      <w:tcPr>
                        <w:tcW w:w="1366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rFonts w:cs="Tahoma"/>
                            <w:szCs w:val="24"/>
                          </w:rPr>
                        </w:pPr>
                        <w:r>
                          <w:rPr>
                            <w:rFonts w:cs="Tahoma"/>
                            <w:szCs w:val="24"/>
                          </w:rPr>
                          <w:t>2 000</w:t>
                        </w:r>
                      </w:p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rFonts w:cs="Tahoma"/>
                            <w:szCs w:val="24"/>
                            <w:highlight w:val="yellow"/>
                          </w:rPr>
                        </w:pPr>
                      </w:p>
                    </w:tc>
                  </w:tr>
                  <w:tr>
                    <w:trPr>
                      <w:trHeight w:val="276"/>
                    </w:trPr>
                    <w:tc>
                      <w:tcPr>
                        <w:tcW w:w="869" w:type="dxa"/>
                        <w:vMerge/>
                      </w:tcPr>
                      <w:p>
                        <w:pPr>
                          <w:widowControl w:val="0"/>
                          <w:suppressAutoHyphens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2592" w:type="dxa"/>
                        <w:vMerge/>
                      </w:tcPr>
                      <w:p>
                        <w:pPr>
                          <w:widowControl w:val="0"/>
                          <w:suppressAutoHyphens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4801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Asignavimų valdytojas – </w:t>
                        </w:r>
                        <w:r>
                          <w:rPr>
                            <w:rFonts w:cs="Tahoma"/>
                            <w:szCs w:val="24"/>
                          </w:rPr>
                          <w:t>Radviliškio rajono savivaldybės administracija</w:t>
                        </w:r>
                        <w:r>
                          <w:rPr>
                            <w:szCs w:val="24"/>
                          </w:rPr>
                          <w:t xml:space="preserve">, atsakingas – </w:t>
                        </w:r>
                        <w:r>
                          <w:rPr>
                            <w:szCs w:val="24"/>
                            <w:lang w:eastAsia="lt-LT"/>
                          </w:rPr>
                          <w:t>Daugyvenės kultūros istorijos muziejus-draustinis</w:t>
                        </w:r>
                        <w:r>
                          <w:rPr>
                            <w:szCs w:val="24"/>
                          </w:rPr>
                          <w:t xml:space="preserve">. Vykdytojas – </w:t>
                        </w:r>
                        <w:r>
                          <w:rPr>
                            <w:szCs w:val="24"/>
                            <w:lang w:eastAsia="lt-LT"/>
                          </w:rPr>
                          <w:t>Daugyvenės kultūros istorijos muziejus-draustinis</w:t>
                        </w:r>
                        <w:r>
                          <w:rPr>
                            <w:szCs w:val="24"/>
                          </w:rPr>
                          <w:t>. Vykdymo pradžia 2025 m. I ketv., pabaiga – 2025 m. IV ketv.</w:t>
                        </w:r>
                      </w:p>
                    </w:tc>
                    <w:tc>
                      <w:tcPr>
                        <w:tcW w:w="1366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rFonts w:cs="Tahoma"/>
                            <w:szCs w:val="24"/>
                          </w:rPr>
                        </w:pPr>
                        <w:r>
                          <w:rPr>
                            <w:rFonts w:cs="Tahoma"/>
                            <w:szCs w:val="24"/>
                          </w:rPr>
                          <w:t>3 000</w:t>
                        </w:r>
                      </w:p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rPr>
                      <w:trHeight w:val="1102"/>
                    </w:trPr>
                    <w:tc>
                      <w:tcPr>
                        <w:tcW w:w="869" w:type="dxa"/>
                      </w:tcPr>
                      <w:p>
                        <w:pPr>
                          <w:widowControl w:val="0"/>
                          <w:suppressAutoHyphens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4.6.6.</w:t>
                        </w:r>
                      </w:p>
                    </w:tc>
                    <w:tc>
                      <w:tcPr>
                        <w:tcW w:w="2592" w:type="dxa"/>
                      </w:tcPr>
                      <w:p>
                        <w:pPr>
                          <w:widowControl w:val="0"/>
                          <w:suppressAutoHyphens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Želdynų ir želdinių būklės stebėsenos programos įgyvendinimas</w:t>
                        </w:r>
                      </w:p>
                    </w:tc>
                    <w:tc>
                      <w:tcPr>
                        <w:tcW w:w="4801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Asignavimų valdytojas – Radviliškio rajono savivaldybės administracija, atsakingas – Žemės ūkio skyrius. Vykdytojas – Žemės ūkio skyrius. Vykdymo pradžia 2025 m. I ketv., pabaiga – 2025 m. IV ketv.</w:t>
                        </w:r>
                      </w:p>
                    </w:tc>
                    <w:tc>
                      <w:tcPr>
                        <w:tcW w:w="1366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rFonts w:cs="Tahoma"/>
                            <w:szCs w:val="24"/>
                          </w:rPr>
                          <w:t>4 235</w:t>
                        </w:r>
                      </w:p>
                    </w:tc>
                  </w:tr>
                  <w:tr>
                    <w:tc>
                      <w:tcPr>
                        <w:tcW w:w="869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7399" w:type="dxa"/>
                        <w:gridSpan w:val="3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Iš viso: </w:t>
                        </w:r>
                      </w:p>
                    </w:tc>
                    <w:tc>
                      <w:tcPr>
                        <w:tcW w:w="1360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b/>
                            <w:bCs/>
                            <w:strike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trike/>
                            <w:szCs w:val="24"/>
                          </w:rPr>
                          <w:t>179 906</w:t>
                        </w:r>
                      </w:p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187 906</w:t>
                        </w:r>
                      </w:p>
                    </w:tc>
                  </w:tr>
                </w:tbl>
                <w:p>
                  <w:pPr>
                    <w:jc w:val="both"/>
                    <w:rPr>
                      <w:b/>
                      <w:szCs w:val="24"/>
                    </w:rPr>
                  </w:pPr>
                </w:p>
              </w:sdtContent>
            </w:sdt>
            <w:sdt>
              <w:sdtPr>
                <w:alias w:val="5 p."/>
                <w:tag w:val="part_53039df194e14a85bcb99802afa12ddc"/>
                <w:lock w:val="sdtLocked"/>
                <w:richText/>
              </w:sdtPr>
              <w:sdtContent>
                <w:p>
                  <w:pPr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53039df194e14a85bcb99802afa12ddc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 xml:space="preserve"> </w:t>
                  </w:r>
                  <w:r>
                    <w:rPr>
                      <w:b/>
                      <w:szCs w:val="24"/>
                    </w:rPr>
                    <w:t>Ataskaitinio laikotarpio Programos lėšų likučiai (nepanaudotos lėšos)</w:t>
                  </w: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1E0" w:firstRow="1" w:lastRow="1" w:firstColumn="1" w:lastColumn="1" w:noHBand="0" w:noVBand="0"/>
                  </w:tblPr>
                  <w:tblGrid>
                    <w:gridCol w:w="687"/>
                    <w:gridCol w:w="6"/>
                    <w:gridCol w:w="7569"/>
                    <w:gridCol w:w="1366"/>
                  </w:tblGrid>
                  <w:tr>
                    <w:trPr>
                      <w:trHeight w:val="512"/>
                    </w:trPr>
                    <w:tc>
                      <w:tcPr>
                        <w:tcW w:w="693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Eil. Nr.</w:t>
                        </w:r>
                      </w:p>
                    </w:tc>
                    <w:tc>
                      <w:tcPr>
                        <w:tcW w:w="7569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Programos priemonių grupės pavadinimas</w:t>
                        </w:r>
                      </w:p>
                    </w:tc>
                    <w:tc>
                      <w:tcPr>
                        <w:tcW w:w="1366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Lėšų likutis, Eur</w:t>
                        </w:r>
                      </w:p>
                    </w:tc>
                  </w:tr>
                  <w:tr>
                    <w:trPr>
                      <w:trHeight w:val="499"/>
                    </w:trPr>
                    <w:tc>
                      <w:tcPr>
                        <w:tcW w:w="693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5.1.</w:t>
                        </w:r>
                      </w:p>
                    </w:tc>
                    <w:tc>
                      <w:tcPr>
                        <w:tcW w:w="7569" w:type="dxa"/>
                      </w:tcPr>
                      <w:p>
                        <w:pPr>
                          <w:widowControl w:val="0"/>
                          <w:suppressAutoHyphens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Programos priemonių grupė, kuriai naudojamos lėšos, surinktos už medžiojamųjų gyvūnų išteklių naudojimą (1.8–2)</w:t>
                        </w:r>
                      </w:p>
                    </w:tc>
                    <w:tc>
                      <w:tcPr>
                        <w:tcW w:w="1366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0</w:t>
                        </w:r>
                      </w:p>
                    </w:tc>
                  </w:tr>
                  <w:tr>
                    <w:trPr>
                      <w:trHeight w:val="249"/>
                    </w:trPr>
                    <w:tc>
                      <w:tcPr>
                        <w:tcW w:w="693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5.2.</w:t>
                        </w:r>
                      </w:p>
                    </w:tc>
                    <w:tc>
                      <w:tcPr>
                        <w:tcW w:w="7569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visuomenės sveikatos rėmimo specialioji programa (1.12–3)</w:t>
                        </w:r>
                      </w:p>
                    </w:tc>
                    <w:tc>
                      <w:tcPr>
                        <w:tcW w:w="1366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0</w:t>
                        </w:r>
                      </w:p>
                    </w:tc>
                  </w:tr>
                  <w:tr>
                    <w:trPr>
                      <w:trHeight w:val="263"/>
                    </w:trPr>
                    <w:tc>
                      <w:tcPr>
                        <w:tcW w:w="693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5.3.</w:t>
                        </w:r>
                      </w:p>
                    </w:tc>
                    <w:tc>
                      <w:tcPr>
                        <w:tcW w:w="7569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Kitų Programos aplinkosaugos priemonių grupė (1.15–4)</w:t>
                        </w:r>
                      </w:p>
                    </w:tc>
                    <w:tc>
                      <w:tcPr>
                        <w:tcW w:w="1366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0</w:t>
                        </w:r>
                      </w:p>
                    </w:tc>
                  </w:tr>
                  <w:tr>
                    <w:trPr>
                      <w:trHeight w:val="249"/>
                    </w:trPr>
                    <w:tc>
                      <w:tcPr>
                        <w:tcW w:w="687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5.4.</w:t>
                        </w:r>
                      </w:p>
                    </w:tc>
                    <w:tc>
                      <w:tcPr>
                        <w:tcW w:w="7575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Iš viso: </w:t>
                        </w:r>
                      </w:p>
                    </w:tc>
                    <w:tc>
                      <w:tcPr>
                        <w:tcW w:w="1366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0</w:t>
                        </w:r>
                      </w:p>
                    </w:tc>
                  </w:tr>
                </w:tbl>
                <w:p>
                  <w:pPr>
                    <w:jc w:val="right"/>
                    <w:rPr>
                      <w:szCs w:val="24"/>
                      <w:lang w:eastAsia="lt-LT"/>
                    </w:rPr>
                  </w:pPr>
                </w:p>
                <w:p>
                  <w:pPr>
                    <w:jc w:val="right"/>
                    <w:rPr>
                      <w:szCs w:val="24"/>
                      <w:lang w:eastAsia="lt-LT"/>
                    </w:rPr>
                  </w:pPr>
                </w:p>
                <w:p>
                  <w:pPr>
                    <w:jc w:val="right"/>
                    <w:rPr>
                      <w:szCs w:val="24"/>
                      <w:lang w:eastAsia="lt-LT"/>
                    </w:rPr>
                  </w:pPr>
                </w:p>
                <w:p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rPr>
                      <w:szCs w:val="24"/>
                    </w:rPr>
                  </w:pPr>
                </w:p>
                <w:p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left="5529"/>
                    <w:rPr>
                      <w:szCs w:val="24"/>
                    </w:rPr>
                  </w:pPr>
                </w:p>
                <w:p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left="5529"/>
                    <w:rPr>
                      <w:szCs w:val="24"/>
                    </w:rPr>
                  </w:pPr>
                </w:p>
                <w:p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left="5529"/>
                    <w:rPr>
                      <w:szCs w:val="24"/>
                    </w:rPr>
                  </w:pPr>
                </w:p>
                <w:p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left="5529"/>
                    <w:rPr>
                      <w:szCs w:val="24"/>
                    </w:rPr>
                  </w:pPr>
                </w:p>
                <w:p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left="5529"/>
                    <w:rPr>
                      <w:szCs w:val="24"/>
                    </w:rPr>
                  </w:pPr>
                </w:p>
                <w:p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left="5529"/>
                    <w:rPr>
                      <w:szCs w:val="24"/>
                    </w:rPr>
                  </w:pPr>
                </w:p>
                <w:p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left="5529"/>
                    <w:rPr>
                      <w:szCs w:val="24"/>
                    </w:rPr>
                  </w:pPr>
                </w:p>
                <w:p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left="5529"/>
                    <w:rPr>
                      <w:szCs w:val="24"/>
                    </w:rPr>
                  </w:pPr>
                </w:p>
                <w:p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left="5529"/>
                    <w:rPr>
                      <w:szCs w:val="24"/>
                    </w:rPr>
                  </w:pPr>
                </w:p>
                <w:p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left="5529"/>
                    <w:rPr>
                      <w:szCs w:val="24"/>
                    </w:rPr>
                  </w:pPr>
                </w:p>
                <w:p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left="5529"/>
                    <w:rPr>
                      <w:szCs w:val="24"/>
                    </w:rPr>
                  </w:pPr>
                </w:p>
                <w:p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left="5529"/>
                    <w:rPr>
                      <w:szCs w:val="24"/>
                    </w:rPr>
                  </w:pPr>
                </w:p>
                <w:p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left="5529"/>
                    <w:rPr>
                      <w:szCs w:val="24"/>
                    </w:rPr>
                  </w:pPr>
                </w:p>
                <w:p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left="5529"/>
                    <w:rPr>
                      <w:szCs w:val="24"/>
                    </w:rPr>
                  </w:pPr>
                </w:p>
                <w:p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left="5529"/>
                    <w:rPr>
                      <w:szCs w:val="24"/>
                    </w:rPr>
                  </w:pPr>
                </w:p>
                <w:p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left="5529"/>
                    <w:rPr>
                      <w:szCs w:val="24"/>
                    </w:rPr>
                  </w:pPr>
                </w:p>
                <w:p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left="5529"/>
                    <w:rPr>
                      <w:szCs w:val="24"/>
                    </w:rPr>
                  </w:pPr>
                </w:p>
                <w:p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left="5529"/>
                    <w:rPr>
                      <w:szCs w:val="24"/>
                    </w:rPr>
                  </w:pPr>
                </w:p>
                <w:p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left="5529"/>
                    <w:rPr>
                      <w:szCs w:val="24"/>
                    </w:rPr>
                  </w:pPr>
                </w:p>
                <w:p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left="5529"/>
                    <w:rPr>
                      <w:szCs w:val="24"/>
                    </w:rPr>
                  </w:pPr>
                </w:p>
                <w:p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left="5529"/>
                    <w:rPr>
                      <w:szCs w:val="24"/>
                    </w:rPr>
                  </w:pPr>
                </w:p>
                <w:p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left="5529"/>
                    <w:rPr>
                      <w:szCs w:val="24"/>
                    </w:rPr>
                  </w:pPr>
                </w:p>
                <w:p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left="5529"/>
                    <w:rPr>
                      <w:szCs w:val="24"/>
                    </w:rPr>
                  </w:pPr>
                </w:p>
                <w:p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left="5529"/>
                    <w:rPr>
                      <w:szCs w:val="24"/>
                    </w:rPr>
                  </w:pPr>
                </w:p>
                <w:p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left="5529"/>
                    <w:rPr>
                      <w:szCs w:val="24"/>
                    </w:rPr>
                  </w:pPr>
                </w:p>
                <w:p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left="5529"/>
                    <w:rPr>
                      <w:szCs w:val="24"/>
                    </w:rPr>
                  </w:pPr>
                </w:p>
                <w:p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left="5529"/>
                    <w:rPr>
                      <w:szCs w:val="24"/>
                    </w:rPr>
                  </w:pPr>
                </w:p>
              </w:sdtContent>
            </w:sdt>
          </w:sdtContent>
        </w:sdt>
      </w:sdtContent>
    </w:sdt>
    <w:sdt>
      <w:sdtPr>
        <w:alias w:val="patvirtinta"/>
        <w:tag w:val="part_e6154352be9e4b8cbfc1d57feb4dd41c"/>
        <w:lock w:val="sdtLocked"/>
        <w:richText/>
      </w:sdtPr>
      <w:sdtContent>
        <w:p>
          <w:pPr>
            <w:tabs>
              <w:tab w:val="left" w:pos="1304"/>
              <w:tab w:val="left" w:pos="1457"/>
              <w:tab w:val="left" w:pos="1604"/>
              <w:tab w:val="left" w:pos="1757"/>
            </w:tabs>
            <w:ind w:left="5529"/>
            <w:rPr>
              <w:szCs w:val="24"/>
            </w:rPr>
          </w:pPr>
          <w:r>
            <w:rPr>
              <w:szCs w:val="24"/>
            </w:rPr>
            <w:t>PATVIRTINTA</w:t>
          </w:r>
        </w:p>
        <w:p>
          <w:pPr>
            <w:tabs>
              <w:tab w:val="left" w:pos="1304"/>
              <w:tab w:val="left" w:pos="1457"/>
              <w:tab w:val="left" w:pos="1604"/>
              <w:tab w:val="left" w:pos="1757"/>
            </w:tabs>
            <w:ind w:left="5529"/>
            <w:rPr>
              <w:szCs w:val="24"/>
            </w:rPr>
          </w:pPr>
          <w:r>
            <w:rPr>
              <w:szCs w:val="24"/>
            </w:rPr>
            <w:t>Radviliškio rajono savivaldybės</w:t>
          </w:r>
        </w:p>
        <w:p>
          <w:pPr>
            <w:tabs>
              <w:tab w:val="left" w:pos="1304"/>
              <w:tab w:val="left" w:pos="1457"/>
              <w:tab w:val="left" w:pos="1604"/>
              <w:tab w:val="left" w:pos="1757"/>
            </w:tabs>
            <w:ind w:left="5529"/>
            <w:rPr>
              <w:szCs w:val="24"/>
            </w:rPr>
          </w:pPr>
          <w:r>
            <w:rPr>
              <w:szCs w:val="24"/>
            </w:rPr>
            <w:t xml:space="preserve">tarybos 2025 m. vasario 13 d. sprendimu Nr. </w:t>
          </w:r>
          <w:r>
            <w:rPr>
              <w:szCs w:val="24"/>
              <w:lang w:val="en-US"/>
            </w:rPr>
            <w:t xml:space="preserve">T-    </w:t>
          </w:r>
        </w:p>
        <w:p>
          <w:pPr>
            <w:ind w:firstLine="5704"/>
            <w:jc w:val="both"/>
            <w:rPr>
              <w:b/>
              <w:szCs w:val="24"/>
              <w:lang w:eastAsia="lt-LT"/>
            </w:rPr>
          </w:pPr>
          <w:sdt>
            <w:sdtPr>
              <w:alias w:val="Pavadinimas"/>
              <w:tag w:val="title_e6154352be9e4b8cbfc1d57feb4dd41c"/>
              <w:lock w:val="sdtLocked"/>
              <w:richText/>
            </w:sdtPr>
            <w:sdtContent>
              <w:r>
                <w:rPr>
                  <w:b/>
                  <w:szCs w:val="24"/>
                  <w:lang w:eastAsia="lt-LT"/>
                </w:rPr>
                <w:t>(4.6.1. eilutės iššifravimas)</w:t>
              </w:r>
            </w:sdtContent>
          </w:sdt>
        </w:p>
        <w:p>
          <w:pPr>
            <w:jc w:val="right"/>
            <w:rPr>
              <w:b/>
              <w:szCs w:val="24"/>
              <w:lang w:eastAsia="lt-LT"/>
            </w:rPr>
          </w:pPr>
        </w:p>
        <w:p>
          <w:pPr>
            <w:ind w:firstLine="62"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LĖŠŲ PASKIRSTYMAS SENIŪNIJOMS VISUOMENINĖS PASKIRTIES ŽELDINIŲ, SKVERŲ IR PARKŲ PRIEŽIŪRAI</w:t>
          </w:r>
          <w:r>
            <w:rPr>
              <w:szCs w:val="24"/>
              <w:lang w:eastAsia="lt-LT"/>
            </w:rPr>
            <w:t xml:space="preserve"> (</w:t>
          </w:r>
          <w:r>
            <w:rPr>
              <w:szCs w:val="24"/>
              <w:u w:val="single"/>
              <w:lang w:eastAsia="lt-LT"/>
            </w:rPr>
            <w:t>Naujų želdinių įsigijimas ir veisimas, pavojų keliančių ir sergančių medžių šalinimo darbai, medžių ir krūmų genėjimo darbai, želdynų tvarkymas</w:t>
          </w:r>
          <w:r>
            <w:rPr>
              <w:szCs w:val="24"/>
              <w:lang w:eastAsia="lt-LT"/>
            </w:rPr>
            <w:t>)</w:t>
          </w:r>
          <w:r>
            <w:rPr>
              <w:b/>
              <w:szCs w:val="24"/>
              <w:lang w:eastAsia="lt-LT"/>
            </w:rPr>
            <w:t xml:space="preserve"> 2025 M.</w:t>
          </w:r>
        </w:p>
        <w:p>
          <w:pPr>
            <w:jc w:val="center"/>
            <w:rPr>
              <w:b/>
              <w:szCs w:val="24"/>
              <w:lang w:eastAsia="lt-LT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1E0" w:firstRow="1" w:lastRow="1" w:firstColumn="1" w:lastColumn="1" w:noHBand="0" w:noVBand="0"/>
          </w:tblPr>
          <w:tblGrid>
            <w:gridCol w:w="742"/>
            <w:gridCol w:w="3013"/>
            <w:gridCol w:w="1769"/>
            <w:gridCol w:w="4104"/>
          </w:tblGrid>
          <w:tr>
            <w:trPr>
              <w:trHeight w:val="654"/>
            </w:trPr>
            <w:tc>
              <w:tcPr>
                <w:tcW w:w="742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3013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Seniūnijos pavadinimas</w:t>
                </w:r>
              </w:p>
            </w:tc>
            <w:tc>
              <w:tcPr>
                <w:tcW w:w="1769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Skirta lėšų Eur.</w:t>
                </w:r>
              </w:p>
              <w:p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104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Pastabos </w:t>
                </w:r>
              </w:p>
              <w:p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>
            <w:tc>
              <w:tcPr>
                <w:tcW w:w="742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301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Aukštelkų seniūnija</w:t>
                </w:r>
              </w:p>
            </w:tc>
            <w:tc>
              <w:tcPr>
                <w:tcW w:w="1769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2 400</w:t>
                </w:r>
              </w:p>
              <w:p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104" w:type="dxa"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Pavojų keliančių ir sergančių medžių šalinimo darbai, medžių ir krūmų genėjimo darbams (ir elektros oro linijų apsaugos zonose) – </w:t>
                </w:r>
                <w:r>
                  <w:rPr>
                    <w:b/>
                    <w:bCs/>
                    <w:szCs w:val="24"/>
                    <w:lang w:eastAsia="lt-LT"/>
                  </w:rPr>
                  <w:t>15</w:t>
                </w:r>
                <w:r>
                  <w:rPr>
                    <w:b/>
                    <w:szCs w:val="24"/>
                    <w:lang w:eastAsia="lt-LT"/>
                  </w:rPr>
                  <w:t>00 €</w:t>
                </w:r>
                <w:r>
                  <w:rPr>
                    <w:szCs w:val="24"/>
                    <w:lang w:eastAsia="lt-LT"/>
                  </w:rPr>
                  <w:t xml:space="preserve">; </w:t>
                </w:r>
                <w:r>
                  <w:rPr>
                    <w:rFonts w:cs="Tahoma"/>
                    <w:szCs w:val="24"/>
                  </w:rPr>
                  <w:t xml:space="preserve">kuras aplinkos, </w:t>
                </w:r>
                <w:r>
                  <w:rPr>
                    <w:szCs w:val="24"/>
                    <w:lang w:eastAsia="lt-LT"/>
                  </w:rPr>
                  <w:t>želdynų</w:t>
                </w:r>
                <w:r>
                  <w:rPr>
                    <w:rFonts w:cs="Tahoma"/>
                    <w:szCs w:val="24"/>
                  </w:rPr>
                  <w:t xml:space="preserve"> tvarkymui – </w:t>
                </w:r>
                <w:r>
                  <w:rPr>
                    <w:rFonts w:cs="Tahoma"/>
                    <w:b/>
                    <w:bCs/>
                    <w:szCs w:val="24"/>
                  </w:rPr>
                  <w:t>5</w:t>
                </w:r>
                <w:r>
                  <w:rPr>
                    <w:b/>
                    <w:bCs/>
                    <w:szCs w:val="24"/>
                    <w:lang w:eastAsia="lt-LT"/>
                  </w:rPr>
                  <w:t>0</w:t>
                </w:r>
                <w:r>
                  <w:rPr>
                    <w:b/>
                    <w:szCs w:val="24"/>
                    <w:lang w:eastAsia="lt-LT"/>
                  </w:rPr>
                  <w:t>0 €</w:t>
                </w:r>
                <w:r>
                  <w:rPr>
                    <w:rFonts w:cs="Tahoma"/>
                    <w:szCs w:val="24"/>
                  </w:rPr>
                  <w:t>; n</w:t>
                </w:r>
                <w:r>
                  <w:rPr>
                    <w:szCs w:val="24"/>
                    <w:lang w:eastAsia="lt-LT"/>
                  </w:rPr>
                  <w:t xml:space="preserve">aujų želdinių įsigijimas – </w:t>
                </w:r>
                <w:r>
                  <w:rPr>
                    <w:b/>
                    <w:bCs/>
                    <w:szCs w:val="24"/>
                    <w:lang w:eastAsia="lt-LT"/>
                  </w:rPr>
                  <w:t>4</w:t>
                </w:r>
                <w:r>
                  <w:rPr>
                    <w:b/>
                    <w:szCs w:val="24"/>
                    <w:lang w:eastAsia="lt-LT"/>
                  </w:rPr>
                  <w:t>00 €</w:t>
                </w:r>
                <w:r>
                  <w:rPr>
                    <w:szCs w:val="24"/>
                    <w:lang w:eastAsia="lt-LT"/>
                  </w:rPr>
                  <w:t>;</w:t>
                </w:r>
              </w:p>
            </w:tc>
          </w:tr>
          <w:tr>
            <w:tc>
              <w:tcPr>
                <w:tcW w:w="742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301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Baisogalos seniūnija</w:t>
                </w:r>
              </w:p>
            </w:tc>
            <w:tc>
              <w:tcPr>
                <w:tcW w:w="1769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3 000</w:t>
                </w:r>
              </w:p>
              <w:p>
                <w:pPr>
                  <w:jc w:val="center"/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4 000</w:t>
                </w:r>
              </w:p>
              <w:p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104" w:type="dxa"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Pavojų keliančių ir sergančių medžių šalinimo darbai, medžių ir krūmų genėjimo darbams (ir elektros oro linijų apsaugos zonose) – </w:t>
                </w:r>
                <w:r>
                  <w:rPr>
                    <w:b/>
                    <w:bCs/>
                    <w:szCs w:val="24"/>
                    <w:lang w:eastAsia="lt-LT"/>
                  </w:rPr>
                  <w:t>300</w:t>
                </w:r>
                <w:r>
                  <w:rPr>
                    <w:b/>
                    <w:szCs w:val="24"/>
                    <w:lang w:eastAsia="lt-LT"/>
                  </w:rPr>
                  <w:t>0 €</w:t>
                </w:r>
                <w:r>
                  <w:rPr>
                    <w:szCs w:val="24"/>
                    <w:lang w:eastAsia="lt-LT"/>
                  </w:rPr>
                  <w:t xml:space="preserve">; </w:t>
                </w:r>
                <w:r>
                  <w:rPr>
                    <w:rFonts w:cs="Tahoma"/>
                    <w:szCs w:val="24"/>
                  </w:rPr>
                  <w:t xml:space="preserve">kuras aplinkos, </w:t>
                </w:r>
                <w:r>
                  <w:rPr>
                    <w:szCs w:val="24"/>
                    <w:lang w:eastAsia="lt-LT"/>
                  </w:rPr>
                  <w:t>želdynų</w:t>
                </w:r>
                <w:r>
                  <w:rPr>
                    <w:rFonts w:cs="Tahoma"/>
                    <w:szCs w:val="24"/>
                  </w:rPr>
                  <w:t xml:space="preserve"> tvarkymui – </w:t>
                </w:r>
                <w:r>
                  <w:rPr>
                    <w:rFonts w:cs="Tahoma"/>
                    <w:b/>
                    <w:bCs/>
                    <w:szCs w:val="24"/>
                  </w:rPr>
                  <w:t>5</w:t>
                </w:r>
                <w:r>
                  <w:rPr>
                    <w:b/>
                    <w:bCs/>
                    <w:szCs w:val="24"/>
                    <w:lang w:eastAsia="lt-LT"/>
                  </w:rPr>
                  <w:t>0</w:t>
                </w:r>
                <w:r>
                  <w:rPr>
                    <w:b/>
                    <w:szCs w:val="24"/>
                    <w:lang w:eastAsia="lt-LT"/>
                  </w:rPr>
                  <w:t>0 €</w:t>
                </w:r>
                <w:r>
                  <w:rPr>
                    <w:rFonts w:cs="Tahoma"/>
                    <w:szCs w:val="24"/>
                  </w:rPr>
                  <w:t>; n</w:t>
                </w:r>
                <w:r>
                  <w:rPr>
                    <w:szCs w:val="24"/>
                    <w:lang w:eastAsia="lt-LT"/>
                  </w:rPr>
                  <w:t xml:space="preserve">aujų želdinių įsigijimas – </w:t>
                </w:r>
                <w:r>
                  <w:rPr>
                    <w:b/>
                    <w:bCs/>
                    <w:szCs w:val="24"/>
                    <w:lang w:eastAsia="lt-LT"/>
                  </w:rPr>
                  <w:t>50</w:t>
                </w:r>
                <w:r>
                  <w:rPr>
                    <w:b/>
                    <w:szCs w:val="24"/>
                    <w:lang w:eastAsia="lt-LT"/>
                  </w:rPr>
                  <w:t>0 €</w:t>
                </w:r>
                <w:r>
                  <w:rPr>
                    <w:szCs w:val="24"/>
                    <w:lang w:eastAsia="lt-LT"/>
                  </w:rPr>
                  <w:t>;</w:t>
                </w:r>
              </w:p>
            </w:tc>
          </w:tr>
          <w:tr>
            <w:tc>
              <w:tcPr>
                <w:tcW w:w="742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301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Grinkiškio seniūnija</w:t>
                </w:r>
              </w:p>
            </w:tc>
            <w:tc>
              <w:tcPr>
                <w:tcW w:w="1769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1 500</w:t>
                </w:r>
              </w:p>
              <w:p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104" w:type="dxa"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Pavojų keliančių ir sergančių medžių šalinimo darbai, medžių ir krūmų genėjimo darbams (ir elektros oro linijų apsaugos zonose) – </w:t>
                </w:r>
                <w:r>
                  <w:rPr>
                    <w:b/>
                    <w:szCs w:val="24"/>
                    <w:lang w:eastAsia="lt-LT"/>
                  </w:rPr>
                  <w:t xml:space="preserve">1000 €; </w:t>
                </w:r>
                <w:r>
                  <w:rPr>
                    <w:rFonts w:cs="Tahoma"/>
                    <w:szCs w:val="24"/>
                  </w:rPr>
                  <w:t xml:space="preserve">kuras aplinkos, </w:t>
                </w:r>
                <w:r>
                  <w:rPr>
                    <w:szCs w:val="24"/>
                    <w:lang w:eastAsia="lt-LT"/>
                  </w:rPr>
                  <w:t>želdynų</w:t>
                </w:r>
                <w:r>
                  <w:rPr>
                    <w:rFonts w:cs="Tahoma"/>
                    <w:szCs w:val="24"/>
                  </w:rPr>
                  <w:t xml:space="preserve"> tvarkymui – </w:t>
                </w:r>
                <w:r>
                  <w:rPr>
                    <w:rFonts w:cs="Tahoma"/>
                    <w:b/>
                    <w:bCs/>
                    <w:szCs w:val="24"/>
                  </w:rPr>
                  <w:t>3</w:t>
                </w:r>
                <w:r>
                  <w:rPr>
                    <w:b/>
                    <w:szCs w:val="24"/>
                    <w:lang w:eastAsia="lt-LT"/>
                  </w:rPr>
                  <w:t>00 €</w:t>
                </w:r>
                <w:r>
                  <w:rPr>
                    <w:rFonts w:cs="Tahoma"/>
                    <w:szCs w:val="24"/>
                  </w:rPr>
                  <w:t xml:space="preserve"> ; n</w:t>
                </w:r>
                <w:r>
                  <w:rPr>
                    <w:szCs w:val="24"/>
                    <w:lang w:eastAsia="lt-LT"/>
                  </w:rPr>
                  <w:t xml:space="preserve">aujų želdinių įsigijimas – </w:t>
                </w:r>
                <w:r>
                  <w:rPr>
                    <w:b/>
                    <w:bCs/>
                    <w:szCs w:val="24"/>
                    <w:lang w:eastAsia="lt-LT"/>
                  </w:rPr>
                  <w:t>2</w:t>
                </w:r>
                <w:r>
                  <w:rPr>
                    <w:b/>
                    <w:szCs w:val="24"/>
                    <w:lang w:eastAsia="lt-LT"/>
                  </w:rPr>
                  <w:t>00 €</w:t>
                </w:r>
                <w:r>
                  <w:rPr>
                    <w:szCs w:val="24"/>
                    <w:lang w:eastAsia="lt-LT"/>
                  </w:rPr>
                  <w:t xml:space="preserve"> ;</w:t>
                </w:r>
              </w:p>
            </w:tc>
          </w:tr>
          <w:tr>
            <w:tc>
              <w:tcPr>
                <w:tcW w:w="742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301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Pakalniškių seniūnija</w:t>
                </w:r>
              </w:p>
            </w:tc>
            <w:tc>
              <w:tcPr>
                <w:tcW w:w="1769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2 500</w:t>
                </w:r>
              </w:p>
              <w:p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104" w:type="dxa"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Pavojų keliančių ir sergančių medžių šalinimo darbai, medžių ir krūmų genėjimo darbams (ir elektros oro linijų apsaugos zonose) – </w:t>
                </w:r>
                <w:r>
                  <w:rPr>
                    <w:b/>
                    <w:szCs w:val="24"/>
                    <w:lang w:eastAsia="lt-LT"/>
                  </w:rPr>
                  <w:t>1800 €</w:t>
                </w:r>
                <w:r>
                  <w:rPr>
                    <w:szCs w:val="24"/>
                    <w:lang w:eastAsia="lt-LT"/>
                  </w:rPr>
                  <w:t xml:space="preserve">; </w:t>
                </w:r>
                <w:r>
                  <w:rPr>
                    <w:rFonts w:cs="Tahoma"/>
                    <w:szCs w:val="24"/>
                  </w:rPr>
                  <w:t xml:space="preserve">kuras aplinkos, </w:t>
                </w:r>
                <w:r>
                  <w:rPr>
                    <w:szCs w:val="24"/>
                    <w:lang w:eastAsia="lt-LT"/>
                  </w:rPr>
                  <w:t>želdynų</w:t>
                </w:r>
                <w:r>
                  <w:rPr>
                    <w:rFonts w:cs="Tahoma"/>
                    <w:szCs w:val="24"/>
                  </w:rPr>
                  <w:t xml:space="preserve"> tvarkymui – </w:t>
                </w:r>
                <w:r>
                  <w:rPr>
                    <w:rFonts w:cs="Tahoma"/>
                    <w:b/>
                    <w:bCs/>
                    <w:szCs w:val="24"/>
                  </w:rPr>
                  <w:t>5</w:t>
                </w:r>
                <w:r>
                  <w:rPr>
                    <w:b/>
                    <w:szCs w:val="24"/>
                    <w:lang w:eastAsia="lt-LT"/>
                  </w:rPr>
                  <w:t>00 €</w:t>
                </w:r>
                <w:r>
                  <w:rPr>
                    <w:rFonts w:cs="Tahoma"/>
                    <w:szCs w:val="24"/>
                  </w:rPr>
                  <w:t>; n</w:t>
                </w:r>
                <w:r>
                  <w:rPr>
                    <w:szCs w:val="24"/>
                    <w:lang w:eastAsia="lt-LT"/>
                  </w:rPr>
                  <w:t xml:space="preserve">aujų želdinių įsigijimas </w:t>
                </w:r>
                <w:r>
                  <w:rPr>
                    <w:b/>
                    <w:bCs/>
                    <w:szCs w:val="24"/>
                    <w:lang w:eastAsia="lt-LT"/>
                  </w:rPr>
                  <w:t>– 20</w:t>
                </w:r>
                <w:r>
                  <w:rPr>
                    <w:b/>
                    <w:szCs w:val="24"/>
                    <w:lang w:eastAsia="lt-LT"/>
                  </w:rPr>
                  <w:t>0 €</w:t>
                </w:r>
                <w:r>
                  <w:rPr>
                    <w:szCs w:val="24"/>
                    <w:lang w:eastAsia="lt-LT"/>
                  </w:rPr>
                  <w:t>;</w:t>
                </w:r>
              </w:p>
            </w:tc>
          </w:tr>
          <w:tr>
            <w:tc>
              <w:tcPr>
                <w:tcW w:w="742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</w:t>
                </w:r>
              </w:p>
            </w:tc>
            <w:tc>
              <w:tcPr>
                <w:tcW w:w="301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Radviliškio miesto seniūnija</w:t>
                </w:r>
              </w:p>
            </w:tc>
            <w:tc>
              <w:tcPr>
                <w:tcW w:w="1769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8 000</w:t>
                </w:r>
              </w:p>
              <w:p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104" w:type="dxa"/>
              </w:tcPr>
              <w:p>
                <w:pPr>
                  <w:jc w:val="both"/>
                  <w:rPr>
                    <w:b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Pavojų keliančių ir sergančių medžių šalinimo darbai, medžių ir krūmų genėjimo darbams (ir elektros oro linijų apsaugos zonose) – </w:t>
                </w:r>
                <w:r>
                  <w:rPr>
                    <w:b/>
                    <w:bCs/>
                    <w:szCs w:val="24"/>
                    <w:lang w:eastAsia="lt-LT"/>
                  </w:rPr>
                  <w:t>5000 €</w:t>
                </w:r>
                <w:r>
                  <w:rPr>
                    <w:szCs w:val="24"/>
                    <w:lang w:eastAsia="lt-LT"/>
                  </w:rPr>
                  <w:t xml:space="preserve">; </w:t>
                </w:r>
                <w:r>
                  <w:rPr>
                    <w:rFonts w:cs="Tahoma"/>
                    <w:szCs w:val="24"/>
                  </w:rPr>
                  <w:t xml:space="preserve">kuras aplinkos, </w:t>
                </w:r>
                <w:r>
                  <w:rPr>
                    <w:szCs w:val="24"/>
                    <w:lang w:eastAsia="lt-LT"/>
                  </w:rPr>
                  <w:t>želdynų</w:t>
                </w:r>
                <w:r>
                  <w:rPr>
                    <w:rFonts w:cs="Tahoma"/>
                    <w:szCs w:val="24"/>
                  </w:rPr>
                  <w:t xml:space="preserve"> tvarkymui – </w:t>
                </w:r>
                <w:r>
                  <w:rPr>
                    <w:rFonts w:cs="Tahoma"/>
                    <w:b/>
                    <w:bCs/>
                    <w:szCs w:val="24"/>
                  </w:rPr>
                  <w:t>10</w:t>
                </w:r>
                <w:r>
                  <w:rPr>
                    <w:b/>
                    <w:bCs/>
                    <w:szCs w:val="24"/>
                    <w:lang w:eastAsia="lt-LT"/>
                  </w:rPr>
                  <w:t>00 €</w:t>
                </w:r>
                <w:r>
                  <w:rPr>
                    <w:rFonts w:cs="Tahoma"/>
                    <w:szCs w:val="24"/>
                  </w:rPr>
                  <w:t>; n</w:t>
                </w:r>
                <w:r>
                  <w:rPr>
                    <w:szCs w:val="24"/>
                    <w:lang w:eastAsia="lt-LT"/>
                  </w:rPr>
                  <w:t xml:space="preserve">aujų želdinių įsigijimas – </w:t>
                </w:r>
                <w:r>
                  <w:rPr>
                    <w:b/>
                    <w:bCs/>
                    <w:szCs w:val="24"/>
                    <w:lang w:eastAsia="lt-LT"/>
                  </w:rPr>
                  <w:t>1000 €</w:t>
                </w:r>
                <w:r>
                  <w:rPr>
                    <w:szCs w:val="24"/>
                    <w:lang w:eastAsia="lt-LT"/>
                  </w:rPr>
                  <w:t xml:space="preserve">; griovių šlaitų šienavimas ir tvarkymas – </w:t>
                </w:r>
                <w:r>
                  <w:rPr>
                    <w:b/>
                    <w:bCs/>
                    <w:szCs w:val="24"/>
                    <w:lang w:eastAsia="lt-LT"/>
                  </w:rPr>
                  <w:t>1000 €;</w:t>
                </w:r>
                <w:r>
                  <w:rPr>
                    <w:szCs w:val="24"/>
                    <w:lang w:eastAsia="lt-LT"/>
                  </w:rPr>
                  <w:t xml:space="preserve"> </w:t>
                </w:r>
              </w:p>
            </w:tc>
          </w:tr>
          <w:tr>
            <w:tc>
              <w:tcPr>
                <w:tcW w:w="742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301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Radviliškio seniūnija</w:t>
                </w:r>
              </w:p>
            </w:tc>
            <w:tc>
              <w:tcPr>
                <w:tcW w:w="1769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2 500</w:t>
                </w:r>
              </w:p>
              <w:p>
                <w:pPr>
                  <w:jc w:val="center"/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4 000</w:t>
                </w:r>
              </w:p>
              <w:p>
                <w:pPr>
                  <w:jc w:val="center"/>
                  <w:rPr>
                    <w:szCs w:val="24"/>
                    <w:u w:val="single"/>
                    <w:lang w:eastAsia="lt-LT"/>
                  </w:rPr>
                </w:pPr>
              </w:p>
            </w:tc>
            <w:tc>
              <w:tcPr>
                <w:tcW w:w="4104" w:type="dxa"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Pavojų keliančių ir sergančių medžių šalinimo darbai, medžių ir krūmų genėjimo darbams (ir elektros oro linijų apsaugos zonose) – </w:t>
                </w:r>
                <w:r>
                  <w:rPr>
                    <w:b/>
                    <w:bCs/>
                    <w:szCs w:val="24"/>
                    <w:lang w:eastAsia="lt-LT"/>
                  </w:rPr>
                  <w:t>33</w:t>
                </w:r>
                <w:r>
                  <w:rPr>
                    <w:b/>
                    <w:szCs w:val="24"/>
                    <w:lang w:eastAsia="lt-LT"/>
                  </w:rPr>
                  <w:t>00 €.</w:t>
                </w:r>
                <w:r>
                  <w:rPr>
                    <w:rFonts w:cs="Tahoma"/>
                    <w:szCs w:val="24"/>
                  </w:rPr>
                  <w:t xml:space="preserve"> kuras aplinkos, </w:t>
                </w:r>
                <w:r>
                  <w:rPr>
                    <w:szCs w:val="24"/>
                    <w:lang w:eastAsia="lt-LT"/>
                  </w:rPr>
                  <w:t>želdynų</w:t>
                </w:r>
                <w:r>
                  <w:rPr>
                    <w:rFonts w:cs="Tahoma"/>
                    <w:szCs w:val="24"/>
                  </w:rPr>
                  <w:t xml:space="preserve"> tvarkymui – 5</w:t>
                </w:r>
                <w:r>
                  <w:rPr>
                    <w:b/>
                    <w:bCs/>
                    <w:szCs w:val="24"/>
                    <w:lang w:eastAsia="lt-LT"/>
                  </w:rPr>
                  <w:t>0</w:t>
                </w:r>
                <w:r>
                  <w:rPr>
                    <w:b/>
                    <w:szCs w:val="24"/>
                    <w:lang w:eastAsia="lt-LT"/>
                  </w:rPr>
                  <w:t>0 €</w:t>
                </w:r>
                <w:r>
                  <w:rPr>
                    <w:rFonts w:cs="Tahoma"/>
                    <w:szCs w:val="24"/>
                  </w:rPr>
                  <w:t>; n</w:t>
                </w:r>
                <w:r>
                  <w:rPr>
                    <w:szCs w:val="24"/>
                    <w:lang w:eastAsia="lt-LT"/>
                  </w:rPr>
                  <w:t xml:space="preserve">aujų želdinių įsigijimas – </w:t>
                </w:r>
                <w:r>
                  <w:rPr>
                    <w:b/>
                    <w:bCs/>
                    <w:szCs w:val="24"/>
                    <w:lang w:eastAsia="lt-LT"/>
                  </w:rPr>
                  <w:t>2</w:t>
                </w:r>
                <w:r>
                  <w:rPr>
                    <w:b/>
                    <w:szCs w:val="24"/>
                    <w:lang w:eastAsia="lt-LT"/>
                  </w:rPr>
                  <w:t>00 €</w:t>
                </w:r>
                <w:r>
                  <w:rPr>
                    <w:szCs w:val="24"/>
                    <w:lang w:eastAsia="lt-LT"/>
                  </w:rPr>
                  <w:t>;</w:t>
                </w:r>
              </w:p>
            </w:tc>
          </w:tr>
          <w:tr>
            <w:tc>
              <w:tcPr>
                <w:tcW w:w="742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</w:t>
                </w:r>
              </w:p>
            </w:tc>
            <w:tc>
              <w:tcPr>
                <w:tcW w:w="301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Sidabravo seniūnija</w:t>
                </w:r>
              </w:p>
            </w:tc>
            <w:tc>
              <w:tcPr>
                <w:tcW w:w="1769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2 500</w:t>
                </w:r>
              </w:p>
              <w:p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104" w:type="dxa"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Pavojų keliančių ir sergančių medžių šalinimo darbai, medžių ir krūmų genėjimo darbams (ir elektros oro linijų apsaugos zonose) – </w:t>
                </w:r>
                <w:r>
                  <w:rPr>
                    <w:b/>
                    <w:szCs w:val="24"/>
                    <w:lang w:eastAsia="lt-LT"/>
                  </w:rPr>
                  <w:t>1500 €</w:t>
                </w:r>
                <w:r>
                  <w:rPr>
                    <w:szCs w:val="24"/>
                    <w:lang w:eastAsia="lt-LT"/>
                  </w:rPr>
                  <w:t xml:space="preserve">; </w:t>
                </w:r>
                <w:r>
                  <w:rPr>
                    <w:rFonts w:cs="Tahoma"/>
                    <w:szCs w:val="24"/>
                  </w:rPr>
                  <w:t xml:space="preserve">kuras aplinkos, </w:t>
                </w:r>
                <w:r>
                  <w:rPr>
                    <w:szCs w:val="24"/>
                    <w:lang w:eastAsia="lt-LT"/>
                  </w:rPr>
                  <w:t>želdynų</w:t>
                </w:r>
                <w:r>
                  <w:rPr>
                    <w:rFonts w:cs="Tahoma"/>
                    <w:szCs w:val="24"/>
                  </w:rPr>
                  <w:t xml:space="preserve"> tvarkymui – </w:t>
                </w:r>
                <w:r>
                  <w:rPr>
                    <w:b/>
                    <w:szCs w:val="24"/>
                    <w:lang w:eastAsia="lt-LT"/>
                  </w:rPr>
                  <w:t>500 €</w:t>
                </w:r>
                <w:r>
                  <w:rPr>
                    <w:rFonts w:cs="Tahoma"/>
                    <w:szCs w:val="24"/>
                  </w:rPr>
                  <w:t>; n</w:t>
                </w:r>
                <w:r>
                  <w:rPr>
                    <w:szCs w:val="24"/>
                    <w:lang w:eastAsia="lt-LT"/>
                  </w:rPr>
                  <w:t xml:space="preserve">aujų želdinių įsigijimas – </w:t>
                </w:r>
                <w:r>
                  <w:rPr>
                    <w:b/>
                    <w:szCs w:val="24"/>
                    <w:lang w:eastAsia="lt-LT"/>
                  </w:rPr>
                  <w:t>500 €</w:t>
                </w:r>
                <w:r>
                  <w:rPr>
                    <w:szCs w:val="24"/>
                    <w:lang w:eastAsia="lt-LT"/>
                  </w:rPr>
                  <w:t>;</w:t>
                </w:r>
              </w:p>
            </w:tc>
          </w:tr>
          <w:tr>
            <w:tc>
              <w:tcPr>
                <w:tcW w:w="742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301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Skėmių seniūnija</w:t>
                </w:r>
              </w:p>
            </w:tc>
            <w:tc>
              <w:tcPr>
                <w:tcW w:w="1769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1 000</w:t>
                </w:r>
              </w:p>
              <w:p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104" w:type="dxa"/>
              </w:tcPr>
              <w:p>
                <w:pPr>
                  <w:ind w:firstLine="62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Pavojų keliančių ir sergančių medžių šalinimo darbai, medžių ir krūmų genėjimo darbams (ir elektros oro linijų apsaugos zonose) – </w:t>
                </w:r>
                <w:r>
                  <w:rPr>
                    <w:b/>
                    <w:bCs/>
                    <w:szCs w:val="24"/>
                    <w:lang w:eastAsia="lt-LT"/>
                  </w:rPr>
                  <w:t>7</w:t>
                </w:r>
                <w:r>
                  <w:rPr>
                    <w:b/>
                    <w:szCs w:val="24"/>
                    <w:lang w:eastAsia="lt-LT"/>
                  </w:rPr>
                  <w:t>00 €</w:t>
                </w:r>
                <w:r>
                  <w:rPr>
                    <w:szCs w:val="24"/>
                    <w:lang w:eastAsia="lt-LT"/>
                  </w:rPr>
                  <w:t xml:space="preserve">; </w:t>
                </w:r>
                <w:r>
                  <w:rPr>
                    <w:rFonts w:cs="Tahoma"/>
                    <w:szCs w:val="24"/>
                  </w:rPr>
                  <w:t xml:space="preserve">kuras aplinkos, </w:t>
                </w:r>
                <w:r>
                  <w:rPr>
                    <w:szCs w:val="24"/>
                    <w:lang w:eastAsia="lt-LT"/>
                  </w:rPr>
                  <w:t>želdynų</w:t>
                </w:r>
                <w:r>
                  <w:rPr>
                    <w:rFonts w:cs="Tahoma"/>
                    <w:szCs w:val="24"/>
                  </w:rPr>
                  <w:t xml:space="preserve"> tvarkymui – </w:t>
                </w:r>
                <w:r>
                  <w:rPr>
                    <w:rFonts w:cs="Tahoma"/>
                    <w:b/>
                    <w:bCs/>
                    <w:szCs w:val="24"/>
                  </w:rPr>
                  <w:t>2</w:t>
                </w:r>
                <w:r>
                  <w:rPr>
                    <w:b/>
                    <w:bCs/>
                    <w:szCs w:val="24"/>
                    <w:lang w:eastAsia="lt-LT"/>
                  </w:rPr>
                  <w:t>00</w:t>
                </w:r>
                <w:r>
                  <w:rPr>
                    <w:b/>
                    <w:szCs w:val="24"/>
                    <w:lang w:eastAsia="lt-LT"/>
                  </w:rPr>
                  <w:t xml:space="preserve"> €</w:t>
                </w:r>
                <w:r>
                  <w:rPr>
                    <w:rFonts w:cs="Tahoma"/>
                    <w:szCs w:val="24"/>
                  </w:rPr>
                  <w:t>; n</w:t>
                </w:r>
                <w:r>
                  <w:rPr>
                    <w:szCs w:val="24"/>
                    <w:lang w:eastAsia="lt-LT"/>
                  </w:rPr>
                  <w:t xml:space="preserve">aujų želdinių įsigijimas – </w:t>
                </w:r>
                <w:r>
                  <w:rPr>
                    <w:b/>
                    <w:bCs/>
                    <w:szCs w:val="24"/>
                    <w:lang w:eastAsia="lt-LT"/>
                  </w:rPr>
                  <w:t>1</w:t>
                </w:r>
                <w:r>
                  <w:rPr>
                    <w:b/>
                    <w:szCs w:val="24"/>
                    <w:lang w:eastAsia="lt-LT"/>
                  </w:rPr>
                  <w:t>00 €</w:t>
                </w:r>
                <w:r>
                  <w:rPr>
                    <w:szCs w:val="24"/>
                    <w:lang w:eastAsia="lt-LT"/>
                  </w:rPr>
                  <w:t>;</w:t>
                </w:r>
              </w:p>
            </w:tc>
          </w:tr>
          <w:tr>
            <w:tc>
              <w:tcPr>
                <w:tcW w:w="742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</w:t>
                </w:r>
              </w:p>
            </w:tc>
            <w:tc>
              <w:tcPr>
                <w:tcW w:w="301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Šaukoto seniūnija</w:t>
                </w:r>
              </w:p>
            </w:tc>
            <w:tc>
              <w:tcPr>
                <w:tcW w:w="1769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1 000</w:t>
                </w:r>
              </w:p>
              <w:p>
                <w:pPr>
                  <w:ind w:firstLine="62"/>
                  <w:jc w:val="center"/>
                  <w:rPr>
                    <w:szCs w:val="24"/>
                    <w:lang w:eastAsia="lt-LT"/>
                  </w:rPr>
                </w:pPr>
              </w:p>
              <w:p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104" w:type="dxa"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Pavojų keliančių ir sergančių medžių šalinimo darbai, medžių ir krūmų genėjimo darbams (ir elektros oro linijų apsaugos zonose) – </w:t>
                </w:r>
                <w:r>
                  <w:rPr>
                    <w:b/>
                    <w:bCs/>
                    <w:szCs w:val="24"/>
                    <w:lang w:eastAsia="lt-LT"/>
                  </w:rPr>
                  <w:t>7</w:t>
                </w:r>
                <w:r>
                  <w:rPr>
                    <w:b/>
                    <w:szCs w:val="24"/>
                    <w:lang w:eastAsia="lt-LT"/>
                  </w:rPr>
                  <w:t>00 €</w:t>
                </w:r>
                <w:r>
                  <w:rPr>
                    <w:szCs w:val="24"/>
                    <w:lang w:eastAsia="lt-LT"/>
                  </w:rPr>
                  <w:t>;</w:t>
                </w:r>
                <w:r>
                  <w:rPr>
                    <w:rFonts w:cs="Tahoma"/>
                    <w:szCs w:val="24"/>
                  </w:rPr>
                  <w:t xml:space="preserve"> kuras aplinkos, </w:t>
                </w:r>
                <w:r>
                  <w:rPr>
                    <w:szCs w:val="24"/>
                    <w:lang w:eastAsia="lt-LT"/>
                  </w:rPr>
                  <w:t>želdynų</w:t>
                </w:r>
                <w:r>
                  <w:rPr>
                    <w:rFonts w:cs="Tahoma"/>
                    <w:szCs w:val="24"/>
                  </w:rPr>
                  <w:t xml:space="preserve"> tvarkymui – </w:t>
                </w:r>
                <w:r>
                  <w:rPr>
                    <w:rFonts w:cs="Tahoma"/>
                    <w:b/>
                    <w:bCs/>
                    <w:szCs w:val="24"/>
                  </w:rPr>
                  <w:t>2</w:t>
                </w:r>
                <w:r>
                  <w:rPr>
                    <w:b/>
                    <w:szCs w:val="24"/>
                    <w:lang w:eastAsia="lt-LT"/>
                  </w:rPr>
                  <w:t>00 €</w:t>
                </w:r>
                <w:r>
                  <w:rPr>
                    <w:rFonts w:cs="Tahoma"/>
                    <w:szCs w:val="24"/>
                  </w:rPr>
                  <w:t>; n</w:t>
                </w:r>
                <w:r>
                  <w:rPr>
                    <w:szCs w:val="24"/>
                    <w:lang w:eastAsia="lt-LT"/>
                  </w:rPr>
                  <w:t xml:space="preserve">aujų želdinių įsigijimas – </w:t>
                </w:r>
                <w:r>
                  <w:rPr>
                    <w:b/>
                    <w:bCs/>
                    <w:szCs w:val="24"/>
                    <w:lang w:eastAsia="lt-LT"/>
                  </w:rPr>
                  <w:t>10</w:t>
                </w:r>
                <w:r>
                  <w:rPr>
                    <w:b/>
                    <w:szCs w:val="24"/>
                    <w:lang w:eastAsia="lt-LT"/>
                  </w:rPr>
                  <w:t>0 €</w:t>
                </w:r>
                <w:r>
                  <w:rPr>
                    <w:szCs w:val="24"/>
                    <w:lang w:eastAsia="lt-LT"/>
                  </w:rPr>
                  <w:t>;</w:t>
                </w:r>
              </w:p>
            </w:tc>
          </w:tr>
          <w:tr>
            <w:tc>
              <w:tcPr>
                <w:tcW w:w="742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301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Šeduvos miesto seniūnija</w:t>
                </w:r>
              </w:p>
            </w:tc>
            <w:tc>
              <w:tcPr>
                <w:tcW w:w="1769" w:type="dxa"/>
              </w:tcPr>
              <w:p>
                <w:pPr>
                  <w:jc w:val="center"/>
                  <w:rPr>
                    <w:rFonts w:cs="Tahoma"/>
                    <w:szCs w:val="24"/>
                  </w:rPr>
                </w:pPr>
                <w:r>
                  <w:rPr>
                    <w:rFonts w:cs="Tahoma"/>
                    <w:szCs w:val="24"/>
                  </w:rPr>
                  <w:t>4 000</w:t>
                </w:r>
              </w:p>
              <w:p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104" w:type="dxa"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Pavojų keliančių ir sergančių medžių šalinimo darbai, medžių ir krūmų genėjimo darbams  (ir elektros oro linijų apsaugos zonose) – </w:t>
                </w:r>
                <w:r>
                  <w:rPr>
                    <w:b/>
                    <w:bCs/>
                    <w:szCs w:val="24"/>
                    <w:lang w:eastAsia="lt-LT"/>
                  </w:rPr>
                  <w:t>30</w:t>
                </w:r>
                <w:r>
                  <w:rPr>
                    <w:b/>
                    <w:szCs w:val="24"/>
                    <w:lang w:eastAsia="lt-LT"/>
                  </w:rPr>
                  <w:t>00 €.</w:t>
                </w:r>
                <w:r>
                  <w:rPr>
                    <w:rFonts w:cs="Tahoma"/>
                    <w:szCs w:val="24"/>
                  </w:rPr>
                  <w:t xml:space="preserve"> kuras aplinkos, </w:t>
                </w:r>
                <w:r>
                  <w:rPr>
                    <w:szCs w:val="24"/>
                    <w:lang w:eastAsia="lt-LT"/>
                  </w:rPr>
                  <w:t>želdynų</w:t>
                </w:r>
                <w:r>
                  <w:rPr>
                    <w:rFonts w:cs="Tahoma"/>
                    <w:szCs w:val="24"/>
                  </w:rPr>
                  <w:t xml:space="preserve"> tvarkymui – </w:t>
                </w:r>
                <w:r>
                  <w:rPr>
                    <w:rFonts w:cs="Tahoma"/>
                    <w:b/>
                    <w:bCs/>
                    <w:szCs w:val="24"/>
                  </w:rPr>
                  <w:t>5</w:t>
                </w:r>
                <w:r>
                  <w:rPr>
                    <w:b/>
                    <w:szCs w:val="24"/>
                    <w:lang w:eastAsia="lt-LT"/>
                  </w:rPr>
                  <w:t>00 €</w:t>
                </w:r>
                <w:r>
                  <w:rPr>
                    <w:rFonts w:cs="Tahoma"/>
                    <w:szCs w:val="24"/>
                  </w:rPr>
                  <w:t xml:space="preserve"> ; n</w:t>
                </w:r>
                <w:r>
                  <w:rPr>
                    <w:szCs w:val="24"/>
                    <w:lang w:eastAsia="lt-LT"/>
                  </w:rPr>
                  <w:t xml:space="preserve">aujų želdinių įsigijimas – </w:t>
                </w:r>
                <w:r>
                  <w:rPr>
                    <w:b/>
                    <w:bCs/>
                    <w:szCs w:val="24"/>
                    <w:lang w:eastAsia="lt-LT"/>
                  </w:rPr>
                  <w:t>5</w:t>
                </w:r>
                <w:r>
                  <w:rPr>
                    <w:b/>
                    <w:szCs w:val="24"/>
                    <w:lang w:eastAsia="lt-LT"/>
                  </w:rPr>
                  <w:t>00 €</w:t>
                </w:r>
                <w:r>
                  <w:rPr>
                    <w:szCs w:val="24"/>
                    <w:lang w:eastAsia="lt-LT"/>
                  </w:rPr>
                  <w:t xml:space="preserve"> ;</w:t>
                </w:r>
              </w:p>
            </w:tc>
          </w:tr>
          <w:tr>
            <w:tc>
              <w:tcPr>
                <w:tcW w:w="742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11</w:t>
                </w:r>
              </w:p>
            </w:tc>
            <w:tc>
              <w:tcPr>
                <w:tcW w:w="301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Šiaulėnų seniūnija</w:t>
                </w:r>
              </w:p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769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1 500</w:t>
                </w:r>
              </w:p>
              <w:p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104" w:type="dxa"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Pavojų keliančių ir sergančių medžių šalinimo darbai, medžių ir krūmų genėjimo darbams (ir elektros oro linijų apsaugos zonose) – </w:t>
                </w:r>
                <w:r>
                  <w:rPr>
                    <w:b/>
                    <w:bCs/>
                    <w:szCs w:val="24"/>
                    <w:lang w:eastAsia="lt-LT"/>
                  </w:rPr>
                  <w:t>12</w:t>
                </w:r>
                <w:r>
                  <w:rPr>
                    <w:b/>
                    <w:szCs w:val="24"/>
                    <w:lang w:eastAsia="lt-LT"/>
                  </w:rPr>
                  <w:t>00 €</w:t>
                </w:r>
                <w:r>
                  <w:rPr>
                    <w:szCs w:val="24"/>
                    <w:lang w:eastAsia="lt-LT"/>
                  </w:rPr>
                  <w:t>;</w:t>
                </w:r>
                <w:r>
                  <w:rPr>
                    <w:rFonts w:cs="Tahoma"/>
                    <w:szCs w:val="24"/>
                  </w:rPr>
                  <w:t xml:space="preserve"> kuras aplinkos, </w:t>
                </w:r>
                <w:r>
                  <w:rPr>
                    <w:szCs w:val="24"/>
                    <w:lang w:eastAsia="lt-LT"/>
                  </w:rPr>
                  <w:t>želdynų</w:t>
                </w:r>
                <w:r>
                  <w:rPr>
                    <w:rFonts w:cs="Tahoma"/>
                    <w:szCs w:val="24"/>
                  </w:rPr>
                  <w:t xml:space="preserve"> tvarkymui – </w:t>
                </w:r>
                <w:r>
                  <w:rPr>
                    <w:rFonts w:cs="Tahoma"/>
                    <w:b/>
                    <w:bCs/>
                    <w:szCs w:val="24"/>
                  </w:rPr>
                  <w:t>3</w:t>
                </w:r>
                <w:r>
                  <w:rPr>
                    <w:b/>
                    <w:szCs w:val="24"/>
                    <w:lang w:eastAsia="lt-LT"/>
                  </w:rPr>
                  <w:t>00 €</w:t>
                </w:r>
                <w:r>
                  <w:rPr>
                    <w:rFonts w:cs="Tahoma"/>
                    <w:szCs w:val="24"/>
                  </w:rPr>
                  <w:t xml:space="preserve">; </w:t>
                </w:r>
              </w:p>
            </w:tc>
          </w:tr>
          <w:tr>
            <w:tc>
              <w:tcPr>
                <w:tcW w:w="742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12</w:t>
                </w:r>
              </w:p>
            </w:tc>
            <w:tc>
              <w:tcPr>
                <w:tcW w:w="301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Tyrulių seniūnija</w:t>
                </w:r>
              </w:p>
            </w:tc>
            <w:tc>
              <w:tcPr>
                <w:tcW w:w="1769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2 000</w:t>
                </w:r>
              </w:p>
              <w:p>
                <w:pPr>
                  <w:jc w:val="center"/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3 500</w:t>
                </w:r>
              </w:p>
              <w:p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104" w:type="dxa"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Pavojų keliančių ir sergančių medžių šalinimo darbai, medžių ir krūmų genėjimo darbams (ir elektros oro linijų apsaugos zonose) – </w:t>
                </w:r>
                <w:r>
                  <w:rPr>
                    <w:b/>
                    <w:bCs/>
                    <w:szCs w:val="24"/>
                    <w:lang w:eastAsia="lt-LT"/>
                  </w:rPr>
                  <w:t>31</w:t>
                </w:r>
                <w:r>
                  <w:rPr>
                    <w:b/>
                    <w:szCs w:val="24"/>
                    <w:lang w:eastAsia="lt-LT"/>
                  </w:rPr>
                  <w:t>00 €</w:t>
                </w:r>
                <w:r>
                  <w:rPr>
                    <w:szCs w:val="24"/>
                    <w:lang w:eastAsia="lt-LT"/>
                  </w:rPr>
                  <w:t>;</w:t>
                </w:r>
                <w:r>
                  <w:rPr>
                    <w:rFonts w:cs="Tahoma"/>
                    <w:szCs w:val="24"/>
                  </w:rPr>
                  <w:t xml:space="preserve"> kuras aplinkos, </w:t>
                </w:r>
                <w:r>
                  <w:rPr>
                    <w:szCs w:val="24"/>
                    <w:lang w:eastAsia="lt-LT"/>
                  </w:rPr>
                  <w:t>želdynų</w:t>
                </w:r>
                <w:r>
                  <w:rPr>
                    <w:rFonts w:cs="Tahoma"/>
                    <w:szCs w:val="24"/>
                  </w:rPr>
                  <w:t xml:space="preserve"> tvarkymui – </w:t>
                </w:r>
                <w:r>
                  <w:rPr>
                    <w:rFonts w:cs="Tahoma"/>
                    <w:b/>
                    <w:bCs/>
                    <w:szCs w:val="24"/>
                  </w:rPr>
                  <w:t>4</w:t>
                </w:r>
                <w:r>
                  <w:rPr>
                    <w:b/>
                    <w:szCs w:val="24"/>
                    <w:lang w:eastAsia="lt-LT"/>
                  </w:rPr>
                  <w:t>00 €</w:t>
                </w:r>
                <w:r>
                  <w:rPr>
                    <w:rFonts w:cs="Tahoma"/>
                    <w:szCs w:val="24"/>
                  </w:rPr>
                  <w:t xml:space="preserve">; </w:t>
                </w:r>
              </w:p>
            </w:tc>
          </w:tr>
          <w:tr>
            <w:trPr>
              <w:trHeight w:val="237"/>
            </w:trPr>
            <w:tc>
              <w:tcPr>
                <w:tcW w:w="742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013" w:type="dxa"/>
              </w:tcPr>
              <w:p>
                <w:pPr>
                  <w:ind w:firstLine="124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Viso:                                                </w:t>
                </w:r>
              </w:p>
            </w:tc>
            <w:tc>
              <w:tcPr>
                <w:tcW w:w="1769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31 900</w:t>
                </w:r>
              </w:p>
              <w:p>
                <w:pPr>
                  <w:jc w:val="center"/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35 900</w:t>
                </w:r>
              </w:p>
              <w:p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104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</w:tbl>
        <w:p>
          <w:pPr>
            <w:jc w:val="center"/>
            <w:rPr>
              <w:b/>
              <w:szCs w:val="24"/>
              <w:lang w:eastAsia="lt-LT"/>
            </w:rPr>
          </w:pPr>
        </w:p>
        <w:p>
          <w:pPr>
            <w:jc w:val="both"/>
            <w:rPr>
              <w:szCs w:val="24"/>
              <w:lang w:eastAsia="lt-LT"/>
            </w:rPr>
          </w:pPr>
        </w:p>
        <w:p>
          <w:pPr>
            <w:jc w:val="both"/>
            <w:rPr>
              <w:szCs w:val="24"/>
              <w:lang w:eastAsia="lt-LT"/>
            </w:rPr>
          </w:pPr>
        </w:p>
        <w:p>
          <w:pPr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Radviliškio savivaldybės administracijos </w:t>
          </w:r>
        </w:p>
        <w:p>
          <w:pPr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Žemės ūkio skyriaus vyriausioji specialistė                                                              Valentina Grinienė                                  </w:t>
          </w:r>
        </w:p>
      </w:sdtContent>
    </w:sdt>
    <w:sectPr>
      <w:headerReference w:type="default" r:id="rId7"/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widowControl w:val="0"/>
        <w:suppressAutoHyphens/>
        <w:rPr>
          <w:rFonts w:ascii="Thorndale" w:hAnsi="Thorndale" w:cs="Tahoma"/>
          <w:szCs w:val="24"/>
        </w:rPr>
      </w:pPr>
      <w:r>
        <w:rPr>
          <w:rFonts w:ascii="Thorndale" w:hAnsi="Thorndale" w:cs="Tahoma"/>
          <w:szCs w:val="24"/>
        </w:rPr>
        <w:separator/>
      </w:r>
    </w:p>
  </w:endnote>
  <w:endnote w:type="continuationSeparator" w:id="0">
    <w:p>
      <w:pPr>
        <w:widowControl w:val="0"/>
        <w:suppressAutoHyphens/>
        <w:rPr>
          <w:rFonts w:ascii="Thorndale" w:hAnsi="Thorndale" w:cs="Tahoma"/>
          <w:szCs w:val="24"/>
        </w:rPr>
      </w:pPr>
      <w:r>
        <w:rPr>
          <w:rFonts w:ascii="Thorndale" w:hAnsi="Thorndale" w:cs="Tahoma"/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00"/>
    <w:family w:val="auto"/>
    <w:pitch w:val="default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widowControl w:val="0"/>
        <w:suppressAutoHyphens/>
        <w:rPr>
          <w:rFonts w:ascii="Thorndale" w:hAnsi="Thorndale" w:cs="Tahoma"/>
          <w:szCs w:val="24"/>
        </w:rPr>
      </w:pPr>
      <w:r>
        <w:rPr>
          <w:rFonts w:ascii="Thorndale" w:hAnsi="Thorndale" w:cs="Tahoma"/>
          <w:szCs w:val="24"/>
        </w:rPr>
        <w:separator/>
      </w:r>
    </w:p>
  </w:footnote>
  <w:footnote w:type="continuationSeparator" w:id="0">
    <w:p>
      <w:pPr>
        <w:widowControl w:val="0"/>
        <w:suppressAutoHyphens/>
        <w:rPr>
          <w:rFonts w:ascii="Thorndale" w:hAnsi="Thorndale" w:cs="Tahoma"/>
          <w:szCs w:val="24"/>
        </w:rPr>
      </w:pPr>
      <w:r>
        <w:rPr>
          <w:rFonts w:ascii="Thorndale" w:hAnsi="Thorndale" w:cs="Tahoma"/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left" w:pos="3344"/>
        <w:tab w:val="left" w:pos="8291"/>
      </w:tabs>
      <w:suppressAutoHyphens/>
      <w:spacing w:before="120" w:after="60"/>
      <w:ind w:left="-17" w:firstLine="17"/>
      <w:jc w:val="center"/>
      <w:rPr>
        <w:rFonts w:ascii="Thorndale" w:hAnsi="Thorndale" w:cs="Tahoma"/>
        <w:b/>
        <w:bCs/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4F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A6F1F64-DD1A-4A20-B1DC-6B63BF1D474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67086982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5406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3ab48408c2314c95835099c74bd9875e" PartId="76652c14d8104eafab940f698573c050">
    <Part Type="preambule" DocPartId="64211d319e9040d1925afa2801b85b32" PartId="eb74c54a7dae4692ae8807265a463336"/>
    <Part Type="pastraipa" DocPartId="c72188364ebe4165a501b4ff1af9f19f" PartId="9630a28368bb41b5b8bc3d48e5b3ccc2"/>
    <Part Type="punktas" Nr="1" Abbr="1 p." DocPartId="0942783b7a5a457aa235455c512c6349" PartId="63e47f0acda542a1ac3598a0c0e37964"/>
    <Part Type="punktas" Nr="1" Abbr="1 p." Notes="Numeris ne iš eilės. Trūksta dalių? [DocDalys]" DocPartId="1718e40963b447d6b45ceaef9b9e6747" PartId="604d3159488d479386a595a9d64f5d84"/>
    <Part Type="punktas" Nr="2" Abbr="2 p." DocPartId="97b22ff518f948a2a37156cf32c328cf" PartId="993a5a0f5fcc4dc4bcbceb75d2ed5c29"/>
    <Part Type="punktas" Nr="3" Abbr="3 p." DocPartId="89a77c6df3d2407aa8537b158beb6d13" PartId="343b959b7dd74c22b9c8e93059e02211"/>
    <Part Type="punktas" Nr="3" Abbr="3 p." Notes="Numeris ne iš eilės. Trūksta dalių? [DocDalys]" DocPartId="3d144413e24f4f20835df980f97ca870" PartId="2d2f34f0bb104202965d10b625bd4553"/>
    <Part Type="punktas" Nr="4" Abbr="4 p." DocPartId="26e5edca75b240369d351bb819dd36ce" PartId="588e1d785dac472c895d5f803d06caab"/>
    <Part Type="punktas" Nr="5" Abbr="5 p." DocPartId="07ad9ab1792446109f7b05815728d887" PartId="79a3a721953140daa5a609bbf1056f2a"/>
    <Part Type="punktas" Nr="6" Abbr="6 p." DocPartId="02089bc24cd4423480688aee147e712d" PartId="d80790b6f01b453eb5dfba1fd559f7c4">
      <Part Type="lentele" Title="DĖL RADVILIŠKIO RAJONO SAVIVALDYBĖS TARYBOS 2025 M. VASARIO 13 D. SPRENDIMO NR. T-570 „ DĖL RADVILIŠKIO RAJONO SAVIVALDYBĖS APLINKOS APSAUGOS RĖMIMO SPECIALIOSIOS PROGRAMOS 2025 METŲ PRIEMONIŲ VYKDYMO SĄMATOS PATVIRTINIMO“ PAKEITIMO AIŠKINAMASIS RAŠTAS" DocPartId="dd30230e68ad4fb2b5f324bff3c2ed07" PartId="028b9e9b7fd2480ca468bd8fe745c2b2"/>
      <Part Type="pastraipa" DocPartId="7bcccbf375964c3c893f1ba4acf78b46" PartId="f490c1cce6c7410897871a8fd4cbe778"/>
    </Part>
    <Part Type="skirsnis" Title="LYGINAMASIS SPRENDIMO VARIANTAS" DocPartId="dc5abf84d32c479ea98cd893e5cf2b6a" PartId="86b1542a318e463a8bf34b66e1eec85a"/>
    <Part Type="skirsnis" Title="RADVILIŠKIO RAJONO SAVIVALDYBĖS ADMINISTRACIJA" DocPartId="3db2afb260184c2c85091a4691a7e97c" PartId="9b78bf25c49749f5933991a87adbbda7"/>
    <Part Type="skirsnis" Title="RADVILIŠKIO RAJONO SAVIVALDYBĖS APLINKOS APSAUGOS RĖMIMO SPECIALIOSIOS PROGRAMOS _2025_ METŲ SĄMATA" DocPartId="ffa942fbb1904163b69d9a24bd84f95f" PartId="f0a174b153104123b981698d9256f2b1">
      <Part Type="punktas" Nr="45" Abbr="45 p." Notes="Numeris ne iš eilės. Trūksta dalių? [DocDalys]" DocPartId="23ecae38336a403f8e655128a7f9f268" PartId="fd2437a0cc734105a7cfb2867f5a7926"/>
      <Part Type="punktas" Nr="2" Abbr="2 p." Notes="Numeris ne iš eilės. Trūksta dalių? [DocDalys]" DocPartId="3488402b238143f29631371e1b07202f" PartId="fb3224d9e58f47938ca812a4827e5f90"/>
      <Part Type="punktas" Nr="3" Abbr="3 p." DocPartId="ecdc866fcb1a4bbea234613cc013ff7a" PartId="9cf94c93d45c4c908cf948610c5d43ab"/>
      <Part Type="punktas" Nr="4" Abbr="4 p." DocPartId="f4930a22e0144bbb849035061785b242" PartId="d961fdc2672e44b38999854a9c560565"/>
      <Part Type="punktas" Nr="5" Abbr="5 p." DocPartId="d6e61476e99f460cb520210331ceb61e" PartId="53039df194e14a85bcb99802afa12ddc"/>
    </Part>
  </Part>
  <Part Type="patvirtinta" Title="(4.6.1. eilutės iššifravimas)" DocPartId="4677ea0ee1cd4236bfd22069c50dd23e" PartId="e6154352be9e4b8cbfc1d57feb4dd41c"/>
</Parts>
</file>

<file path=customXml/itemProps1.xml><?xml version="1.0" encoding="utf-8"?>
<ds:datastoreItem xmlns:ds="http://schemas.openxmlformats.org/officeDocument/2006/customXml" ds:itemID="{C2C4FE1A-D810-4DD4-9403-E2C633FED5F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141DCC1-B6C6-4B7D-997A-F37BBECAEC6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3413</Words>
  <Characters>22975</Characters>
  <Application>Microsoft Office Word</Application>
  <DocSecurity>4</DocSecurity>
  <Lines>1148</Lines>
  <Paragraphs>507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ĮSAKYMAS</vt:lpstr>
    </vt:vector>
  </TitlesOfParts>
  <Company>Hewlett-Packard Company</Company>
  <LinksUpToDate>false</LinksUpToDate>
  <CharactersWithSpaces>25881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2025-09-16T06:53:00Z</dcterms:created>
  <dc:creator>A-Juozapaitis</dc:creator>
  <lastModifiedBy>adlibuser</lastModifiedBy>
  <lastPrinted>2025-09-08T10:27:00Z</lastPrinted>
  <dcterms:modified xsi:type="dcterms:W3CDTF">2025-09-16T06:53:00Z</dcterms:modified>
  <revision>2</revision>
  <dc:title>ĮSAKYMAS</dc:title>
</coreProperties>
</file>