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70a3a40072b4914a74e0dd86f9892b5"/>
        <w:lock w:val="sdtLocked"/>
        <w:richText/>
      </w:sdtPr>
      <w:sdtContent>
        <w:p>
          <w:pPr>
            <w:tabs>
              <w:tab w:val="center" w:pos="4819"/>
              <w:tab w:val="right" w:pos="9638"/>
            </w:tabs>
            <w:ind w:right="140"/>
            <w:jc w:val="center"/>
            <w:rPr>
              <w:rFonts w:ascii="Calibri" w:hAnsi="Calibri" w:cs="Calibri"/>
              <w:sz w:val="22"/>
              <w:szCs w:val="22"/>
            </w:rPr>
          </w:pPr>
        </w:p>
        <w:p>
          <w:pPr>
            <w:rPr>
              <w:sz w:val="14"/>
              <w:szCs w:val="14"/>
            </w:rPr>
          </w:pPr>
        </w:p>
        <w:p>
          <w:pPr>
            <w:ind w:left="113" w:hanging="113"/>
            <w:jc w:val="right"/>
            <w:rPr>
              <w:b/>
              <w:caps/>
              <w:szCs w:val="24"/>
            </w:rPr>
          </w:pPr>
          <w:r>
            <w:rPr>
              <w:b/>
              <w:szCs w:val="24"/>
            </w:rPr>
            <w:t>Projektas</w:t>
          </w:r>
        </w:p>
        <w:p>
          <w:pPr>
            <w:rPr>
              <w:sz w:val="14"/>
              <w:szCs w:val="14"/>
            </w:rPr>
          </w:pPr>
        </w:p>
        <w:p>
          <w:pPr>
            <w:jc w:val="center"/>
            <w:rPr>
              <w:b/>
              <w:caps/>
            </w:rPr>
          </w:pPr>
          <w:r>
            <w:rPr>
              <w:b/>
              <w:caps/>
            </w:rPr>
            <w:t>LIETUVOS RESPUBLIKOS ENERGETIKOS MINISTRAS</w:t>
          </w:r>
        </w:p>
        <w:p>
          <w:pPr>
            <w:overflowPunct w:val="0"/>
            <w:spacing w:line="276" w:lineRule="auto"/>
            <w:jc w:val="center"/>
            <w:textAlignment w:val="baseline"/>
            <w:rPr>
              <w:b/>
              <w:bCs/>
              <w:szCs w:val="24"/>
              <w:lang w:eastAsia="lt-LT"/>
            </w:rPr>
          </w:pPr>
        </w:p>
        <w:p>
          <w:pPr>
            <w:overflowPunct w:val="0"/>
            <w:jc w:val="center"/>
            <w:textAlignment w:val="baseline"/>
            <w:rPr>
              <w:szCs w:val="24"/>
              <w:lang w:eastAsia="lt-LT"/>
            </w:rPr>
          </w:pPr>
          <w:r>
            <w:rPr>
              <w:b/>
              <w:bCs/>
              <w:szCs w:val="24"/>
              <w:lang w:eastAsia="lt-LT"/>
            </w:rPr>
            <w:t>ĮSAKYMAS</w:t>
          </w:r>
        </w:p>
        <w:p>
          <w:pPr>
            <w:overflowPunct w:val="0"/>
            <w:spacing w:line="276" w:lineRule="auto"/>
            <w:jc w:val="center"/>
            <w:textAlignment w:val="baseline"/>
            <w:rPr>
              <w:b/>
              <w:bCs/>
              <w:szCs w:val="24"/>
              <w:lang w:eastAsia="lt-LT"/>
            </w:rPr>
          </w:pPr>
          <w:r>
            <w:rPr>
              <w:b/>
              <w:bCs/>
              <w:szCs w:val="24"/>
              <w:lang w:eastAsia="lt-LT"/>
            </w:rPr>
            <w:t xml:space="preserve">DĖL LIETUVOS RESPUBLIKOS ENERGETIKOS MINISTRO 2018 M. LIEPOS 17 D.  ĮSAKYMO NR. 1-204 „DĖL 2014–2020 METŲ EUROPOS SĄJUNGOS FONDŲ INVESTICIJŲ VEIKSMŲ PROGRAMOS 4 PRIORITETO „ENERGIJOS     EFEKTYVUMO IR ATSINAUJINANČIŲ IŠTEKLIŲ ENERGIJOS GAMYBOS IR NAUDOJIMO SKATINIMAS“ 04.3.1-VIPA-T-113 PRIEMONĖS „VALSTYBEI NUOSAVYBĖS TEISE PRIKLAUSANČIŲ PASTATŲ ATNAUJINIMAS (II)“ PROJEKTŲ FINANSAVIMO SĄLYGŲ APRAŠO NR. 1 PATVIRTINIMO“ PAKEITIMO</w:t>
          </w:r>
        </w:p>
        <w:p>
          <w:pPr>
            <w:keepNext/>
            <w:overflowPunct w:val="0"/>
            <w:spacing w:line="276" w:lineRule="auto"/>
            <w:jc w:val="center"/>
            <w:textAlignment w:val="baseline"/>
            <w:rPr>
              <w:b/>
              <w:bCs/>
              <w:szCs w:val="24"/>
              <w:lang w:eastAsia="lt-LT"/>
            </w:rPr>
          </w:pPr>
        </w:p>
        <w:p>
          <w:pPr>
            <w:keepNext/>
            <w:overflowPunct w:val="0"/>
            <w:spacing w:line="276" w:lineRule="auto"/>
            <w:jc w:val="center"/>
            <w:textAlignment w:val="baseline"/>
            <w:rPr>
              <w:szCs w:val="24"/>
              <w:lang w:eastAsia="lt-LT"/>
            </w:rPr>
          </w:pPr>
          <w:r>
            <w:rPr>
              <w:szCs w:val="24"/>
              <w:lang w:eastAsia="lt-LT"/>
            </w:rPr>
            <w:t xml:space="preserve">2018 m.               d. Nr. 1-</w:t>
          </w:r>
        </w:p>
        <w:p>
          <w:pPr>
            <w:overflowPunct w:val="0"/>
            <w:spacing w:line="276" w:lineRule="auto"/>
            <w:jc w:val="center"/>
            <w:textAlignment w:val="baseline"/>
            <w:rPr>
              <w:szCs w:val="24"/>
              <w:lang w:eastAsia="lt-LT"/>
            </w:rPr>
          </w:pPr>
          <w:r>
            <w:rPr>
              <w:szCs w:val="24"/>
              <w:lang w:eastAsia="lt-LT"/>
            </w:rPr>
            <w:t>Vilnius</w:t>
          </w:r>
        </w:p>
        <w:p>
          <w:pPr>
            <w:tabs>
              <w:tab w:val="left" w:pos="1418"/>
            </w:tabs>
            <w:overflowPunct w:val="0"/>
            <w:jc w:val="both"/>
            <w:textAlignment w:val="baseline"/>
            <w:rPr>
              <w:szCs w:val="24"/>
              <w:lang w:eastAsia="lt-LT"/>
            </w:rPr>
          </w:pPr>
        </w:p>
        <w:sdt>
          <w:sdtPr>
            <w:alias w:val="preambule"/>
            <w:tag w:val="part_e9ab62f66a144235815202bef9b58b71"/>
            <w:lock w:val="sdtLocked"/>
            <w:richText/>
          </w:sdtPr>
          <w:sdtContent>
            <w:p>
              <w:pPr>
                <w:tabs>
                  <w:tab w:val="left" w:pos="1418"/>
                </w:tabs>
                <w:overflowPunct w:val="0"/>
                <w:ind w:firstLine="851"/>
                <w:jc w:val="both"/>
                <w:textAlignment w:val="baseline"/>
                <w:rPr>
                  <w:color w:val="000000"/>
                  <w:szCs w:val="24"/>
                  <w:lang w:eastAsia="lt-LT"/>
                </w:rPr>
              </w:pPr>
              <w:r>
                <w:rPr>
                  <w:color w:val="000000"/>
                  <w:szCs w:val="24"/>
                  <w:lang w:eastAsia="lt-LT"/>
                </w:rPr>
                <w:t xml:space="preserve">P a k e i č i u Lietuvos Respublikos energetikos ministro 2018 m. liepos 17 d. įsakymą                Nr. 1-204 „Dėl 2014–2020 metų Europos Sąjungos fondų investicijų veiksmų programos 4      prioriteto „Energijos efektyvumo ir atsinaujinančių išteklių energijos gamybos ir naudojimo skatinimas“ 04.3.1-VIPA-T-113 priemonės „Valstybei nuosavybės teise priklausančių pastatų atnaujinimas (II)“ projektų finansavimo sąlygų aprašo Nr. 1 patvirtinimo“:</w:t>
              </w:r>
            </w:p>
          </w:sdtContent>
        </w:sdt>
        <w:sdt>
          <w:sdtPr>
            <w:alias w:val="1 p."/>
            <w:tag w:val="part_7097ee04601941b181b2a248d79cdd98"/>
            <w:lock w:val="sdtLocked"/>
            <w:richText/>
          </w:sdtPr>
          <w:sdtContent>
            <w:p>
              <w:pPr>
                <w:overflowPunct w:val="0"/>
                <w:ind w:left="851" w:hanging="142"/>
                <w:jc w:val="both"/>
                <w:textAlignment w:val="baseline"/>
                <w:rPr>
                  <w:szCs w:val="24"/>
                </w:rPr>
              </w:pPr>
              <w:sdt>
                <w:sdtPr>
                  <w:alias w:val="Numeris"/>
                  <w:tag w:val="nr_7097ee04601941b181b2a248d79cdd98"/>
                  <w:lock w:val="sdtLocked"/>
                  <w:richText/>
                </w:sdtPr>
                <w:sdtContent>
                  <w:r>
                    <w:rPr>
                      <w:szCs w:val="24"/>
                    </w:rPr>
                    <w:t>1</w:t>
                  </w:r>
                </w:sdtContent>
              </w:sdt>
              <w:r>
                <w:rPr>
                  <w:szCs w:val="24"/>
                </w:rPr>
                <w:t>.</w:t>
                <w:tab/>
                <w:t xml:space="preserve"> Pakeičiu 16 punkto pirmąją pastraipą ir ją išdėstau taip:</w:t>
              </w:r>
            </w:p>
            <w:sdt>
              <w:sdtPr>
                <w:alias w:val="citata"/>
                <w:tag w:val="part_adec0f2d9d314f39b2b6adc68b146f7f"/>
                <w:lock w:val="sdtLocked"/>
                <w:richText/>
              </w:sdtPr>
              <w:sdtContent>
                <w:sdt>
                  <w:sdtPr>
                    <w:alias w:val="16 p."/>
                    <w:tag w:val="part_0dad41e07cb54a5c8908bff48f5fe73f"/>
                    <w:lock w:val="sdtLocked"/>
                    <w:richText/>
                  </w:sdtPr>
                  <w:sdtContent>
                    <w:p>
                      <w:pPr>
                        <w:overflowPunct w:val="0"/>
                        <w:ind w:firstLine="567"/>
                        <w:jc w:val="both"/>
                        <w:textAlignment w:val="baseline"/>
                        <w:rPr>
                          <w:szCs w:val="24"/>
                        </w:rPr>
                      </w:pPr>
                      <w:r>
                        <w:rPr>
                          <w:szCs w:val="24"/>
                        </w:rPr>
                        <w:t>„</w:t>
                      </w:r>
                      <w:sdt>
                        <w:sdtPr>
                          <w:alias w:val="Numeris"/>
                          <w:tag w:val="nr_0dad41e07cb54a5c8908bff48f5fe73f"/>
                          <w:lock w:val="sdtLocked"/>
                          <w:richText/>
                        </w:sdtPr>
                        <w:sdtContent>
                          <w:r>
                            <w:rPr>
                              <w:szCs w:val="24"/>
                            </w:rPr>
                            <w:t>16</w:t>
                          </w:r>
                        </w:sdtContent>
                      </w:sdt>
                      <w:r>
                        <w:rPr>
                          <w:szCs w:val="24"/>
                        </w:rPr>
                        <w:t xml:space="preserve">. Projektas turi atitikti šiuos specialiuosius projektų atrankos kriterijus, patvirtintus Veiksmų programos stebėsenos komiteto 2018 m. vasario 22 d. posėdžio protokoliniu sprendimu Nr. 44P-1 (31) ir </w:t>
                      </w:r>
                      <w:r>
                        <w:rPr>
                          <w:color w:val="000000"/>
                          <w:szCs w:val="24"/>
                        </w:rPr>
                        <w:t>2018 m. rugsėjo 20 d. posėdžio nutarimu Nr. 44P-4 (34)</w:t>
                      </w:r>
                      <w:r>
                        <w:rPr>
                          <w:szCs w:val="24"/>
                        </w:rPr>
                        <w:t>:“.</w:t>
                      </w:r>
                    </w:p>
                  </w:sdtContent>
                </w:sdt>
              </w:sdtContent>
            </w:sdt>
          </w:sdtContent>
        </w:sdt>
        <w:sdt>
          <w:sdtPr>
            <w:alias w:val="2 p."/>
            <w:tag w:val="part_5b7891b01fde40df80d5d52b695881a4"/>
            <w:lock w:val="sdtLocked"/>
            <w:richText/>
          </w:sdtPr>
          <w:sdtContent>
            <w:p>
              <w:pPr>
                <w:overflowPunct w:val="0"/>
                <w:ind w:left="993" w:hanging="360"/>
                <w:jc w:val="both"/>
                <w:textAlignment w:val="baseline"/>
                <w:rPr>
                  <w:szCs w:val="24"/>
                </w:rPr>
              </w:pPr>
              <w:sdt>
                <w:sdtPr>
                  <w:alias w:val="Numeris"/>
                  <w:tag w:val="nr_5b7891b01fde40df80d5d52b695881a4"/>
                  <w:lock w:val="sdtLocked"/>
                  <w:richText/>
                </w:sdtPr>
                <w:sdtContent>
                  <w:r>
                    <w:rPr>
                      <w:szCs w:val="24"/>
                    </w:rPr>
                    <w:t>2</w:t>
                  </w:r>
                </w:sdtContent>
              </w:sdt>
              <w:r>
                <w:rPr>
                  <w:szCs w:val="24"/>
                </w:rPr>
                <w:t>.</w:t>
                <w:tab/>
                <w:t>Pakeičiu 16.1 papunktį ir jį išdėstau taip:</w:t>
              </w:r>
            </w:p>
            <w:sdt>
              <w:sdtPr>
                <w:alias w:val="citata"/>
                <w:tag w:val="part_6d34ba4c22664c3ea1475265d0efcae8"/>
                <w:lock w:val="sdtLocked"/>
                <w:richText/>
              </w:sdtPr>
              <w:sdtContent>
                <w:sdt>
                  <w:sdtPr>
                    <w:alias w:val="16.1 pp."/>
                    <w:tag w:val="part_08ee826fb25642138ad783d228838546"/>
                    <w:lock w:val="sdtLocked"/>
                    <w:richText/>
                  </w:sdtPr>
                  <w:sdtContent>
                    <w:p>
                      <w:pPr>
                        <w:overflowPunct w:val="0"/>
                        <w:ind w:firstLine="567"/>
                        <w:jc w:val="both"/>
                        <w:textAlignment w:val="baseline"/>
                        <w:rPr>
                          <w:szCs w:val="24"/>
                        </w:rPr>
                      </w:pPr>
                      <w:r>
                        <w:rPr>
                          <w:szCs w:val="24"/>
                        </w:rPr>
                        <w:t>„</w:t>
                      </w:r>
                      <w:sdt>
                        <w:sdtPr>
                          <w:alias w:val="Numeris"/>
                          <w:tag w:val="nr_08ee826fb25642138ad783d228838546"/>
                          <w:lock w:val="sdtLocked"/>
                          <w:richText/>
                        </w:sdtPr>
                        <w:sdtContent>
                          <w:r>
                            <w:rPr>
                              <w:szCs w:val="24"/>
                            </w:rPr>
                            <w:t>16.1</w:t>
                          </w:r>
                        </w:sdtContent>
                      </w:sdt>
                      <w:r>
                        <w:rPr>
                          <w:szCs w:val="24"/>
                        </w:rPr>
                        <w:t>.</w:t>
                        <w:tab/>
                        <w:t>atitiktis strateginiams dokumentams. Vertinama, ar projektas prisideda prie Nacionalinės energetinės nepriklausomybės strategijos įgyvendinimo ir atitinka Viešųjų pastatų energinio efektyvumo didinimo programos nuostatas. Laikoma, kad numatomas vykdyti projektas prisideda prie Nacionalinės energetinės nepriklausomybės strategijos 33.1 papunkčio įgyvendinimo, jeigu projektu bus užtikrintas energijos vartojimo efektyvumo padidėjimas, ir, kad projektas atitinka Programos nuostatas, jei pastatas, kurį ketinama atnaujinti, dėl įgyvendinamo projekto pasieks mažiausiai C energinio naudingumo klasę;“.</w:t>
                      </w:r>
                    </w:p>
                  </w:sdtContent>
                </w:sdt>
              </w:sdtContent>
            </w:sdt>
          </w:sdtContent>
        </w:sdt>
        <w:sdt>
          <w:sdtPr>
            <w:alias w:val="3 p."/>
            <w:tag w:val="part_89665244176f45cb838ebfa30de5e3a5"/>
            <w:lock w:val="sdtLocked"/>
            <w:richText/>
          </w:sdtPr>
          <w:sdtContent>
            <w:p>
              <w:pPr>
                <w:overflowPunct w:val="0"/>
                <w:ind w:left="993" w:hanging="360"/>
                <w:jc w:val="both"/>
                <w:textAlignment w:val="baseline"/>
                <w:rPr>
                  <w:szCs w:val="24"/>
                </w:rPr>
              </w:pPr>
              <w:sdt>
                <w:sdtPr>
                  <w:alias w:val="Numeris"/>
                  <w:tag w:val="nr_89665244176f45cb838ebfa30de5e3a5"/>
                  <w:lock w:val="sdtLocked"/>
                  <w:richText/>
                </w:sdtPr>
                <w:sdtContent>
                  <w:r>
                    <w:rPr>
                      <w:szCs w:val="24"/>
                    </w:rPr>
                    <w:t>3</w:t>
                  </w:r>
                </w:sdtContent>
              </w:sdt>
              <w:r>
                <w:rPr>
                  <w:szCs w:val="24"/>
                </w:rPr>
                <w:t>.</w:t>
                <w:tab/>
                <w:t>Pakeičiu 21 punktą ir jį išdėstau taip:</w:t>
              </w:r>
              <w:r>
                <w:rPr>
                  <w:color w:val="000000"/>
                  <w:szCs w:val="24"/>
                </w:rPr>
                <w:t xml:space="preserve"> </w:t>
              </w:r>
            </w:p>
            <w:sdt>
              <w:sdtPr>
                <w:alias w:val="citata"/>
                <w:tag w:val="part_a7c1e291f648453fb68e33379e64bcbc"/>
                <w:lock w:val="sdtLocked"/>
                <w:richText/>
              </w:sdtPr>
              <w:sdtContent>
                <w:sdt>
                  <w:sdtPr>
                    <w:alias w:val="21 p."/>
                    <w:tag w:val="part_4471cf4231c94698a7c9c459374c4eb3"/>
                    <w:lock w:val="sdtLocked"/>
                    <w:richText/>
                  </w:sdtPr>
                  <w:sdtContent>
                    <w:p>
                      <w:pPr>
                        <w:overflowPunct w:val="0"/>
                        <w:ind w:firstLine="567"/>
                        <w:jc w:val="both"/>
                        <w:textAlignment w:val="baseline"/>
                        <w:rPr>
                          <w:szCs w:val="24"/>
                        </w:rPr>
                      </w:pPr>
                      <w:r>
                        <w:rPr>
                          <w:color w:val="000000"/>
                          <w:szCs w:val="24"/>
                        </w:rPr>
                        <w:t>„</w:t>
                      </w:r>
                      <w:sdt>
                        <w:sdtPr>
                          <w:alias w:val="Numeris"/>
                          <w:tag w:val="nr_4471cf4231c94698a7c9c459374c4eb3"/>
                          <w:lock w:val="sdtLocked"/>
                          <w:richText/>
                        </w:sdtPr>
                        <w:sdtContent>
                          <w:r>
                            <w:rPr>
                              <w:color w:val="000000"/>
                              <w:szCs w:val="24"/>
                            </w:rPr>
                            <w:t>21</w:t>
                          </w:r>
                        </w:sdtContent>
                      </w:sdt>
                      <w:r>
                        <w:rPr>
                          <w:color w:val="000000"/>
                          <w:szCs w:val="24"/>
                        </w:rPr>
                        <w:t>. Pagal Aprašą teikiamų projektų veiklų įgyvendinimo trukmė turi būti ne ilgesnė kaip 24 mėnesiai nuo projekto sutarties pasirašymo dienos. Paraiškos pagal Aprašą gali būti teikiamos iki 2020 m. rugsėjo 1 d., o išlaidos apmokamos ne vėliau nei iki 2023 m. gruodžio 31 d.“</w:t>
                      </w:r>
                    </w:p>
                  </w:sdtContent>
                </w:sdt>
              </w:sdtContent>
            </w:sdt>
          </w:sdtContent>
        </w:sdt>
        <w:sdt>
          <w:sdtPr>
            <w:alias w:val="4 p."/>
            <w:tag w:val="part_10f0428a3baf4d8c89bf9cabe2780849"/>
            <w:lock w:val="sdtLocked"/>
            <w:richText/>
          </w:sdtPr>
          <w:sdtContent>
            <w:p>
              <w:pPr>
                <w:overflowPunct w:val="0"/>
                <w:ind w:left="993" w:hanging="360"/>
                <w:jc w:val="both"/>
                <w:textAlignment w:val="baseline"/>
                <w:rPr>
                  <w:szCs w:val="24"/>
                </w:rPr>
              </w:pPr>
              <w:sdt>
                <w:sdtPr>
                  <w:alias w:val="Numeris"/>
                  <w:tag w:val="nr_10f0428a3baf4d8c89bf9cabe2780849"/>
                  <w:lock w:val="sdtLocked"/>
                  <w:richText/>
                </w:sdtPr>
                <w:sdtContent>
                  <w:r>
                    <w:rPr>
                      <w:szCs w:val="24"/>
                    </w:rPr>
                    <w:t>4</w:t>
                  </w:r>
                </w:sdtContent>
              </w:sdt>
              <w:r>
                <w:rPr>
                  <w:szCs w:val="24"/>
                </w:rPr>
                <w:t>.</w:t>
                <w:tab/>
                <w:t>Pakeičiu 45 punktą ir jį išdėstau taip:</w:t>
              </w:r>
            </w:p>
            <w:sdt>
              <w:sdtPr>
                <w:alias w:val="citata"/>
                <w:tag w:val="part_4f4c14f3d4b84b76b8de6b447df29fb1"/>
                <w:lock w:val="sdtLocked"/>
                <w:richText/>
              </w:sdtPr>
              <w:sdtContent>
                <w:sdt>
                  <w:sdtPr>
                    <w:alias w:val="45 p."/>
                    <w:tag w:val="part_b94b8b9f54eb4d88a512c87f651a2f17"/>
                    <w:lock w:val="sdtLocked"/>
                    <w:richText/>
                  </w:sdtPr>
                  <w:sdtContent>
                    <w:p>
                      <w:pPr>
                        <w:overflowPunct w:val="0"/>
                        <w:ind w:firstLine="567"/>
                        <w:jc w:val="both"/>
                        <w:textAlignment w:val="baseline"/>
                        <w:rPr>
                          <w:szCs w:val="24"/>
                        </w:rPr>
                      </w:pPr>
                      <w:r>
                        <w:rPr>
                          <w:szCs w:val="24"/>
                        </w:rPr>
                        <w:t>„</w:t>
                      </w:r>
                      <w:sdt>
                        <w:sdtPr>
                          <w:alias w:val="Numeris"/>
                          <w:tag w:val="nr_b94b8b9f54eb4d88a512c87f651a2f17"/>
                          <w:lock w:val="sdtLocked"/>
                          <w:richText/>
                        </w:sdtPr>
                        <w:sdtContent>
                          <w:r>
                            <w:rPr>
                              <w:szCs w:val="24"/>
                            </w:rPr>
                            <w:t>45</w:t>
                          </w:r>
                        </w:sdtContent>
                      </w:sdt>
                      <w:r>
                        <w:rPr>
                          <w:szCs w:val="24"/>
                        </w:rPr>
                        <w:t>.</w:t>
                        <w:tab/>
                        <w:t xml:space="preserve"> Pagal šį Aprašą tinkamų finansuoti išlaidų kategorija –  trečioji išlaidų kategorija „Statyba, rekonstravimas, remontas ir kiti darbai“, pagal kurią tinkami finansuoti Viešųjų pastatų energinio efektyvumo didinimo programos 2 priede nurodyti viešųjų pastatų atnaujinimo veiksmai (priemonės), iš kurių 11–13 punktuose nurodytiems viešųjų pastatų atnaujinimo veiksmams (priemonėms) taikomos Viešųjų pastatų energinio efektyvumo didinimo programos 23.5 papunkčio nuostatos.“</w:t>
                      </w:r>
                    </w:p>
                  </w:sdtContent>
                </w:sdt>
              </w:sdtContent>
            </w:sdt>
          </w:sdtContent>
        </w:sdt>
        <w:sdt>
          <w:sdtPr>
            <w:alias w:val="5 p."/>
            <w:tag w:val="part_0ef4b76794714c4e83d5ec3d39cb9d51"/>
            <w:lock w:val="sdtLocked"/>
            <w:richText/>
          </w:sdtPr>
          <w:sdtContent>
            <w:p>
              <w:pPr>
                <w:overflowPunct w:val="0"/>
                <w:ind w:left="1211" w:hanging="360"/>
                <w:jc w:val="both"/>
                <w:textAlignment w:val="baseline"/>
                <w:rPr>
                  <w:szCs w:val="24"/>
                </w:rPr>
              </w:pPr>
              <w:sdt>
                <w:sdtPr>
                  <w:alias w:val="Numeris"/>
                  <w:tag w:val="nr_0ef4b76794714c4e83d5ec3d39cb9d51"/>
                  <w:lock w:val="sdtLocked"/>
                  <w:richText/>
                </w:sdtPr>
                <w:sdtContent>
                  <w:r>
                    <w:rPr>
                      <w:szCs w:val="24"/>
                    </w:rPr>
                    <w:t>5</w:t>
                  </w:r>
                </w:sdtContent>
              </w:sdt>
              <w:r>
                <w:rPr>
                  <w:szCs w:val="24"/>
                </w:rPr>
                <w:t>.</w:t>
                <w:tab/>
              </w:r>
              <w:r>
                <w:rPr>
                  <w:color w:val="000000"/>
                  <w:szCs w:val="24"/>
                </w:rPr>
                <w:t>Pakeičiu 51 punktą ir jį išdėstau taip:</w:t>
              </w:r>
            </w:p>
            <w:sdt>
              <w:sdtPr>
                <w:alias w:val="citata"/>
                <w:tag w:val="part_ef29d8b16bcf4b03939cf1fab297b2d6"/>
                <w:lock w:val="sdtLocked"/>
                <w:richText/>
              </w:sdtPr>
              <w:sdtContent>
                <w:sdt>
                  <w:sdtPr>
                    <w:alias w:val="51 p."/>
                    <w:tag w:val="part_86ddf19c124642b6b9427a1a2e80e655"/>
                    <w:lock w:val="sdtLocked"/>
                    <w:richText/>
                  </w:sdtPr>
                  <w:sdtContent>
                    <w:p>
                      <w:pPr>
                        <w:overflowPunct w:val="0"/>
                        <w:ind w:firstLine="851"/>
                        <w:jc w:val="both"/>
                        <w:textAlignment w:val="baseline"/>
                        <w:rPr>
                          <w:szCs w:val="24"/>
                        </w:rPr>
                      </w:pPr>
                      <w:r>
                        <w:rPr>
                          <w:szCs w:val="24"/>
                        </w:rPr>
                        <w:t>„</w:t>
                      </w:r>
                      <w:sdt>
                        <w:sdtPr>
                          <w:alias w:val="Numeris"/>
                          <w:tag w:val="nr_86ddf19c124642b6b9427a1a2e80e655"/>
                          <w:lock w:val="sdtLocked"/>
                          <w:richText/>
                        </w:sdtPr>
                        <w:sdtContent>
                          <w:r>
                            <w:rPr>
                              <w:szCs w:val="24"/>
                            </w:rPr>
                            <w:t>51</w:t>
                          </w:r>
                        </w:sdtContent>
                      </w:sdt>
                      <w:r>
                        <w:rPr>
                          <w:szCs w:val="24"/>
                        </w:rPr>
                        <w:t>. Pajamoms iš projekto veiklų, gautoms projekto įgyvendinimo metu ir po projekto finansavimo pabaigos, taikomi reikalavimai, nustatyti Projektų administravimo ir finansavimo taisyklių 36 skirsnyje, taip pat Lietuvos Respublikos finansų ministerijos rengiamose gairėse dėl projektų diskontuotų grynųjų pajamų skaičiavimo ir priežiūros metodikos, kurios skelbiamos ES struktūrinių fondų svetainėje http://www.esinvesticijos.lt/docview/?id=4743&amp;h=40657&amp;t=2016%2005%2009%20Pajam%20skaiciav%20ir%20priez%20metodika (netaikoma, jeigu projektui teikiama valstybės pagalba).</w:t>
                      </w:r>
                      <w:r>
                        <w:rPr>
                          <w:b/>
                          <w:szCs w:val="24"/>
                        </w:rPr>
                        <w:t xml:space="preserve"> </w:t>
                      </w:r>
                      <w:r>
                        <w:rPr>
                          <w:szCs w:val="24"/>
                        </w:rPr>
                        <w:t>Veiklos išlaidos, sutaupytos įgyvendinant energijos vartojimo efektyvumo priemones, nėra laikomos grynosiomis pajamomis, kaip numatyta 2018 m. liepos 18 d. Europos Parlamento ir Tarybos reglamente (ES, Euratomas) 2018/1046 dėl Sąjungos bendrajam biudžetui taikomų finansinių taisyklių, kuriuo iš dalies keičiami reglamentai (ES) Nr. 1296/2013, (ES) Nr. 1301/2013, (ES) Nr. 1303/2013, (ES) Nr. 1304/2013, (ES) Nr. 1309/2013, (ES) Nr. 1316/2013, (ES) Nr. 223/2014, (ES) Nr. 283/2014 ir Sprendimas Nr. 541/2014/ES, bei panaikinamas Reglamentas (ES, Euratomas) Nr. 966/2012.“</w:t>
                      </w:r>
                    </w:p>
                  </w:sdtContent>
                </w:sdt>
              </w:sdtContent>
            </w:sdt>
          </w:sdtContent>
        </w:sdt>
        <w:sdt>
          <w:sdtPr>
            <w:alias w:val="6 p."/>
            <w:tag w:val="part_32c8ba6a4fe54694b262c968fc9ab518"/>
            <w:lock w:val="sdtLocked"/>
            <w:richText/>
          </w:sdtPr>
          <w:sdtContent>
            <w:p>
              <w:pPr>
                <w:overflowPunct w:val="0"/>
                <w:ind w:left="851"/>
                <w:jc w:val="both"/>
                <w:textAlignment w:val="baseline"/>
                <w:rPr>
                  <w:szCs w:val="24"/>
                </w:rPr>
              </w:pPr>
              <w:sdt>
                <w:sdtPr>
                  <w:alias w:val="Numeris"/>
                  <w:tag w:val="nr_32c8ba6a4fe54694b262c968fc9ab518"/>
                  <w:lock w:val="sdtLocked"/>
                  <w:richText/>
                </w:sdtPr>
                <w:sdtContent>
                  <w:r>
                    <w:rPr>
                      <w:szCs w:val="24"/>
                    </w:rPr>
                    <w:t>6</w:t>
                  </w:r>
                </w:sdtContent>
              </w:sdt>
              <w:r>
                <w:rPr>
                  <w:szCs w:val="24"/>
                </w:rPr>
                <w:t>.</w:t>
                <w:tab/>
              </w:r>
              <w:r>
                <w:rPr>
                  <w:color w:val="000000"/>
                  <w:szCs w:val="24"/>
                </w:rPr>
                <w:t>Pakeičiu 71.12 papunktį ir jį išdėstau taip:</w:t>
              </w:r>
            </w:p>
            <w:sdt>
              <w:sdtPr>
                <w:alias w:val="citata"/>
                <w:tag w:val="part_f74aca6b95824f9a8e9c1dd3cfb92b49"/>
                <w:lock w:val="sdtLocked"/>
                <w:richText/>
              </w:sdtPr>
              <w:sdtContent>
                <w:sdt>
                  <w:sdtPr>
                    <w:alias w:val="71.12 pp."/>
                    <w:tag w:val="part_2d1d63d4f6be42b6b0958aa77b094f7a"/>
                    <w:lock w:val="sdtLocked"/>
                    <w:richText/>
                  </w:sdtPr>
                  <w:sdtContent>
                    <w:p>
                      <w:pPr>
                        <w:overflowPunct w:val="0"/>
                        <w:ind w:firstLine="709"/>
                        <w:jc w:val="both"/>
                        <w:textAlignment w:val="baseline"/>
                        <w:rPr>
                          <w:szCs w:val="24"/>
                        </w:rPr>
                      </w:pPr>
                      <w:r>
                        <w:rPr>
                          <w:szCs w:val="24"/>
                        </w:rPr>
                        <w:t>„</w:t>
                      </w:r>
                      <w:sdt>
                        <w:sdtPr>
                          <w:alias w:val="Numeris"/>
                          <w:tag w:val="nr_2d1d63d4f6be42b6b0958aa77b094f7a"/>
                          <w:lock w:val="sdtLocked"/>
                          <w:richText/>
                        </w:sdtPr>
                        <w:sdtContent>
                          <w:r>
                            <w:rPr>
                              <w:szCs w:val="24"/>
                            </w:rPr>
                            <w:t>71.12</w:t>
                          </w:r>
                        </w:sdtContent>
                      </w:sdt>
                      <w:r>
                        <w:rPr>
                          <w:szCs w:val="24"/>
                        </w:rPr>
                        <w:t>.</w:t>
                        <w:tab/>
                        <w:t>pareiškėjo įsipareigojimą padengti netinkamas finansuoti, tačiau šiam projektui įgyvendinti būtinas išlaidas, ir tinkamas išlaidas, kurių nepadengia projekto finansavimas, įrodančius dokumentus, jeigu tokios išlaidos numatomos;“.</w:t>
                      </w:r>
                    </w:p>
                  </w:sdtContent>
                </w:sdt>
              </w:sdtContent>
            </w:sdt>
          </w:sdtContent>
        </w:sdt>
        <w:sdt>
          <w:sdtPr>
            <w:alias w:val="7 p."/>
            <w:tag w:val="part_c9ca703c36f7427084abbb49902ff0ed"/>
            <w:lock w:val="sdtLocked"/>
            <w:richText/>
          </w:sdtPr>
          <w:sdtContent>
            <w:p>
              <w:pPr>
                <w:overflowPunct w:val="0"/>
                <w:ind w:left="851"/>
                <w:jc w:val="both"/>
                <w:textAlignment w:val="baseline"/>
                <w:rPr>
                  <w:szCs w:val="24"/>
                </w:rPr>
              </w:pPr>
              <w:sdt>
                <w:sdtPr>
                  <w:alias w:val="Numeris"/>
                  <w:tag w:val="nr_c9ca703c36f7427084abbb49902ff0ed"/>
                  <w:lock w:val="sdtLocked"/>
                  <w:richText/>
                </w:sdtPr>
                <w:sdtContent>
                  <w:r>
                    <w:rPr>
                      <w:szCs w:val="24"/>
                    </w:rPr>
                    <w:t>7</w:t>
                  </w:r>
                </w:sdtContent>
              </w:sdt>
              <w:r>
                <w:rPr>
                  <w:szCs w:val="24"/>
                </w:rPr>
                <w:t>.</w:t>
                <w:tab/>
                <w:t>Papildau 71.17 papunkčiu:</w:t>
              </w:r>
            </w:p>
            <w:sdt>
              <w:sdtPr>
                <w:alias w:val="citata"/>
                <w:tag w:val="part_43b39b30df4741578121256443f64e8d"/>
                <w:lock w:val="sdtLocked"/>
                <w:richText/>
              </w:sdtPr>
              <w:sdtContent>
                <w:sdt>
                  <w:sdtPr>
                    <w:alias w:val="71.17 pp."/>
                    <w:tag w:val="part_1b61d3f71fcd47939738faf9ba29d207"/>
                    <w:lock w:val="sdtLocked"/>
                    <w:richText/>
                  </w:sdtPr>
                  <w:sdtContent>
                    <w:p>
                      <w:pPr>
                        <w:overflowPunct w:val="0"/>
                        <w:ind w:firstLine="567"/>
                        <w:jc w:val="both"/>
                        <w:textAlignment w:val="baseline"/>
                        <w:rPr>
                          <w:szCs w:val="24"/>
                        </w:rPr>
                      </w:pPr>
                      <w:r>
                        <w:rPr>
                          <w:szCs w:val="24"/>
                        </w:rPr>
                        <w:t>„</w:t>
                      </w:r>
                      <w:sdt>
                        <w:sdtPr>
                          <w:alias w:val="Numeris"/>
                          <w:tag w:val="nr_1b61d3f71fcd47939738faf9ba29d207"/>
                          <w:lock w:val="sdtLocked"/>
                          <w:richText/>
                        </w:sdtPr>
                        <w:sdtContent>
                          <w:r>
                            <w:rPr>
                              <w:szCs w:val="24"/>
                            </w:rPr>
                            <w:t>71.17</w:t>
                          </w:r>
                        </w:sdtContent>
                      </w:sdt>
                      <w:r>
                        <w:rPr>
                          <w:szCs w:val="24"/>
                        </w:rPr>
                        <w:t>. pareiškėjo paskutinių finansinių metų Lietuvos Respublikos įstatymų nustatyta tvarka patvirtintų metinės finansinės (konsoliduotosios, jeigu taikoma) atskaitomybės dokumentų kopijas (netaikoma pareiškėjui, kuris šias kopijas yra pateikęs Juridinių asmenų registrui).“</w:t>
                      </w:r>
                    </w:p>
                  </w:sdtContent>
                </w:sdt>
              </w:sdtContent>
            </w:sdt>
          </w:sdtContent>
        </w:sdt>
        <w:sdt>
          <w:sdtPr>
            <w:alias w:val="8 p."/>
            <w:tag w:val="part_e17f35a0b89b48fe819483b43b732b24"/>
            <w:lock w:val="sdtLocked"/>
            <w:richText/>
          </w:sdtPr>
          <w:sdtContent>
            <w:p>
              <w:pPr>
                <w:overflowPunct w:val="0"/>
                <w:ind w:left="1211" w:hanging="360"/>
                <w:jc w:val="both"/>
                <w:textAlignment w:val="baseline"/>
                <w:rPr>
                  <w:szCs w:val="24"/>
                </w:rPr>
              </w:pPr>
              <w:sdt>
                <w:sdtPr>
                  <w:alias w:val="Numeris"/>
                  <w:tag w:val="nr_e17f35a0b89b48fe819483b43b732b24"/>
                  <w:lock w:val="sdtLocked"/>
                  <w:richText/>
                </w:sdtPr>
                <w:sdtContent>
                  <w:r>
                    <w:rPr>
                      <w:szCs w:val="24"/>
                    </w:rPr>
                    <w:t>8</w:t>
                  </w:r>
                </w:sdtContent>
              </w:sdt>
              <w:r>
                <w:rPr>
                  <w:szCs w:val="24"/>
                </w:rPr>
                <w:t>.</w:t>
                <w:tab/>
              </w:r>
              <w:r>
                <w:rPr>
                  <w:color w:val="000000"/>
                  <w:szCs w:val="24"/>
                </w:rPr>
                <w:t>Pakeičiu 95 punktą ir jį išdėstau taip:</w:t>
              </w:r>
            </w:p>
          </w:sdtContent>
        </w:sdt>
        <w:sdt>
          <w:sdtPr>
            <w:alias w:val="95 p."/>
            <w:tag w:val="part_e4afab6a48104b38bcec49de3d9f8602"/>
            <w:lock w:val="sdtLocked"/>
            <w:richText/>
          </w:sdtPr>
          <w:sdtContent>
            <w:p>
              <w:pPr>
                <w:overflowPunct w:val="0"/>
                <w:ind w:firstLine="709"/>
                <w:jc w:val="both"/>
                <w:textAlignment w:val="baseline"/>
                <w:rPr>
                  <w:szCs w:val="24"/>
                </w:rPr>
              </w:pPr>
              <w:sdt>
                <w:sdtPr>
                  <w:alias w:val="Numeris"/>
                  <w:tag w:val="nr_e4afab6a48104b38bcec49de3d9f8602"/>
                  <w:lock w:val="sdtLocked"/>
                  <w:richText/>
                </w:sdtPr>
                <w:sdtContent>
                  <w:r>
                    <w:rPr>
                      <w:szCs w:val="24"/>
                    </w:rPr>
                    <w:t>95</w:t>
                  </w:r>
                </w:sdtContent>
              </w:sdt>
              <w:r>
                <w:rPr>
                  <w:szCs w:val="24"/>
                </w:rPr>
                <w:t>. Metinis preliminarus grąžintinų lėšų dydis kiekvienam projektui nustatomas individualiai, atsižvelgiant į pasiektus projekto sutartyje nustatytus rezultatus, galutinės energijos sąnaudų sutaupymus ir šiuos grąžinimo kriterijus:</w:t>
              </w:r>
            </w:p>
            <w:sdt>
              <w:sdtPr>
                <w:alias w:val="95.1 pp."/>
                <w:tag w:val="part_00d214bd31e8416f99700c5f951d908b"/>
                <w:lock w:val="sdtLocked"/>
                <w:richText/>
              </w:sdtPr>
              <w:sdtContent>
                <w:p>
                  <w:pPr>
                    <w:overflowPunct w:val="0"/>
                    <w:ind w:firstLine="709"/>
                    <w:jc w:val="both"/>
                    <w:textAlignment w:val="baseline"/>
                    <w:rPr>
                      <w:szCs w:val="24"/>
                    </w:rPr>
                  </w:pPr>
                  <w:sdt>
                    <w:sdtPr>
                      <w:alias w:val="Numeris"/>
                      <w:tag w:val="nr_00d214bd31e8416f99700c5f951d908b"/>
                      <w:lock w:val="sdtLocked"/>
                      <w:richText/>
                    </w:sdtPr>
                    <w:sdtContent>
                      <w:r>
                        <w:rPr>
                          <w:szCs w:val="24"/>
                        </w:rPr>
                        <w:t>95.1</w:t>
                      </w:r>
                    </w:sdtContent>
                  </w:sdt>
                  <w:r>
                    <w:rPr>
                      <w:szCs w:val="24"/>
                    </w:rPr>
                    <w:t>.</w:t>
                    <w:tab/>
                    <w:t xml:space="preserve">pasiekus projekto sutartyje nustatytus rezultatus ir galutinės energijos sąnaudas sumažinus iki 30 procentų (įskaitytinai), grąžinama - 100 procentų projekto įgyvendinimui pripažintų tinkamomis finansuoti išlaidų sumos; </w:t>
                  </w:r>
                </w:p>
              </w:sdtContent>
            </w:sdt>
            <w:sdt>
              <w:sdtPr>
                <w:alias w:val="95.2 pp."/>
                <w:tag w:val="part_07a37ccf2d354acca6414fc9b5c175de"/>
                <w:lock w:val="sdtLocked"/>
                <w:richText/>
              </w:sdtPr>
              <w:sdtContent>
                <w:p>
                  <w:pPr>
                    <w:overflowPunct w:val="0"/>
                    <w:ind w:firstLine="709"/>
                    <w:jc w:val="both"/>
                    <w:textAlignment w:val="baseline"/>
                    <w:rPr>
                      <w:szCs w:val="24"/>
                    </w:rPr>
                  </w:pPr>
                  <w:sdt>
                    <w:sdtPr>
                      <w:alias w:val="Numeris"/>
                      <w:tag w:val="nr_07a37ccf2d354acca6414fc9b5c175de"/>
                      <w:lock w:val="sdtLocked"/>
                      <w:richText/>
                    </w:sdtPr>
                    <w:sdtContent>
                      <w:r>
                        <w:rPr>
                          <w:szCs w:val="24"/>
                        </w:rPr>
                        <w:t>95.2</w:t>
                      </w:r>
                    </w:sdtContent>
                  </w:sdt>
                  <w:r>
                    <w:rPr>
                      <w:szCs w:val="24"/>
                    </w:rPr>
                    <w:t>.</w:t>
                    <w:tab/>
                    <w:t>pasiekus projekto sutartyje nustatytus rezultatus ir galutinės energijos sąnaudas sumažinus daugiau kaip 30 iki 35 procentų (įskaitytinai), grąžinama – 30 procentų projekto įgyvendinimui pripažintų tinkamomis finansuoti išlaidų sumos;</w:t>
                  </w:r>
                </w:p>
              </w:sdtContent>
            </w:sdt>
            <w:sdt>
              <w:sdtPr>
                <w:alias w:val="95.3 pp."/>
                <w:tag w:val="part_901f725d000148b786c29591edb86bfd"/>
                <w:lock w:val="sdtLocked"/>
                <w:richText/>
              </w:sdtPr>
              <w:sdtContent>
                <w:p>
                  <w:pPr>
                    <w:overflowPunct w:val="0"/>
                    <w:ind w:firstLine="709"/>
                    <w:jc w:val="both"/>
                    <w:textAlignment w:val="baseline"/>
                    <w:rPr>
                      <w:szCs w:val="24"/>
                    </w:rPr>
                  </w:pPr>
                  <w:sdt>
                    <w:sdtPr>
                      <w:alias w:val="Numeris"/>
                      <w:tag w:val="nr_901f725d000148b786c29591edb86bfd"/>
                      <w:lock w:val="sdtLocked"/>
                      <w:richText/>
                    </w:sdtPr>
                    <w:sdtContent>
                      <w:r>
                        <w:rPr>
                          <w:szCs w:val="24"/>
                        </w:rPr>
                        <w:t>95.3</w:t>
                      </w:r>
                    </w:sdtContent>
                  </w:sdt>
                  <w:r>
                    <w:rPr>
                      <w:szCs w:val="24"/>
                    </w:rPr>
                    <w:t>.</w:t>
                    <w:tab/>
                    <w:t>pasiekus projekto sutartyje nustatytus rezultatus ir galutinės energijos sąnaudas sumažinus daugiau kaip 35 iki 40 procentų (įskaitytinai), grąžinama – 20 procentų projekto įgyvendinimui pripažintų tinkamomis finansuoti išlaidų sumos;</w:t>
                  </w:r>
                </w:p>
              </w:sdtContent>
            </w:sdt>
            <w:sdt>
              <w:sdtPr>
                <w:alias w:val="95.4 pp."/>
                <w:tag w:val="part_4160c88e5ed14d95af2f13a2bf30519a"/>
                <w:lock w:val="sdtLocked"/>
                <w:richText/>
              </w:sdtPr>
              <w:sdtContent>
                <w:p>
                  <w:pPr>
                    <w:overflowPunct w:val="0"/>
                    <w:ind w:firstLine="709"/>
                    <w:jc w:val="both"/>
                    <w:textAlignment w:val="baseline"/>
                    <w:rPr>
                      <w:szCs w:val="24"/>
                    </w:rPr>
                  </w:pPr>
                  <w:sdt>
                    <w:sdtPr>
                      <w:alias w:val="Numeris"/>
                      <w:tag w:val="nr_4160c88e5ed14d95af2f13a2bf30519a"/>
                      <w:lock w:val="sdtLocked"/>
                      <w:richText/>
                    </w:sdtPr>
                    <w:sdtContent>
                      <w:r>
                        <w:rPr>
                          <w:szCs w:val="24"/>
                        </w:rPr>
                        <w:t>95.4</w:t>
                      </w:r>
                    </w:sdtContent>
                  </w:sdt>
                  <w:r>
                    <w:rPr>
                      <w:szCs w:val="24"/>
                    </w:rPr>
                    <w:t>.</w:t>
                    <w:tab/>
                    <w:t>pasiekus projekto sutartyje nustatytus rezultatus ir galutinės energijos sąnaudas sumažinus daugiau kaip 40 iki 45 procentų (įskaitytinai), grąžinama – 10 procentų projekto įgyvendinimui pripažintų tinkamomis finansuoti išlaidų sumos;</w:t>
                  </w:r>
                </w:p>
              </w:sdtContent>
            </w:sdt>
            <w:sdt>
              <w:sdtPr>
                <w:alias w:val="95.5 pp."/>
                <w:tag w:val="part_f1c3afc9f6594951b218c6ba5eb2bf1e"/>
                <w:lock w:val="sdtLocked"/>
                <w:richText/>
              </w:sdtPr>
              <w:sdtContent>
                <w:p>
                  <w:pPr>
                    <w:overflowPunct w:val="0"/>
                    <w:ind w:firstLine="709"/>
                    <w:jc w:val="both"/>
                    <w:textAlignment w:val="baseline"/>
                    <w:rPr>
                      <w:szCs w:val="24"/>
                    </w:rPr>
                  </w:pPr>
                  <w:sdt>
                    <w:sdtPr>
                      <w:alias w:val="Numeris"/>
                      <w:tag w:val="nr_f1c3afc9f6594951b218c6ba5eb2bf1e"/>
                      <w:lock w:val="sdtLocked"/>
                      <w:richText/>
                    </w:sdtPr>
                    <w:sdtContent>
                      <w:r>
                        <w:rPr>
                          <w:szCs w:val="24"/>
                        </w:rPr>
                        <w:t>95.5</w:t>
                      </w:r>
                    </w:sdtContent>
                  </w:sdt>
                  <w:r>
                    <w:rPr>
                      <w:szCs w:val="24"/>
                    </w:rPr>
                    <w:t>. pasiekus projekto sutartyje nustatytus rezultatus ir galutinės energijos sąnaudas sumažinus daugiau nei 45 procentus – grąžinamoji subsidija nėra grąžinama.“</w:t>
                  </w:r>
                </w:p>
              </w:sdtContent>
            </w:sdt>
          </w:sdtContent>
        </w:sdt>
        <w:sdt>
          <w:sdtPr>
            <w:alias w:val="9 p."/>
            <w:tag w:val="part_fa2323c971b24ab4991f268f4bdf3a44"/>
            <w:lock w:val="sdtLocked"/>
            <w:richText/>
          </w:sdtPr>
          <w:sdtContent>
            <w:p>
              <w:pPr>
                <w:overflowPunct w:val="0"/>
                <w:ind w:left="1211" w:hanging="360"/>
                <w:jc w:val="both"/>
                <w:textAlignment w:val="baseline"/>
                <w:rPr>
                  <w:szCs w:val="24"/>
                </w:rPr>
              </w:pPr>
              <w:sdt>
                <w:sdtPr>
                  <w:alias w:val="Numeris"/>
                  <w:tag w:val="nr_fa2323c971b24ab4991f268f4bdf3a44"/>
                  <w:lock w:val="sdtLocked"/>
                  <w:richText/>
                </w:sdtPr>
                <w:sdtContent>
                  <w:r>
                    <w:rPr>
                      <w:szCs w:val="24"/>
                    </w:rPr>
                    <w:t>9</w:t>
                  </w:r>
                </w:sdtContent>
              </w:sdt>
              <w:r>
                <w:rPr>
                  <w:szCs w:val="24"/>
                </w:rPr>
                <w:t>.</w:t>
                <w:tab/>
              </w:r>
              <w:r>
                <w:rPr>
                  <w:color w:val="000000"/>
                  <w:szCs w:val="24"/>
                </w:rPr>
                <w:t>Papildau 95</w:t>
              </w:r>
              <w:r>
                <w:rPr>
                  <w:color w:val="000000"/>
                  <w:szCs w:val="24"/>
                  <w:vertAlign w:val="superscript"/>
                </w:rPr>
                <w:t>1</w:t>
              </w:r>
              <w:r>
                <w:rPr>
                  <w:color w:val="000000"/>
                  <w:szCs w:val="24"/>
                </w:rPr>
                <w:t xml:space="preserve"> punktu:</w:t>
              </w:r>
            </w:p>
            <w:sdt>
              <w:sdtPr>
                <w:alias w:val="citata"/>
                <w:tag w:val="part_cb0ebaa3a7354b12ae44a4c32daa241f"/>
                <w:lock w:val="sdtLocked"/>
                <w:richText/>
              </w:sdtPr>
              <w:sdtContent>
                <w:sdt>
                  <w:sdtPr>
                    <w:alias w:val="95-1 p."/>
                    <w:tag w:val="part_e171a7a9b1fb42179a68de4fe1bbc657"/>
                    <w:lock w:val="sdtLocked"/>
                    <w:richText/>
                  </w:sdtPr>
                  <w:sdtContent>
                    <w:p>
                      <w:pPr>
                        <w:overflowPunct w:val="0"/>
                        <w:ind w:firstLine="567"/>
                        <w:jc w:val="both"/>
                        <w:textAlignment w:val="baseline"/>
                        <w:rPr>
                          <w:szCs w:val="24"/>
                        </w:rPr>
                      </w:pPr>
                      <w:r>
                        <w:rPr>
                          <w:szCs w:val="24"/>
                        </w:rPr>
                        <w:t>„</w:t>
                      </w:r>
                      <w:sdt>
                        <w:sdtPr>
                          <w:alias w:val="Numeris"/>
                          <w:tag w:val="nr_e171a7a9b1fb42179a68de4fe1bbc657"/>
                          <w:lock w:val="sdtLocked"/>
                          <w:richText/>
                        </w:sdtPr>
                        <w:sdtContent>
                          <w:r>
                            <w:rPr>
                              <w:color w:val="000000"/>
                              <w:szCs w:val="24"/>
                            </w:rPr>
                            <w:t>95</w:t>
                          </w:r>
                          <w:r>
                            <w:rPr>
                              <w:color w:val="000000"/>
                              <w:szCs w:val="24"/>
                              <w:vertAlign w:val="superscript"/>
                            </w:rPr>
                            <w:t>1</w:t>
                          </w:r>
                        </w:sdtContent>
                      </w:sdt>
                      <w:r>
                        <w:rPr>
                          <w:color w:val="000000"/>
                          <w:szCs w:val="24"/>
                        </w:rPr>
                        <w:t xml:space="preserve">. </w:t>
                      </w:r>
                      <w:r>
                        <w:rPr>
                          <w:szCs w:val="24"/>
                        </w:rPr>
                        <w:t>Jeigu projekto vykdytojas įgyvendino projekto veiklas projekto sutartyje numatyta apimtimi, o projekto sutartyje nustatytų rezultatų nepasiekė dėl veiksnių, kurių įtakos jų nepasiekimui jis negalėjo sumažinti, ir kartu su galutiniu mokėjimo prašymu arba ataskaita po projekto finansavimo pabaigos pateikė pagrįstus paaiškinimus, kodėl nepasiekė rezultato reikšmės, įgyvendinančioji institucija įvertina projekto sutartyje nustatytų rezultatų nepasiekimo pagrįstumą ir, jeigu yra tinkamas pagrindimas, grąžinamas dydis apskaičiuojamas taip, kaip numatyta Aprašo 95 punkte. Projekto vykdytojas visais atvejais privalo pasiekti pastato C energinio naudingumo klasę ir Aprašo 16.2 papunktyje nurodytą kiekybinę reikšmę.“</w:t>
                      </w:r>
                    </w:p>
                  </w:sdtContent>
                </w:sdt>
              </w:sdtContent>
            </w:sdt>
          </w:sdtContent>
        </w:sdt>
        <w:sdt>
          <w:sdtPr>
            <w:alias w:val="10 p."/>
            <w:tag w:val="part_1303fe85725b490e95257f27affd98fe"/>
            <w:lock w:val="sdtLocked"/>
            <w:richText/>
          </w:sdtPr>
          <w:sdtContent>
            <w:p>
              <w:pPr>
                <w:tabs>
                  <w:tab w:val="left" w:pos="1418"/>
                </w:tabs>
                <w:overflowPunct w:val="0"/>
                <w:ind w:firstLine="851"/>
                <w:jc w:val="both"/>
                <w:textAlignment w:val="baseline"/>
                <w:rPr>
                  <w:color w:val="000000"/>
                  <w:szCs w:val="24"/>
                  <w:lang w:eastAsia="lt-LT"/>
                </w:rPr>
              </w:pPr>
              <w:sdt>
                <w:sdtPr>
                  <w:alias w:val="Numeris"/>
                  <w:tag w:val="nr_1303fe85725b490e95257f27affd98fe"/>
                  <w:lock w:val="sdtLocked"/>
                  <w:richText/>
                </w:sdtPr>
                <w:sdtContent>
                  <w:r>
                    <w:rPr>
                      <w:color w:val="000000"/>
                      <w:szCs w:val="24"/>
                      <w:lang w:eastAsia="lt-LT"/>
                    </w:rPr>
                    <w:t>10</w:t>
                  </w:r>
                </w:sdtContent>
              </w:sdt>
              <w:r>
                <w:rPr>
                  <w:color w:val="000000"/>
                  <w:szCs w:val="24"/>
                  <w:lang w:eastAsia="lt-LT"/>
                </w:rPr>
                <w:t>.</w:t>
                <w:tab/>
                <w:t>Pakeičiu 2 priedo lentelės 7 punktą ir jį išdėstau taip:</w:t>
              </w:r>
            </w:p>
            <w:p>
              <w:pPr>
                <w:overflowPunct w:val="0"/>
                <w:jc w:val="both"/>
                <w:textAlignment w:val="baseline"/>
                <w:rPr>
                  <w:szCs w:val="24"/>
                  <w:lang w:eastAsia="lt-LT"/>
                </w:rPr>
              </w:pPr>
            </w:p>
            <w:tbl>
              <w:tblPr>
                <w:tblW w:w="9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4053"/>
                <w:gridCol w:w="820"/>
                <w:gridCol w:w="992"/>
                <w:gridCol w:w="3316"/>
              </w:tblGrid>
              <w:tr>
                <w:trPr>
                  <w:trHeight w:val="430"/>
                </w:trPr>
                <w:tc>
                  <w:tcPr>
                    <w:tcW w:w="480"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„7.</w:t>
                    </w:r>
                  </w:p>
                </w:tc>
                <w:tc>
                  <w:tcPr>
                    <w:tcW w:w="4053"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rFonts w:eastAsia="Calibri"/>
                        <w:bCs/>
                        <w:color w:val="000000"/>
                        <w:sz w:val="22"/>
                        <w:szCs w:val="22"/>
                      </w:rPr>
                      <w:t>Ar pagalba nėra teikiama ūkio subjektui, kuriam</w:t>
                    </w:r>
                    <w:r>
                      <w:rPr>
                        <w:bCs/>
                        <w:color w:val="000000"/>
                        <w:sz w:val="22"/>
                        <w:szCs w:val="22"/>
                        <w:lang w:eastAsia="lt-LT"/>
                      </w:rPr>
                      <w:t xml:space="preserve"> išduotas vykdomasis raštas sumoms išieškoti</w:t>
                    </w:r>
                    <w:r>
                      <w:rPr>
                        <w:b/>
                        <w:bCs/>
                        <w:color w:val="000000"/>
                        <w:sz w:val="22"/>
                        <w:szCs w:val="22"/>
                        <w:lang w:eastAsia="lt-LT"/>
                      </w:rPr>
                      <w:t xml:space="preserve"> </w:t>
                    </w:r>
                    <w:r>
                      <w:rPr>
                        <w:bCs/>
                        <w:color w:val="000000"/>
                        <w:sz w:val="22"/>
                        <w:szCs w:val="22"/>
                        <w:lang w:eastAsia="lt-LT"/>
                      </w:rPr>
                      <w:t xml:space="preserve">pagal Komisijos sprendimą, kuriame tos pačios valstybės narės suteikta pagalba skelbiama neteisėta ir nesuderinama su vidaus rinka? </w:t>
                    </w:r>
                    <w:r>
                      <w:rPr>
                        <w:rFonts w:eastAsia="Calibri"/>
                        <w:color w:val="000000"/>
                        <w:sz w:val="22"/>
                        <w:szCs w:val="22"/>
                      </w:rPr>
                      <w:t>(Reglamento 1 straipsnio 4 dalies a punktas)</w:t>
                    </w:r>
                  </w:p>
                </w:tc>
                <w:tc>
                  <w:tcPr>
                    <w:tcW w:w="820" w:type="dxa"/>
                    <w:tcBorders>
                      <w:top w:val="single" w:sz="4" w:space="0" w:color="auto"/>
                      <w:left w:val="single" w:sz="4" w:space="0" w:color="auto"/>
                      <w:bottom w:val="single" w:sz="4" w:space="0" w:color="auto"/>
                      <w:right w:val="single" w:sz="4" w:space="0" w:color="auto"/>
                    </w:tcBorders>
                    <w:hideMark/>
                  </w:tcPr>
                  <w:p>
                    <w:pPr>
                      <w:spacing w:line="276" w:lineRule="auto"/>
                      <w:rPr>
                        <w:rFonts w:ascii="Calibri" w:hAnsi="Calibri" w:cs="Calibri"/>
                        <w:sz w:val="22"/>
                        <w:szCs w:val="22"/>
                      </w:rPr>
                    </w:pPr>
                    <w:r>
                      <w:rPr>
                        <w:sz w:val="22"/>
                        <w:szCs w:val="22"/>
                        <w:lang w:eastAsia="lt-LT"/>
                      </w:rPr>
                      <w:t>□ Taip</w:t>
                    </w:r>
                  </w:p>
                </w:tc>
                <w:tc>
                  <w:tcPr>
                    <w:tcW w:w="992" w:type="dxa"/>
                    <w:tcBorders>
                      <w:top w:val="single" w:sz="4" w:space="0" w:color="auto"/>
                      <w:left w:val="single" w:sz="4" w:space="0" w:color="auto"/>
                      <w:bottom w:val="single" w:sz="4" w:space="0" w:color="auto"/>
                      <w:right w:val="single" w:sz="4" w:space="0" w:color="auto"/>
                    </w:tcBorders>
                    <w:hideMark/>
                  </w:tcPr>
                  <w:p>
                    <w:pPr>
                      <w:jc w:val="both"/>
                      <w:rPr>
                        <w:color w:val="000000"/>
                        <w:sz w:val="22"/>
                        <w:szCs w:val="22"/>
                        <w:lang w:eastAsia="lt-LT"/>
                      </w:rPr>
                    </w:pPr>
                    <w:r>
                      <w:rPr>
                        <w:color w:val="000000"/>
                        <w:sz w:val="22"/>
                        <w:szCs w:val="22"/>
                        <w:lang w:eastAsia="lt-LT"/>
                      </w:rPr>
                      <w:t>□ Ne“.</w:t>
                    </w:r>
                  </w:p>
                </w:tc>
                <w:tc>
                  <w:tcPr>
                    <w:tcW w:w="3316" w:type="dxa"/>
                    <w:tcBorders>
                      <w:top w:val="single" w:sz="4" w:space="0" w:color="auto"/>
                      <w:left w:val="single" w:sz="4" w:space="0" w:color="auto"/>
                      <w:bottom w:val="single" w:sz="4" w:space="0" w:color="auto"/>
                      <w:right w:val="single" w:sz="4" w:space="0" w:color="auto"/>
                    </w:tcBorders>
                  </w:tcPr>
                  <w:p>
                    <w:pPr>
                      <w:jc w:val="both"/>
                      <w:rPr>
                        <w:color w:val="000000"/>
                        <w:sz w:val="22"/>
                        <w:szCs w:val="22"/>
                        <w:lang w:eastAsia="lt-LT"/>
                      </w:rPr>
                    </w:pPr>
                  </w:p>
                </w:tc>
              </w:tr>
            </w:tbl>
            <w:p>
              <w:pPr>
                <w:overflowPunct w:val="0"/>
                <w:ind w:left="851"/>
                <w:jc w:val="right"/>
                <w:textAlignment w:val="baseline"/>
                <w:rPr>
                  <w:szCs w:val="24"/>
                  <w:lang w:eastAsia="lt-LT"/>
                </w:rPr>
              </w:pPr>
            </w:p>
          </w:sdtContent>
        </w:sdt>
        <w:sdt>
          <w:sdtPr>
            <w:alias w:val="11 p."/>
            <w:tag w:val="part_78a362b59c924c2e8588fa05320353fb"/>
            <w:lock w:val="sdtLocked"/>
            <w:richText/>
          </w:sdtPr>
          <w:sdtContent>
            <w:p>
              <w:pPr>
                <w:overflowPunct w:val="0"/>
                <w:ind w:left="1211" w:hanging="360"/>
                <w:jc w:val="both"/>
                <w:textAlignment w:val="baseline"/>
                <w:rPr>
                  <w:szCs w:val="24"/>
                  <w:lang w:eastAsia="lt-LT"/>
                </w:rPr>
              </w:pPr>
              <w:sdt>
                <w:sdtPr>
                  <w:alias w:val="Numeris"/>
                  <w:tag w:val="nr_78a362b59c924c2e8588fa05320353fb"/>
                  <w:lock w:val="sdtLocked"/>
                  <w:richText/>
                </w:sdtPr>
                <w:sdtContent>
                  <w:r>
                    <w:rPr>
                      <w:szCs w:val="24"/>
                      <w:lang w:eastAsia="lt-LT"/>
                    </w:rPr>
                    <w:t>11</w:t>
                  </w:r>
                </w:sdtContent>
              </w:sdt>
              <w:r>
                <w:rPr>
                  <w:szCs w:val="24"/>
                  <w:lang w:eastAsia="lt-LT"/>
                </w:rPr>
                <w:t>.</w:t>
                <w:tab/>
              </w:r>
              <w:r>
                <w:rPr>
                  <w:color w:val="000000"/>
                  <w:szCs w:val="24"/>
                  <w:lang w:eastAsia="lt-LT"/>
                </w:rPr>
                <w:t>Pakeičiu 2 priedo lentelės 8 punktą ir jį išdėstau taip:</w:t>
              </w:r>
            </w:p>
            <w:p>
              <w:pPr>
                <w:overflowPunct w:val="0"/>
                <w:ind w:firstLine="124"/>
                <w:jc w:val="both"/>
                <w:textAlignment w:val="baseline"/>
                <w:rPr>
                  <w:szCs w:val="24"/>
                  <w:lang w:eastAsia="lt-LT"/>
                </w:rPr>
              </w:pP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
                <w:gridCol w:w="4279"/>
                <w:gridCol w:w="887"/>
                <w:gridCol w:w="852"/>
                <w:gridCol w:w="3205"/>
              </w:tblGrid>
              <w:tr>
                <w:trPr>
                  <w:trHeight w:val="157"/>
                </w:trPr>
                <w:tc>
                  <w:tcPr>
                    <w:tcW w:w="469"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„8.</w:t>
                    </w:r>
                  </w:p>
                </w:tc>
                <w:tc>
                  <w:tcPr>
                    <w:tcW w:w="4279"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pagalba nėra teikiama sunkumų patiriančiam</w:t>
                    </w:r>
                    <w:r>
                      <w:rPr>
                        <w:bCs/>
                        <w:color w:val="000000"/>
                        <w:sz w:val="22"/>
                        <w:szCs w:val="22"/>
                        <w:vertAlign w:val="superscript"/>
                        <w:lang w:eastAsia="lt-LT"/>
                      </w:rPr>
                      <w:t>6</w:t>
                    </w:r>
                    <w:r>
                      <w:rPr>
                        <w:bCs/>
                        <w:color w:val="000000"/>
                        <w:sz w:val="22"/>
                        <w:szCs w:val="22"/>
                        <w:lang w:eastAsia="lt-LT"/>
                      </w:rPr>
                      <w:t xml:space="preserve"> ūkio subjektui? </w:t>
                    </w:r>
                    <w:r>
                      <w:rPr>
                        <w:rFonts w:eastAsia="Calibri"/>
                        <w:color w:val="000000"/>
                        <w:sz w:val="22"/>
                        <w:szCs w:val="22"/>
                      </w:rPr>
                      <w:t>(Reglamento 1 straipsnio 4 dalies c punktas)</w:t>
                    </w:r>
                  </w:p>
                </w:tc>
                <w:tc>
                  <w:tcPr>
                    <w:tcW w:w="887" w:type="dxa"/>
                    <w:tcBorders>
                      <w:top w:val="single" w:sz="4" w:space="0" w:color="auto"/>
                      <w:left w:val="single" w:sz="4" w:space="0" w:color="auto"/>
                      <w:bottom w:val="single" w:sz="4" w:space="0" w:color="auto"/>
                      <w:right w:val="single" w:sz="4" w:space="0" w:color="auto"/>
                    </w:tcBorders>
                    <w:hideMark/>
                  </w:tcPr>
                  <w:p>
                    <w:pPr>
                      <w:spacing w:line="276" w:lineRule="auto"/>
                      <w:rPr>
                        <w:rFonts w:ascii="Calibri" w:hAnsi="Calibri" w:cs="Calibri"/>
                        <w:sz w:val="22"/>
                        <w:szCs w:val="22"/>
                      </w:rPr>
                    </w:pPr>
                    <w:r>
                      <w:rPr>
                        <w:sz w:val="22"/>
                        <w:szCs w:val="22"/>
                        <w:lang w:eastAsia="lt-LT"/>
                      </w:rPr>
                      <w:t>□ Taip</w:t>
                    </w:r>
                  </w:p>
                </w:tc>
                <w:tc>
                  <w:tcPr>
                    <w:tcW w:w="852" w:type="dxa"/>
                    <w:tcBorders>
                      <w:top w:val="single" w:sz="4" w:space="0" w:color="auto"/>
                      <w:left w:val="single" w:sz="4" w:space="0" w:color="auto"/>
                      <w:bottom w:val="single" w:sz="4" w:space="0" w:color="auto"/>
                      <w:right w:val="single" w:sz="4" w:space="0" w:color="auto"/>
                    </w:tcBorders>
                    <w:hideMark/>
                  </w:tcPr>
                  <w:p>
                    <w:pPr>
                      <w:jc w:val="both"/>
                      <w:rPr>
                        <w:color w:val="000000"/>
                        <w:sz w:val="22"/>
                        <w:szCs w:val="22"/>
                        <w:lang w:eastAsia="lt-LT"/>
                      </w:rPr>
                    </w:pPr>
                    <w:r>
                      <w:rPr>
                        <w:color w:val="000000"/>
                        <w:sz w:val="22"/>
                        <w:szCs w:val="22"/>
                        <w:lang w:eastAsia="lt-LT"/>
                      </w:rPr>
                      <w:t>□ Ne“.</w:t>
                    </w:r>
                  </w:p>
                </w:tc>
                <w:tc>
                  <w:tcPr>
                    <w:tcW w:w="3205"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tabs>
                  <w:tab w:val="left" w:pos="1418"/>
                </w:tabs>
                <w:overflowPunct w:val="0"/>
                <w:ind w:left="851" w:right="140" w:firstLine="32400"/>
                <w:jc w:val="right"/>
                <w:textAlignment w:val="baseline"/>
                <w:rPr>
                  <w:szCs w:val="24"/>
                  <w:lang w:eastAsia="lt-LT"/>
                </w:rPr>
              </w:pPr>
            </w:p>
            <w:p>
              <w:pPr>
                <w:spacing w:line="276" w:lineRule="auto"/>
                <w:ind w:left="1211" w:hanging="1211"/>
                <w:rPr>
                  <w:color w:val="000000"/>
                  <w:szCs w:val="24"/>
                  <w:lang w:eastAsia="lt-LT"/>
                </w:rPr>
              </w:pPr>
            </w:p>
            <w:p>
              <w:pPr>
                <w:spacing w:line="276" w:lineRule="auto"/>
                <w:ind w:left="1211" w:hanging="1211"/>
                <w:rPr>
                  <w:color w:val="000000"/>
                  <w:szCs w:val="24"/>
                  <w:lang w:eastAsia="lt-LT"/>
                </w:rPr>
              </w:pPr>
            </w:p>
          </w:sdtContent>
        </w:sdt>
        <w:sdt>
          <w:sdtPr>
            <w:alias w:val="signatura"/>
            <w:tag w:val="part_754923b74b434331a994ad2f5aa739db"/>
            <w:lock w:val="sdtLocked"/>
            <w:richText/>
          </w:sdtPr>
          <w:sdtContent>
            <w:p>
              <w:pPr>
                <w:spacing w:line="276" w:lineRule="auto"/>
                <w:rPr>
                  <w:color w:val="000000"/>
                  <w:szCs w:val="24"/>
                  <w:lang w:eastAsia="lt-LT"/>
                </w:rPr>
              </w:pPr>
              <w:r>
                <w:rPr>
                  <w:color w:val="000000"/>
                  <w:szCs w:val="24"/>
                  <w:lang w:eastAsia="lt-LT"/>
                </w:rPr>
                <w:t>Energetikos ministras</w:t>
                <w:tab/>
                <w:tab/>
              </w:r>
            </w:p>
            <w:p>
              <w:pPr>
                <w:spacing w:line="276" w:lineRule="auto"/>
                <w:ind w:left="1211" w:hanging="1211"/>
                <w:rPr>
                  <w:color w:val="000000"/>
                  <w:szCs w:val="24"/>
                  <w:lang w:eastAsia="lt-LT"/>
                </w:rPr>
              </w:pPr>
            </w:p>
            <w:p>
              <w:pPr>
                <w:spacing w:line="276" w:lineRule="auto"/>
                <w:ind w:left="1211" w:hanging="1211"/>
                <w:rPr>
                  <w:color w:val="000000"/>
                  <w:szCs w:val="24"/>
                  <w:lang w:eastAsia="lt-LT"/>
                </w:rPr>
              </w:pPr>
            </w:p>
            <w:tbl>
              <w:tblPr>
                <w:tblW w:w="0" w:type="auto"/>
                <w:tblInd w:w="-108" w:type="dxa"/>
                <w:tblCellMar>
                  <w:left w:w="0" w:type="dxa"/>
                  <w:right w:w="0" w:type="dxa"/>
                </w:tblCellMar>
                <w:tblLook w:val="04A0" w:firstRow="1" w:lastRow="0" w:firstColumn="1" w:lastColumn="0" w:noHBand="0" w:noVBand="1"/>
              </w:tblPr>
              <w:tblGrid>
                <w:gridCol w:w="4819"/>
                <w:gridCol w:w="5036"/>
              </w:tblGrid>
              <w:tr>
                <w:tc>
                  <w:tcPr>
                    <w:tcW w:w="4819" w:type="dxa"/>
                    <w:tcMar>
                      <w:top w:w="0" w:type="dxa"/>
                      <w:left w:w="108" w:type="dxa"/>
                      <w:bottom w:w="0" w:type="dxa"/>
                      <w:right w:w="108" w:type="dxa"/>
                    </w:tcMar>
                    <w:hideMark/>
                  </w:tcPr>
                  <w:p>
                    <w:pPr>
                      <w:overflowPunct w:val="0"/>
                      <w:jc w:val="both"/>
                      <w:textAlignment w:val="center"/>
                      <w:rPr>
                        <w:szCs w:val="24"/>
                        <w:lang w:eastAsia="lt-LT"/>
                      </w:rPr>
                    </w:pPr>
                    <w:r>
                      <w:rPr>
                        <w:color w:val="000000"/>
                        <w:szCs w:val="24"/>
                        <w:lang w:eastAsia="lt-LT"/>
                      </w:rPr>
                      <w:t>SUDERINTA</w:t>
                    </w:r>
                  </w:p>
                  <w:p>
                    <w:pPr>
                      <w:overflowPunct w:val="0"/>
                      <w:jc w:val="both"/>
                      <w:textAlignment w:val="center"/>
                      <w:rPr>
                        <w:szCs w:val="24"/>
                        <w:lang w:eastAsia="lt-LT"/>
                      </w:rPr>
                    </w:pPr>
                    <w:r>
                      <w:rPr>
                        <w:color w:val="000000"/>
                        <w:szCs w:val="24"/>
                        <w:lang w:eastAsia="lt-LT"/>
                      </w:rPr>
                      <w:t>Lietuvos Respublikos finansų ministerijos</w:t>
                    </w:r>
                  </w:p>
                  <w:p>
                    <w:pPr>
                      <w:overflowPunct w:val="0"/>
                      <w:jc w:val="both"/>
                      <w:textAlignment w:val="baseline"/>
                      <w:rPr>
                        <w:szCs w:val="24"/>
                        <w:lang w:eastAsia="lt-LT"/>
                      </w:rPr>
                    </w:pPr>
                    <w:r>
                      <w:rPr>
                        <w:color w:val="000000"/>
                        <w:szCs w:val="24"/>
                        <w:lang w:eastAsia="lt-LT"/>
                      </w:rPr>
                      <w:t xml:space="preserve">2018 m.                        d. raštu</w:t>
                    </w:r>
                  </w:p>
                  <w:p>
                    <w:pPr>
                      <w:jc w:val="both"/>
                      <w:rPr>
                        <w:szCs w:val="24"/>
                        <w:lang w:eastAsia="lt-LT"/>
                      </w:rPr>
                    </w:pPr>
                    <w:r>
                      <w:rPr>
                        <w:color w:val="000000"/>
                        <w:szCs w:val="24"/>
                        <w:lang w:eastAsia="lt-LT"/>
                      </w:rPr>
                      <w:t xml:space="preserve">Nr. </w:t>
                    </w:r>
                  </w:p>
                </w:tc>
                <w:tc>
                  <w:tcPr>
                    <w:tcW w:w="5036" w:type="dxa"/>
                    <w:tcMar>
                      <w:top w:w="0" w:type="dxa"/>
                      <w:left w:w="108" w:type="dxa"/>
                      <w:bottom w:w="0" w:type="dxa"/>
                      <w:right w:w="108" w:type="dxa"/>
                    </w:tcMar>
                    <w:hideMark/>
                  </w:tcPr>
                  <w:p>
                    <w:pPr>
                      <w:overflowPunct w:val="0"/>
                      <w:jc w:val="both"/>
                      <w:textAlignment w:val="baseline"/>
                      <w:rPr>
                        <w:szCs w:val="24"/>
                        <w:lang w:eastAsia="lt-LT"/>
                      </w:rPr>
                    </w:pPr>
                    <w:r>
                      <w:rPr>
                        <w:color w:val="000000"/>
                        <w:szCs w:val="24"/>
                        <w:lang w:eastAsia="lt-LT"/>
                      </w:rPr>
                      <w:t>SUDERINTA</w:t>
                    </w:r>
                  </w:p>
                  <w:p>
                    <w:pPr>
                      <w:overflowPunct w:val="0"/>
                      <w:jc w:val="both"/>
                      <w:textAlignment w:val="baseline"/>
                      <w:rPr>
                        <w:color w:val="000000"/>
                        <w:szCs w:val="24"/>
                        <w:lang w:eastAsia="lt-LT"/>
                      </w:rPr>
                    </w:pPr>
                    <w:r>
                      <w:rPr>
                        <w:color w:val="000000"/>
                        <w:szCs w:val="24"/>
                        <w:lang w:eastAsia="lt-LT"/>
                      </w:rPr>
                      <w:t>Uždarosios akcinės bendrovės Viešųjų investicijų plėtros agentūros</w:t>
                    </w:r>
                  </w:p>
                  <w:p>
                    <w:pPr>
                      <w:overflowPunct w:val="0"/>
                      <w:jc w:val="both"/>
                      <w:textAlignment w:val="baseline"/>
                      <w:rPr>
                        <w:color w:val="000000"/>
                        <w:szCs w:val="24"/>
                        <w:lang w:eastAsia="lt-LT"/>
                      </w:rPr>
                    </w:pPr>
                    <w:r>
                      <w:rPr>
                        <w:color w:val="000000"/>
                        <w:szCs w:val="24"/>
                        <w:lang w:eastAsia="lt-LT"/>
                      </w:rPr>
                      <w:t xml:space="preserve">2018 m.                             d. raštu </w:t>
                    </w:r>
                  </w:p>
                  <w:p>
                    <w:pPr>
                      <w:overflowPunct w:val="0"/>
                      <w:jc w:val="both"/>
                      <w:textAlignment w:val="baseline"/>
                      <w:rPr>
                        <w:szCs w:val="24"/>
                        <w:lang w:eastAsia="lt-LT"/>
                      </w:rPr>
                    </w:pPr>
                    <w:r>
                      <w:rPr>
                        <w:color w:val="000000"/>
                        <w:szCs w:val="24"/>
                        <w:lang w:eastAsia="lt-LT"/>
                      </w:rPr>
                      <w:t xml:space="preserve">Nr. </w:t>
                    </w:r>
                  </w:p>
                </w:tc>
              </w:tr>
            </w:tbl>
            <w:p>
              <w:pPr>
                <w:spacing w:line="276" w:lineRule="auto"/>
                <w:rPr>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cs="Calibri"/>
          <w:sz w:val="22"/>
          <w:szCs w:val="22"/>
        </w:rPr>
      </w:pPr>
      <w:r>
        <w:rPr>
          <w:rFonts w:ascii="Calibri" w:hAnsi="Calibri" w:cs="Calibri"/>
          <w:sz w:val="22"/>
          <w:szCs w:val="22"/>
        </w:rPr>
        <w:separator/>
      </w:r>
    </w:p>
  </w:endnote>
  <w:endnote w:type="continuationSeparator" w:id="0">
    <w:p>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cs="Calibri"/>
          <w:sz w:val="22"/>
          <w:szCs w:val="22"/>
        </w:rPr>
      </w:pPr>
      <w:r>
        <w:rPr>
          <w:rFonts w:ascii="Calibri" w:hAnsi="Calibri" w:cs="Calibri"/>
          <w:sz w:val="22"/>
          <w:szCs w:val="22"/>
        </w:rPr>
        <w:separator/>
      </w:r>
    </w:p>
  </w:footnote>
  <w:footnote w:type="continuationSeparator" w:id="0">
    <w:p>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99421783">
      <w:bodyDiv w:val="1"/>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798714">
      <w:bodyDiv w:val="1"/>
      <w:marLeft w:val="0"/>
      <w:marRight w:val="0"/>
      <w:marTop w:val="0"/>
      <w:marBottom w:val="0"/>
      <w:divBdr>
        <w:top w:val="none" w:sz="0" w:space="0" w:color="auto"/>
        <w:left w:val="none" w:sz="0" w:space="0" w:color="auto"/>
        <w:bottom w:val="none" w:sz="0" w:space="0" w:color="auto"/>
        <w:right w:val="none" w:sz="0" w:space="0" w:color="auto"/>
      </w:divBdr>
    </w:div>
    <w:div w:id="362173921">
      <w:bodyDiv w:val="1"/>
      <w:marLeft w:val="0"/>
      <w:marRight w:val="0"/>
      <w:marTop w:val="0"/>
      <w:marBottom w:val="0"/>
      <w:divBdr>
        <w:top w:val="none" w:sz="0" w:space="0" w:color="auto"/>
        <w:left w:val="none" w:sz="0" w:space="0" w:color="auto"/>
        <w:bottom w:val="none" w:sz="0" w:space="0" w:color="auto"/>
        <w:right w:val="none" w:sz="0" w:space="0" w:color="auto"/>
      </w:divBdr>
    </w:div>
    <w:div w:id="419765639">
      <w:bodyDiv w:val="1"/>
      <w:marLeft w:val="0"/>
      <w:marRight w:val="0"/>
      <w:marTop w:val="0"/>
      <w:marBottom w:val="0"/>
      <w:divBdr>
        <w:top w:val="none" w:sz="0" w:space="0" w:color="auto"/>
        <w:left w:val="none" w:sz="0" w:space="0" w:color="auto"/>
        <w:bottom w:val="none" w:sz="0" w:space="0" w:color="auto"/>
        <w:right w:val="none" w:sz="0" w:space="0" w:color="auto"/>
      </w:divBdr>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01523095">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633365456">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 w:id="186890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465cdebbf0e4df088f0a9f32940f451" PartId="370a3a40072b4914a74e0dd86f9892b5">
    <Part Type="preambule" DocPartId="0e1544516dbf4339ac3a1587d87b187b" PartId="e9ab62f66a144235815202bef9b58b71"/>
    <Part Type="punktas" Nr="1" Abbr="1 p." DocPartId="6c2f19537573400faa9b244994d10e4d" PartId="7097ee04601941b181b2a248d79cdd98">
      <Part Type="citata" DocPartId="da447c71fa6b4f7c970d6feecfbc38ff" PartId="adec0f2d9d314f39b2b6adc68b146f7f">
        <Part Type="punktas" Nr="16" Abbr="16 p." DocPartId="622e6ed756874dc88abeef52039d7b4c" PartId="0dad41e07cb54a5c8908bff48f5fe73f"/>
      </Part>
    </Part>
    <Part Type="punktas" Nr="2" Abbr="2 p." DocPartId="d0f4ed25bf7849c3b257dfb2b2d8e284" PartId="5b7891b01fde40df80d5d52b695881a4">
      <Part Type="citata" DocPartId="654ec6b173ba42d193e4e827c7fdd1dc" PartId="6d34ba4c22664c3ea1475265d0efcae8">
        <Part Type="papunktis" Nr="16.1" Abbr="16.1 pp." DocPartId="80d17fa3543348059dd35bf21209bc90" PartId="08ee826fb25642138ad783d228838546"/>
      </Part>
    </Part>
    <Part Type="punktas" Nr="3" Abbr="3 p." DocPartId="5a128789d14149de9c9772d6faefb95c" PartId="89665244176f45cb838ebfa30de5e3a5">
      <Part Type="citata" DocPartId="bd611f82c5df43889c52d4b5a570a04a" PartId="a7c1e291f648453fb68e33379e64bcbc">
        <Part Type="punktas" Nr="21" Abbr="21 p." DocPartId="3fa5b45c9155452ba911b67966dc6803" PartId="4471cf4231c94698a7c9c459374c4eb3"/>
      </Part>
    </Part>
    <Part Type="punktas" Nr="4" Abbr="4 p." DocPartId="02b7e5c304964b8fa7955adfbaf2f735" PartId="10f0428a3baf4d8c89bf9cabe2780849">
      <Part Type="citata" DocPartId="480594e5584a4264b78e5a020dbe9156" PartId="4f4c14f3d4b84b76b8de6b447df29fb1">
        <Part Type="punktas" Nr="45" Abbr="45 p." DocPartId="d5fb33a260ac4c2f8ca3d22ad5e34bdf" PartId="b94b8b9f54eb4d88a512c87f651a2f17"/>
      </Part>
    </Part>
    <Part Type="punktas" Nr="5" Abbr="5 p." DocPartId="1ed14123a77e465ea17c690397550347" PartId="0ef4b76794714c4e83d5ec3d39cb9d51">
      <Part Type="citata" DocPartId="2779f75d9b9941f59406b7abb9fe59b5" PartId="ef29d8b16bcf4b03939cf1fab297b2d6">
        <Part Type="punktas" Nr="51" Abbr="51 p." DocPartId="08c660a02eb3416da9f1632b5571a30f" PartId="86ddf19c124642b6b9427a1a2e80e655"/>
      </Part>
    </Part>
    <Part Type="punktas" Nr="6" Abbr="6 p." DocPartId="abf012f6dd624d9ebd6c953bdb06560d" PartId="32c8ba6a4fe54694b262c968fc9ab518">
      <Part Type="citata" DocPartId="2f944cd806ae4a03945bdc8dd2548323" PartId="f74aca6b95824f9a8e9c1dd3cfb92b49">
        <Part Type="papunktis" Nr="71.12" Abbr="71.12 pp." DocPartId="8906c1b0071c4a9b9710625cbc5c8d93" PartId="2d1d63d4f6be42b6b0958aa77b094f7a"/>
      </Part>
    </Part>
    <Part Type="punktas" Nr="7" Abbr="7 p." DocPartId="5c0901c5df5e4efa964d87446aae517a" PartId="c9ca703c36f7427084abbb49902ff0ed">
      <Part Type="citata" DocPartId="31063daf41f14658b07416a54e3db9ea" PartId="43b39b30df4741578121256443f64e8d">
        <Part Type="papunktis" Nr="71.17" Abbr="71.17 pp." DocPartId="3d5e115d00544c29afcc26997b2ac0af" PartId="1b61d3f71fcd47939738faf9ba29d207"/>
      </Part>
    </Part>
    <Part Type="punktas" Nr="8" Abbr="8 p." DocPartId="fbf3e342caf74ba299b5c22a9c53258e" PartId="e17f35a0b89b48fe819483b43b732b24"/>
    <Part Type="punktas" Nr="95" Abbr="95 p." Notes="Numeris ne iš eilės. Trūksta dalių? [DocDalys]" DocPartId="ecb28caa121e429a87e49e6f13065dd1" PartId="e4afab6a48104b38bcec49de3d9f8602">
      <Part Type="papunktis" Nr="95.1" Abbr="95.1 pp." DocPartId="44524c8e557747889188688056b204f6" PartId="00d214bd31e8416f99700c5f951d908b"/>
      <Part Type="papunktis" Nr="95.2" Abbr="95.2 pp." DocPartId="221ba8994dd345768b5ef7232a9e166d" PartId="07a37ccf2d354acca6414fc9b5c175de"/>
      <Part Type="papunktis" Nr="95.3" Abbr="95.3 pp." DocPartId="89c869c1f83f48e58acd4a2387061315" PartId="901f725d000148b786c29591edb86bfd"/>
      <Part Type="papunktis" Nr="95.4" Abbr="95.4 pp." DocPartId="14bf536ab63d48ad9588fe86bdc33759" PartId="4160c88e5ed14d95af2f13a2bf30519a"/>
      <Part Type="papunktis" Nr="95.5" Abbr="95.5 pp." DocPartId="3e5c8b0ed9914e8cb4d8289c4c658939" PartId="f1c3afc9f6594951b218c6ba5eb2bf1e"/>
    </Part>
    <Part Type="punktas" Nr="9" Abbr="9 p." Notes="Numeris ne iš eilės. Trūksta dalių? [DocDalys]" DocPartId="b6fadb85a471409d9a90166bc9879556" PartId="fa2323c971b24ab4991f268f4bdf3a44">
      <Part Type="citata" DocPartId="91bfd08bcbf645efae215758157ec2e3" PartId="cb0ebaa3a7354b12ae44a4c32daa241f">
        <Part Type="punktas" Nr="95-1" Abbr="95-1 p." DocPartId="ccb642035b514e1d80e2c12e213db289" PartId="e171a7a9b1fb42179a68de4fe1bbc657"/>
      </Part>
    </Part>
    <Part Type="punktas" Nr="10" Abbr="10 p." DocPartId="14a21b7321ac40a1a17838d83570112c" PartId="1303fe85725b490e95257f27affd98fe"/>
    <Part Type="punktas" Nr="11" Abbr="11 p." DocPartId="ccf737c950874e4582da8e18b29b8cca" PartId="78a362b59c924c2e8588fa05320353fb"/>
    <Part Type="signatura" DocPartId="b32fc13779ae4f0cb81cc39702d2411c" PartId="754923b74b434331a994ad2f5aa739db"/>
  </Part>
</Parts>
</file>

<file path=customXml/itemProps1.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3.xml><?xml version="1.0" encoding="utf-8"?>
<ds:datastoreItem xmlns:ds="http://schemas.openxmlformats.org/officeDocument/2006/customXml" ds:itemID="{F7487EF9-2C6A-4E62-905D-86CC9DA63435}">
  <ds:schemaRefs>
    <ds:schemaRef ds:uri="43d43418-aab9-4ca3-bfd5-0091ec32d794"/>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0BB9CBB-C482-412C-A02D-A26B1B4F1F3C}">
  <ds:schemaRefs>
    <ds:schemaRef ds:uri="http://schemas.openxmlformats.org/officeDocument/2006/bibliography"/>
  </ds:schemaRefs>
</ds:datastoreItem>
</file>

<file path=customXml/itemProps5.xml><?xml version="1.0" encoding="utf-8"?>
<ds:datastoreItem xmlns:ds="http://schemas.openxmlformats.org/officeDocument/2006/customXml" ds:itemID="{FA085752-A264-451B-B9D3-7114C2117D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933</Words>
  <Characters>6583</Characters>
  <Application>Microsoft Office Word</Application>
  <DocSecurity>4</DocSecurity>
  <Lines>134</Lines>
  <Paragraphs>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7460</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2018-10-12T12:58:00Z</dcterms:created>
  <dc:creator>Žana Zimina</dc:creator>
  <lastModifiedBy>adlibuser</lastModifiedBy>
  <lastPrinted>2018-10-11T12:58:00Z</lastPrinted>
  <dcterms:modified xsi:type="dcterms:W3CDTF">2018-10-12T12:58:00Z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