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9abc8ad9ca5e45bfb2208add7eb965c0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rFonts w:ascii="Calibri" w:eastAsia="Calibri" w:hAnsi="Calibri"/>
              <w:sz w:val="22"/>
              <w:szCs w:val="22"/>
            </w:rPr>
          </w:pPr>
        </w:p>
        <w:p>
          <w:pPr>
            <w:tabs>
              <w:tab w:val="right" w:pos="1877"/>
            </w:tabs>
            <w:jc w:val="right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Projektas</w:t>
          </w:r>
        </w:p>
        <w:p>
          <w:pPr>
            <w:tabs>
              <w:tab w:val="right" w:pos="1877"/>
            </w:tabs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LIETUVOS RESPUBLIKOS SEIMAS</w:t>
          </w:r>
        </w:p>
        <w:p>
          <w:pPr>
            <w:tabs>
              <w:tab w:val="right" w:pos="1877"/>
            </w:tabs>
            <w:jc w:val="center"/>
            <w:rPr>
              <w:rFonts w:eastAsia="Calibri"/>
              <w:b/>
              <w:szCs w:val="24"/>
            </w:rPr>
          </w:pPr>
        </w:p>
        <w:p>
          <w:pPr>
            <w:tabs>
              <w:tab w:val="right" w:pos="1877"/>
            </w:tabs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NUTARIMAS</w:t>
          </w:r>
        </w:p>
        <w:p>
          <w:pPr>
            <w:tabs>
              <w:tab w:val="right" w:pos="1877"/>
            </w:tabs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DĖL LIETUVOS RESPUBLIKOS 2015 METŲ VALSTYBĖS KONSOLIDUOTŲJŲ ATASKAITŲ RINKINIO PATVIRTINIMO</w:t>
          </w: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2016 m.                            d.   Nr.</w:t>
          </w:r>
        </w:p>
        <w:p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Vilnius</w:t>
          </w:r>
        </w:p>
        <w:p>
          <w:pPr>
            <w:tabs>
              <w:tab w:val="left" w:pos="900"/>
              <w:tab w:val="left" w:pos="1296"/>
              <w:tab w:val="right" w:pos="9072"/>
            </w:tabs>
            <w:jc w:val="both"/>
            <w:rPr>
              <w:rFonts w:eastAsia="Calibri"/>
              <w:szCs w:val="24"/>
            </w:rPr>
          </w:pPr>
        </w:p>
        <w:sdt>
          <w:sdtPr>
            <w:alias w:val="preambule"/>
            <w:tag w:val="part_2e7be9d59d704ddaa15ea88ed5065cf1"/>
            <w:lock w:val="sdtLocked"/>
            <w:richText/>
          </w:sdtPr>
          <w:sdtContent>
            <w:p>
              <w:pPr>
                <w:tabs>
                  <w:tab w:val="left" w:pos="0"/>
                  <w:tab w:val="left" w:pos="1296"/>
                  <w:tab w:val="right" w:pos="9072"/>
                </w:tabs>
                <w:spacing w:line="360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Lietuvos Respublikos Seimas n u t a r i a: </w:t>
              </w:r>
            </w:p>
          </w:sdtContent>
        </w:sdt>
        <w:sdt>
          <w:sdtPr>
            <w:alias w:val="1 str."/>
            <w:tag w:val="part_501c81bddd1447f4be8da65749334aae"/>
            <w:lock w:val="sdtLocked"/>
            <w:richText/>
          </w:sdtPr>
          <w:sdtContent>
            <w:p>
              <w:pPr>
                <w:tabs>
                  <w:tab w:val="left" w:pos="0"/>
                  <w:tab w:val="left" w:pos="567"/>
                  <w:tab w:val="right" w:pos="9072"/>
                </w:tabs>
                <w:spacing w:line="360" w:lineRule="auto"/>
                <w:jc w:val="both"/>
                <w:rPr>
                  <w:b/>
                </w:rPr>
              </w:pPr>
              <w:sdt>
                <w:sdtPr>
                  <w:alias w:val="Numeris"/>
                  <w:tag w:val="nr_501c81bddd1447f4be8da65749334aa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</w:t>
              </w:r>
              <w:r>
                <w:rPr>
                  <w:b/>
                </w:rPr>
                <w:t>straipsnis.</w:t>
              </w:r>
            </w:p>
            <w:sdt>
              <w:sdtPr>
                <w:alias w:val="1 str. 1 d."/>
                <w:tag w:val="part_62d519ebecfe4abc9c3ea2e243bcb505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1134"/>
                      <w:tab w:val="right" w:pos="9072"/>
                    </w:tabs>
                    <w:spacing w:line="360" w:lineRule="auto"/>
                    <w:ind w:firstLine="567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Patvirtinti Lietuvos Respublikos 2015 metų valstybės konsoliduotųjų ataskaitų rinkinį:</w:t>
                  </w:r>
                </w:p>
                <w:sdt>
                  <w:sdtPr>
                    <w:alias w:val="1 str. 1 d. 1 p."/>
                    <w:tag w:val="part_9cac85b539fd4ec38d3df4102c21deb0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  <w:tab w:val="left" w:pos="1276"/>
                          <w:tab w:val="right" w:pos="9072"/>
                        </w:tabs>
                        <w:spacing w:line="360" w:lineRule="auto"/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9cac85b539fd4ec38d3df4102c21deb0"/>
                          <w:lock w:val="sdtLocked"/>
                          <w:richText/>
                        </w:sdtPr>
                        <w:sdtContent>
                          <w:r>
                            <w:t>1</w:t>
                          </w:r>
                        </w:sdtContent>
                      </w:sdt>
                      <w:r>
                        <w:t xml:space="preserve">) Lietuvos Respublikos 2015 metų valstybės biudžeto vykdymo ataskaitų rinkinį ir šiuos Lietuvos Respublikos 2015 metų valstybės biudžeto (toliau – valstybės biudžetas) </w:t>
                      </w:r>
                      <w:r>
                        <w:rPr>
                          <w:rFonts w:ascii="TimesLT" w:hAnsi="TimesLT"/>
                        </w:rPr>
                        <w:t>finansinius rodiklius:</w:t>
                      </w:r>
                    </w:p>
                    <w:sdt>
                      <w:sdtPr>
                        <w:alias w:val="1 str. 1 d. 1 p. a pp."/>
                        <w:tag w:val="part_f71f3e8978844fc09f7b3b3730cb4808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851"/>
                              <w:tab w:val="left" w:pos="993"/>
                              <w:tab w:val="right" w:pos="9072"/>
                            </w:tabs>
                            <w:spacing w:line="360" w:lineRule="auto"/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f71f3e8978844fc09f7b3b3730cb4808"/>
                              <w:lock w:val="sdtLocked"/>
                              <w:richText/>
                            </w:sdtPr>
                            <w:sdtContent>
                              <w:r>
                                <w:t>a</w:t>
                              </w:r>
                            </w:sdtContent>
                          </w:sdt>
                          <w:r>
                            <w:t>) valstybės biudžeto pajamos – 6 561 119 807 eurai;</w:t>
                          </w:r>
                        </w:p>
                      </w:sdtContent>
                    </w:sdt>
                    <w:sdt>
                      <w:sdtPr>
                        <w:alias w:val="1 str. 1 d. 1 p. b pp."/>
                        <w:tag w:val="part_065adc42513743729ceb931cc0c30839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851"/>
                              <w:tab w:val="left" w:pos="993"/>
                              <w:tab w:val="right" w:pos="9072"/>
                            </w:tabs>
                            <w:spacing w:line="360" w:lineRule="auto"/>
                            <w:ind w:firstLine="567"/>
                            <w:jc w:val="both"/>
                            <w:rPr>
                              <w:highlight w:val="yellow"/>
                            </w:rPr>
                          </w:pPr>
                          <w:sdt>
                            <w:sdtPr>
                              <w:alias w:val="Numeris"/>
                              <w:tag w:val="nr_065adc42513743729ceb931cc0c3083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b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) valstybės biudžeto išlaidos – 8 080 017 260 </w:t>
                          </w:r>
                          <w:r>
                            <w:t xml:space="preserve">eurų, iš jų 7 566 725 749 eurai kitų išlaidų, iš kurių 1 071 545 065 eurai sudaro išlaidos darbo užmokesčiui, įskaitant valstybinių aukštųjų mokyklų darbo užmokestį, ir 513 291 512 eurų išlaidų turtui įsigyti; </w:t>
                          </w:r>
                          <w:r>
                            <w:rPr>
                              <w:highlight w:val="yellow"/>
                            </w:rPr>
                            <w:t xml:space="preserve"> </w:t>
                          </w:r>
                        </w:p>
                      </w:sdtContent>
                    </w:sdt>
                    <w:sdt>
                      <w:sdtPr>
                        <w:alias w:val="1 str. 1 d. 1 p. c pp."/>
                        <w:tag w:val="part_deaa7244b14c45f0a852b27a61412490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851"/>
                              <w:tab w:val="left" w:pos="993"/>
                              <w:tab w:val="right" w:pos="9072"/>
                            </w:tabs>
                            <w:spacing w:line="360" w:lineRule="auto"/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deaa7244b14c45f0a852b27a61412490"/>
                              <w:lock w:val="sdtLocked"/>
                              <w:richText/>
                            </w:sdtPr>
                            <w:sdtContent>
                              <w:r>
                                <w:t>c</w:t>
                              </w:r>
                            </w:sdtContent>
                          </w:sdt>
                          <w:r>
                            <w:t>) biudžetinių įstaigų pajamų įmokos į valstybės biudžetą, valstybės biudžeto pajamos iš mokesčių dalies ir kitos lėšos, kurios įstatymais ir kitais teisės aktais skiriamos programoms finansuoti – 633 162 810 eurų;</w:t>
                          </w:r>
                        </w:p>
                      </w:sdtContent>
                    </w:sdt>
                    <w:sdt>
                      <w:sdtPr>
                        <w:alias w:val="1 str. 1 d. 1 p. d pp."/>
                        <w:tag w:val="part_ae60c546c0e3423393b95e2200c816ff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851"/>
                              <w:tab w:val="left" w:pos="993"/>
                              <w:tab w:val="right" w:pos="9072"/>
                            </w:tabs>
                            <w:spacing w:line="360" w:lineRule="auto"/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ae60c546c0e3423393b95e2200c816ff"/>
                              <w:lock w:val="sdtLocked"/>
                              <w:richText/>
                            </w:sdtPr>
                            <w:sdtContent>
                              <w:r>
                                <w:t>d</w:t>
                              </w:r>
                            </w:sdtContent>
                          </w:sdt>
                          <w:r>
                            <w:t xml:space="preserve">) valstybės biudžeto specialios tikslinės dotacijos savivaldybių biudžetams – 904 641 857 eurai, valstybės biudžeto bendrosios dotacijos kompensacijos savivaldybių biudžetams –               64 734 243 eurai;</w:t>
                          </w:r>
                        </w:p>
                      </w:sdtContent>
                    </w:sdt>
                    <w:sdt>
                      <w:sdtPr>
                        <w:alias w:val="1 str. 1 d. 1 p. e pp."/>
                        <w:tag w:val="part_23732ebadc6d4580ab25c974a343f229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900"/>
                              <w:tab w:val="left" w:pos="993"/>
                              <w:tab w:val="right" w:pos="9072"/>
                            </w:tabs>
                            <w:spacing w:line="360" w:lineRule="auto"/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23732ebadc6d4580ab25c974a343f229"/>
                              <w:lock w:val="sdtLocked"/>
                              <w:richText/>
                            </w:sdtPr>
                            <w:sdtContent>
                              <w:r>
                                <w:t>e</w:t>
                              </w:r>
                            </w:sdtContent>
                          </w:sdt>
                          <w:r>
                            <w:t xml:space="preserve">)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Lietuvos Respublikos Vyriausybės grynasis skolinių įsipareigojimų pokytis, įskaitant euro obligacijoms išpirkti sukauptą sumą, – 763 612 680 eurų</w:t>
                          </w:r>
                          <w:r>
                            <w:t>;</w:t>
                          </w:r>
                        </w:p>
                      </w:sdtContent>
                    </w:sdt>
                    <w:sdt>
                      <w:sdtPr>
                        <w:alias w:val="1 str. 1 d. 1 p. f pp."/>
                        <w:tag w:val="part_0b7b19a7b1d24799a8f79df56620a397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900"/>
                              <w:tab w:val="left" w:pos="993"/>
                              <w:tab w:val="right" w:pos="9072"/>
                            </w:tabs>
                            <w:spacing w:line="360" w:lineRule="auto"/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0b7b19a7b1d24799a8f79df56620a397"/>
                              <w:lock w:val="sdtLocked"/>
                              <w:richText/>
                            </w:sdtPr>
                            <w:sdtContent>
                              <w:r>
                                <w:t>f</w:t>
                              </w:r>
                            </w:sdtContent>
                          </w:sdt>
                          <w:r>
                            <w:t xml:space="preserve">) </w:t>
                          </w:r>
                          <w:r>
                            <w:rPr>
                              <w:color w:val="000000"/>
                            </w:rPr>
                            <w:t xml:space="preserve">2015 ir ankstesniais metais </w:t>
                          </w:r>
                          <w:r>
                            <w:t>valstybės garantuojamų garantijų institucijų prisiimtų įsipareigojimų pagal garantijas suteikta už 148 420 669 eurus, v</w:t>
                          </w:r>
                          <w:r>
                            <w:rPr>
                              <w:color w:val="000000"/>
                            </w:rPr>
                            <w:t xml:space="preserve">alstybės garantijų tarptautinėms finansų institucijoms pagal tarptautinių finansų institucijų suteiktas paskolas valstybės investicijų projektams finansuoti suteikta už </w:t>
                          </w:r>
                          <w:r>
                            <w:t>36 218 417 eurų</w:t>
                          </w:r>
                          <w:r>
                            <w:rPr>
                              <w:color w:val="000000"/>
                            </w:rPr>
                            <w:t>, garantijų už Lietuvos Respublikos mokslo ir studijų įstatyme nurodytas valstybės remiamas paskolas suteikta už 47 346 260 eurų</w:t>
                          </w:r>
                          <w:r>
                            <w:t xml:space="preserve"> (iš jų 2015 metais – 9 867 537 eurai), Lietuvos Respublikos Seimo nustatytų valstybinių aukštųjų mokyklų skolinimosi limito vykdymas – 11 413 035 eurai (iš jų 2015 metais – 7 822 413 eurų);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1 str. 1 d. 2 p."/>
                    <w:tag w:val="part_afac9e5a72dc4f14b2037889faecc0c2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  <w:tab w:val="right" w:pos="9072"/>
                        </w:tabs>
                        <w:spacing w:line="360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fac9e5a72dc4f14b2037889faecc0c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) Lietuvos Respublikos 2015 metų valstybės konsoliduotųjų finansinių ataskaitų rinkinį.</w:t>
                      </w:r>
                    </w:p>
                    <w:p>
                      <w:pPr>
                        <w:tabs>
                          <w:tab w:val="left" w:pos="900"/>
                          <w:tab w:val="left" w:pos="1296"/>
                          <w:tab w:val="right" w:pos="9072"/>
                        </w:tabs>
                        <w:spacing w:line="360" w:lineRule="auto"/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497e21fc1a3a4e228a54858dba98542b"/>
            <w:lock w:val="sdtLocked"/>
            <w:richText/>
          </w:sdtPr>
          <w:sdtContent>
            <w:p>
              <w:pPr>
                <w:tabs>
                  <w:tab w:val="left" w:pos="900"/>
                  <w:tab w:val="left" w:pos="1296"/>
                  <w:tab w:val="left" w:pos="7701"/>
                </w:tabs>
                <w:spacing w:line="360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Seimo Pirmininkas 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851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rFonts w:ascii="Calibri" w:eastAsia="Calibri" w:hAnsi="Calibri"/>
        <w:sz w:val="22"/>
        <w:szCs w:val="22"/>
      </w:rPr>
    </w:pPr>
    <w:r>
      <w:rPr>
        <w:rFonts w:ascii="Calibri" w:eastAsia="Calibri" w:hAnsi="Calibri"/>
        <w:sz w:val="22"/>
        <w:szCs w:val="22"/>
      </w:rPr>
      <w:fldChar w:fldCharType="begin"/>
    </w:r>
    <w:r>
      <w:rPr>
        <w:rFonts w:ascii="Calibri" w:eastAsia="Calibri" w:hAnsi="Calibri"/>
        <w:sz w:val="22"/>
        <w:szCs w:val="22"/>
      </w:rPr>
      <w:instrText>PAGE   \* MERGEFORMAT</w:instrText>
    </w:r>
    <w:r>
      <w:rPr>
        <w:rFonts w:ascii="Calibri" w:eastAsia="Calibri" w:hAnsi="Calibri"/>
        <w:sz w:val="22"/>
        <w:szCs w:val="22"/>
      </w:rPr>
      <w:fldChar w:fldCharType="separate"/>
    </w:r>
    <w:r>
      <w:rPr>
        <w:rFonts w:ascii="Calibri" w:eastAsia="Calibri" w:hAnsi="Calibri"/>
        <w:sz w:val="22"/>
        <w:szCs w:val="22"/>
      </w:rPr>
      <w:t>2</w:t>
    </w:r>
    <w:r>
      <w:rPr>
        <w:rFonts w:ascii="Calibri" w:eastAsia="Calibri" w:hAnsi="Calibri"/>
        <w:sz w:val="22"/>
        <w:szCs w:val="22"/>
      </w:rPr>
      <w:fldChar w:fldCharType="end"/>
    </w:r>
  </w:p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261"/>
  <w:defaultTabStop w:val="1298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3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2805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14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4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365aad7cb0494e0ca3ffebd3ebe4b4f7" PartId="9abc8ad9ca5e45bfb2208add7eb965c0">
    <Part Type="preambule" DocPartId="830fcb1637884566a3ca0ea52e986386" PartId="2e7be9d59d704ddaa15ea88ed5065cf1"/>
    <Part Type="straipsnis" Nr="1" Abbr="1 str." DocPartId="30b91440c6e241f390e7a5d6dadd7ef1" PartId="501c81bddd1447f4be8da65749334aae">
      <Part Type="strDalis" Nr="1" Abbr="1 str. 1 d." DocPartId="72957de9b5fa4ac4b75da2992c949413" PartId="62d519ebecfe4abc9c3ea2e243bcb505">
        <Part Type="strPunktas" Nr="1" Abbr="1 str. 1 d. 1 p." DocPartId="55120488040944738dd068ec274e0b9a" PartId="9cac85b539fd4ec38d3df4102c21deb0">
          <Part Type="strPapunktis" Nr="a" Abbr="1 str. 1 d. 1 p. a pp." DocPartId="4e55ec7dfce44189a2ca610f206394e7" PartId="f71f3e8978844fc09f7b3b3730cb4808"/>
          <Part Type="strPapunktis" Nr="b" Abbr="1 str. 1 d. 1 p. b pp." DocPartId="dcdda2c813fb4b38b20c3a6fdc5e5121" PartId="065adc42513743729ceb931cc0c30839"/>
          <Part Type="strPapunktis" Nr="c" Abbr="1 str. 1 d. 1 p. c pp." DocPartId="111e3b0713c24c32850370fabd4ceb38" PartId="deaa7244b14c45f0a852b27a61412490"/>
          <Part Type="strPapunktis" Nr="d" Abbr="1 str. 1 d. 1 p. d pp." DocPartId="3f35c9df9f4148dc96f5f9a659cb9d7f" PartId="ae60c546c0e3423393b95e2200c816ff"/>
          <Part Type="strPapunktis" Nr="e" Abbr="1 str. 1 d. 1 p. e pp." DocPartId="bc875d8166024bccbfb66ab413b2d681" PartId="23732ebadc6d4580ab25c974a343f229"/>
          <Part Type="strPapunktis" Nr="f" Abbr="1 str. 1 d. 1 p. f pp." DocPartId="48d776f6e6304d00af226fd4a3cd7a47" PartId="0b7b19a7b1d24799a8f79df56620a397"/>
        </Part>
        <Part Type="strPunktas" Nr="2" Abbr="1 str. 1 d. 2 p." DocPartId="0cac90d8317a4424b0b0cb33a82cd10a" PartId="afac9e5a72dc4f14b2037889faecc0c2"/>
      </Part>
    </Part>
    <Part Type="signatura" DocPartId="cafcb6fe43f94e32a31ee67963c1608e" PartId="497e21fc1a3a4e228a54858dba98542b"/>
  </Part>
</Parts>
</file>

<file path=customXml/itemProps1.xml><?xml version="1.0" encoding="utf-8"?>
<ds:datastoreItem xmlns:ds="http://schemas.openxmlformats.org/officeDocument/2006/customXml" ds:itemID="{1DE7B156-CA55-44E7-8EBF-B9CCC217929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00A2E94-6BE4-41BC-9B9B-052DF54FDCB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295</Words>
  <Characters>1888</Characters>
  <Application>Microsoft Office Word</Application>
  <DocSecurity>4</DocSecurity>
  <Lines>40</Lines>
  <Paragraphs>21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FM</Company>
  <LinksUpToDate>false</LinksUpToDate>
  <CharactersWithSpaces>2162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2016-10-07T06:42:00Z</dcterms:created>
  <dc:creator>Viktorija Miliūtė</dc:creator>
  <lastModifiedBy>CLUSadmin</lastModifiedBy>
  <lastPrinted>2016-09-08T10:15:00Z</lastPrinted>
  <dcterms:modified xsi:type="dcterms:W3CDTF">2016-10-07T06:42:00Z</dcterms:modified>
  <revision>2</revision>
</coreProperties>
</file>