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ee883c86db44b3695e0d6172c5f2c2e"/>
        <w:lock w:val="sdtLocked"/>
        <w:richText/>
      </w:sdtPr>
      <w:sdtContent>
        <w:p>
          <w:pPr>
            <w:tabs>
              <w:tab w:val="left" w:pos="7513"/>
            </w:tabs>
            <w:spacing w:line="320" w:lineRule="exact"/>
            <w:jc w:val="center"/>
            <w:rPr>
              <w:b/>
              <w:caps/>
              <w:szCs w:val="24"/>
            </w:rPr>
          </w:pPr>
        </w:p>
        <w:p>
          <w:pPr>
            <w:tabs>
              <w:tab w:val="left" w:pos="7513"/>
            </w:tabs>
            <w:spacing w:line="320" w:lineRule="exact"/>
            <w:jc w:val="center"/>
            <w:rPr>
              <w:b/>
              <w:szCs w:val="24"/>
            </w:rPr>
          </w:pPr>
          <w:r>
            <w:rPr>
              <w:b/>
              <w:caps/>
              <w:szCs w:val="24"/>
            </w:rPr>
            <w:t>Lietuvos Respublikos</w:t>
          </w:r>
        </w:p>
        <w:p>
          <w:pPr>
            <w:jc w:val="center"/>
            <w:rPr>
              <w:b/>
              <w:caps/>
              <w:szCs w:val="24"/>
            </w:rPr>
          </w:pPr>
          <w:r>
            <w:rPr>
              <w:b/>
              <w:caps/>
              <w:szCs w:val="24"/>
            </w:rPr>
            <w:t>sveikatos draudimo įstatymo</w:t>
          </w:r>
          <w:r>
            <w:rPr>
              <w:rFonts w:ascii="TimesLT" w:hAnsi="TimesLT"/>
              <w:caps/>
            </w:rPr>
            <w:t xml:space="preserve"> </w:t>
          </w:r>
          <w:r>
            <w:rPr>
              <w:b/>
              <w:caps/>
              <w:szCs w:val="24"/>
            </w:rPr>
            <w:t xml:space="preserve">NR. I-1343  26 straipsniO pakeitimo įstatymas</w:t>
          </w:r>
        </w:p>
        <w:p>
          <w:pPr>
            <w:spacing w:line="320" w:lineRule="exact"/>
            <w:jc w:val="center"/>
            <w:rPr>
              <w:b/>
              <w:caps/>
              <w:szCs w:val="24"/>
            </w:rPr>
          </w:pPr>
        </w:p>
        <w:p>
          <w:pPr>
            <w:spacing w:line="320" w:lineRule="exact"/>
            <w:jc w:val="center"/>
            <w:rPr>
              <w:szCs w:val="24"/>
            </w:rPr>
          </w:pPr>
          <w:r>
            <w:rPr>
              <w:szCs w:val="24"/>
            </w:rPr>
            <w:t xml:space="preserve">2016 m.                  d. Nr. </w:t>
          </w:r>
        </w:p>
        <w:p>
          <w:pPr>
            <w:rPr>
              <w:sz w:val="18"/>
              <w:szCs w:val="18"/>
            </w:rPr>
          </w:pPr>
        </w:p>
        <w:p>
          <w:pPr>
            <w:spacing w:line="320" w:lineRule="exact"/>
            <w:jc w:val="center"/>
            <w:rPr>
              <w:szCs w:val="24"/>
            </w:rPr>
          </w:pPr>
          <w:r>
            <w:rPr>
              <w:szCs w:val="24"/>
            </w:rPr>
            <w:t>Vilnius</w:t>
          </w:r>
        </w:p>
        <w:p>
          <w:pPr>
            <w:rPr>
              <w:sz w:val="18"/>
              <w:szCs w:val="18"/>
            </w:rPr>
          </w:pPr>
        </w:p>
        <w:p>
          <w:pPr>
            <w:jc w:val="both"/>
            <w:rPr>
              <w:b/>
              <w:bCs/>
              <w:szCs w:val="24"/>
              <w:lang w:eastAsia="lt-LT"/>
            </w:rPr>
          </w:pPr>
        </w:p>
        <w:p>
          <w:pPr>
            <w:rPr>
              <w:sz w:val="10"/>
              <w:szCs w:val="10"/>
            </w:rPr>
          </w:pPr>
        </w:p>
        <w:sdt>
          <w:sdtPr>
            <w:alias w:val="1 str."/>
            <w:tag w:val="part_dea1da8a2b4445c0a30e722c2a630362"/>
            <w:lock w:val="sdtLocked"/>
            <w:richText/>
          </w:sdtPr>
          <w:sdtContent>
            <w:p>
              <w:pPr>
                <w:ind w:firstLine="851"/>
                <w:jc w:val="both"/>
                <w:rPr>
                  <w:rFonts w:eastAsia="Calibri"/>
                  <w:b/>
                  <w:szCs w:val="24"/>
                  <w:lang w:eastAsia="lt-LT"/>
                </w:rPr>
              </w:pPr>
              <w:sdt>
                <w:sdtPr>
                  <w:alias w:val="Numeris"/>
                  <w:tag w:val="nr_dea1da8a2b4445c0a30e722c2a630362"/>
                  <w:lock w:val="sdtLocked"/>
                  <w:richText/>
                </w:sdtPr>
                <w:sdtContent>
                  <w:r>
                    <w:rPr>
                      <w:rFonts w:eastAsia="Calibri"/>
                      <w:b/>
                      <w:szCs w:val="24"/>
                      <w:lang w:eastAsia="lt-LT"/>
                    </w:rPr>
                    <w:t>1</w:t>
                  </w:r>
                </w:sdtContent>
              </w:sdt>
              <w:r>
                <w:rPr>
                  <w:rFonts w:eastAsia="Calibri"/>
                  <w:b/>
                  <w:szCs w:val="24"/>
                  <w:lang w:eastAsia="lt-LT"/>
                </w:rPr>
                <w:t xml:space="preserve"> straipsnis. </w:t>
              </w:r>
              <w:sdt>
                <w:sdtPr>
                  <w:alias w:val="Pavadinimas"/>
                  <w:tag w:val="title_dea1da8a2b4445c0a30e722c2a630362"/>
                  <w:lock w:val="sdtLocked"/>
                  <w:richText/>
                </w:sdtPr>
                <w:sdtContent>
                  <w:r>
                    <w:rPr>
                      <w:rFonts w:eastAsia="Calibri"/>
                      <w:b/>
                      <w:szCs w:val="24"/>
                      <w:lang w:eastAsia="lt-LT"/>
                    </w:rPr>
                    <w:t>26 straipsnio pakeitimas</w:t>
                  </w:r>
                </w:sdtContent>
              </w:sdt>
            </w:p>
            <w:p>
              <w:pPr>
                <w:rPr>
                  <w:sz w:val="10"/>
                  <w:szCs w:val="10"/>
                </w:rPr>
              </w:pPr>
            </w:p>
            <w:sdt>
              <w:sdtPr>
                <w:alias w:val="1 str. 1 d."/>
                <w:tag w:val="part_aac0fff7b41a4269b95064dcabdfd3b2"/>
                <w:lock w:val="sdtLocked"/>
                <w:richText/>
              </w:sdtPr>
              <w:sdtContent>
                <w:p>
                  <w:pPr>
                    <w:ind w:firstLine="851"/>
                    <w:jc w:val="both"/>
                    <w:rPr>
                      <w:rFonts w:eastAsia="Calibri"/>
                      <w:szCs w:val="24"/>
                      <w:lang w:eastAsia="lt-LT"/>
                    </w:rPr>
                  </w:pPr>
                  <w:r>
                    <w:rPr>
                      <w:rFonts w:eastAsia="Calibri"/>
                      <w:szCs w:val="24"/>
                      <w:lang w:eastAsia="lt-LT"/>
                    </w:rPr>
                    <w:t>Pakeisti 26 straipsnio 2 dalį ir ją išdėstyti taip:</w:t>
                  </w:r>
                </w:p>
                <w:p>
                  <w:pPr>
                    <w:rPr>
                      <w:sz w:val="20"/>
                    </w:rPr>
                  </w:pPr>
                </w:p>
                <w:sdt>
                  <w:sdtPr>
                    <w:alias w:val="citata"/>
                    <w:tag w:val="part_671bbd346fd3472181c99ba6b40de2fd"/>
                    <w:lock w:val="sdtLocked"/>
                    <w:richText/>
                  </w:sdtPr>
                  <w:sdtContent>
                    <w:sdt>
                      <w:sdtPr>
                        <w:alias w:val="2 d."/>
                        <w:tag w:val="part_d0832843d3294c34a370933409aa0f01"/>
                        <w:lock w:val="sdtLocked"/>
                        <w:richText/>
                      </w:sdtPr>
                      <w:sdtContent>
                        <w:p>
                          <w:pPr>
                            <w:ind w:firstLine="851"/>
                            <w:jc w:val="both"/>
                            <w:rPr>
                              <w:b/>
                              <w:szCs w:val="24"/>
                              <w:lang w:eastAsia="lt-LT"/>
                            </w:rPr>
                          </w:pPr>
                          <w:r>
                            <w:rPr>
                              <w:bCs/>
                              <w:szCs w:val="24"/>
                              <w:lang w:eastAsia="lt-LT"/>
                            </w:rPr>
                            <w:t>„</w:t>
                          </w:r>
                          <w:sdt>
                            <w:sdtPr>
                              <w:alias w:val="Numeris"/>
                              <w:tag w:val="nr_d0832843d3294c34a370933409aa0f01"/>
                              <w:lock w:val="sdtLocked"/>
                              <w:richText/>
                            </w:sdtPr>
                            <w:sdtContent>
                              <w:r>
                                <w:rPr>
                                  <w:bCs/>
                                  <w:szCs w:val="24"/>
                                  <w:lang w:eastAsia="lt-LT"/>
                                </w:rPr>
                                <w:t>2</w:t>
                              </w:r>
                            </w:sdtContent>
                          </w:sdt>
                          <w:r>
                            <w:rPr>
                              <w:bCs/>
                              <w:szCs w:val="24"/>
                              <w:lang w:eastAsia="lt-LT"/>
                            </w:rPr>
                            <w:t>. Sutartys tarp teritorinių ligonių kasų ir asmens sveikatos priežiūros įstaigų, tarp teritorinių ligonių kasų ir vaistinių, vadovaujantis Civiliniu kodeksu, šiuo ir kitais įstatymais, laikantis draudimo diskriminuoti asmens sveikatos priežiūros paslaugų teikėjus priklausomai nuo jų veiklos ir nuosavybės formos ir pareigos užtikrinti vienodas teikėjų teises sudaryti sutartis dėl objektyvaus kiekio kompensuojamųjų paslaugų išlaidų apmokėjimo, tame tarpe ir naujai pradėtų teikti paslaugų išlaidų kompensavimo bei kitų sutarčių sąlygų, sudaromos Sveikatos apsaugos ministerijos nustatyta tvarka, atsižvelgiant į Valstybinės ligonių kasos ir Privalomojo sveikatos draudimo tarybos nuomones.“</w:t>
                          </w:r>
                        </w:p>
                        <w:p>
                          <w:pPr>
                            <w:rPr>
                              <w:sz w:val="10"/>
                              <w:szCs w:val="10"/>
                            </w:rPr>
                          </w:pPr>
                        </w:p>
                        <w:p>
                          <w:pPr>
                            <w:ind w:firstLine="851"/>
                            <w:jc w:val="both"/>
                            <w:rPr>
                              <w:b/>
                              <w:bCs/>
                              <w:szCs w:val="24"/>
                              <w:lang w:eastAsia="lt-LT"/>
                            </w:rPr>
                          </w:pPr>
                        </w:p>
                        <w:p>
                          <w:pPr>
                            <w:rPr>
                              <w:sz w:val="10"/>
                              <w:szCs w:val="10"/>
                            </w:rPr>
                          </w:pPr>
                        </w:p>
                      </w:sdtContent>
                    </w:sdt>
                  </w:sdtContent>
                </w:sdt>
              </w:sdtContent>
            </w:sdt>
          </w:sdtContent>
        </w:sdt>
        <w:sdt>
          <w:sdtPr>
            <w:alias w:val="2 str."/>
            <w:tag w:val="part_2355de2d8be54165a8d78be62c8025b6"/>
            <w:lock w:val="sdtLocked"/>
            <w:richText/>
          </w:sdtPr>
          <w:sdtContent>
            <w:p>
              <w:pPr>
                <w:ind w:firstLine="851"/>
                <w:jc w:val="both"/>
                <w:rPr>
                  <w:szCs w:val="24"/>
                  <w:lang w:eastAsia="lt-LT"/>
                </w:rPr>
              </w:pPr>
              <w:sdt>
                <w:sdtPr>
                  <w:alias w:val="Numeris"/>
                  <w:tag w:val="nr_2355de2d8be54165a8d78be62c8025b6"/>
                  <w:lock w:val="sdtLocked"/>
                  <w:richText/>
                </w:sdtPr>
                <w:sdtContent>
                  <w:r>
                    <w:rPr>
                      <w:b/>
                      <w:bCs/>
                      <w:szCs w:val="24"/>
                      <w:lang w:eastAsia="lt-LT"/>
                    </w:rPr>
                    <w:t>2</w:t>
                  </w:r>
                </w:sdtContent>
              </w:sdt>
              <w:r>
                <w:rPr>
                  <w:b/>
                  <w:bCs/>
                  <w:szCs w:val="24"/>
                  <w:lang w:eastAsia="lt-LT"/>
                </w:rPr>
                <w:t> straipsnis. </w:t>
              </w:r>
              <w:sdt>
                <w:sdtPr>
                  <w:alias w:val="Pavadinimas"/>
                  <w:tag w:val="title_2355de2d8be54165a8d78be62c8025b6"/>
                  <w:lock w:val="sdtLocked"/>
                  <w:richText/>
                </w:sdtPr>
                <w:sdtContent>
                  <w:r>
                    <w:rPr>
                      <w:b/>
                      <w:bCs/>
                      <w:szCs w:val="24"/>
                      <w:lang w:eastAsia="lt-LT"/>
                    </w:rPr>
                    <w:t>Įstatymo įsigaliojimas ir įgyvendinimas</w:t>
                  </w:r>
                </w:sdtContent>
              </w:sdt>
            </w:p>
            <w:p>
              <w:pPr>
                <w:rPr>
                  <w:sz w:val="10"/>
                  <w:szCs w:val="10"/>
                </w:rPr>
              </w:pPr>
            </w:p>
            <w:sdt>
              <w:sdtPr>
                <w:alias w:val="2 str. 1 d."/>
                <w:tag w:val="part_8326ab842d7a41ca833331ddf4fbf0c8"/>
                <w:lock w:val="sdtLocked"/>
                <w:richText/>
              </w:sdtPr>
              <w:sdtContent>
                <w:p>
                  <w:pPr>
                    <w:ind w:firstLine="851"/>
                    <w:jc w:val="both"/>
                    <w:rPr>
                      <w:szCs w:val="24"/>
                      <w:lang w:eastAsia="lt-LT"/>
                    </w:rPr>
                  </w:pPr>
                  <w:r>
                    <w:rPr>
                      <w:szCs w:val="24"/>
                      <w:lang w:eastAsia="lt-LT"/>
                    </w:rPr>
                    <w:t>Šis įstatymas įsigalioja 2017 m. sausio 1 d.</w:t>
                  </w:r>
                </w:p>
                <w:p>
                  <w:pPr>
                    <w:rPr>
                      <w:sz w:val="10"/>
                      <w:szCs w:val="10"/>
                    </w:rPr>
                  </w:pPr>
                </w:p>
                <w:p>
                  <w:pPr>
                    <w:ind w:firstLine="771"/>
                    <w:jc w:val="both"/>
                    <w:rPr>
                      <w:szCs w:val="24"/>
                      <w:lang w:eastAsia="lt-LT"/>
                    </w:rPr>
                  </w:pPr>
                </w:p>
                <w:p>
                  <w:pPr>
                    <w:ind w:firstLine="771"/>
                    <w:jc w:val="both"/>
                    <w:rPr>
                      <w:szCs w:val="24"/>
                      <w:lang w:eastAsia="lt-LT"/>
                    </w:rPr>
                  </w:pPr>
                </w:p>
                <w:p>
                  <w:pPr>
                    <w:ind w:firstLine="771"/>
                    <w:rPr>
                      <w:szCs w:val="24"/>
                      <w:lang w:eastAsia="lt-LT"/>
                    </w:rPr>
                  </w:pPr>
                </w:p>
              </w:sdtContent>
            </w:sdt>
          </w:sdtContent>
        </w:sdt>
        <w:sdt>
          <w:sdtPr>
            <w:alias w:val="signatura"/>
            <w:tag w:val="part_221945c4479b4d02abfa3acebdc4585b"/>
            <w:lock w:val="sdtLocked"/>
            <w:richText/>
          </w:sdtPr>
          <w:sdtContent>
            <w:p>
              <w:pPr>
                <w:ind w:firstLine="851"/>
                <w:rPr>
                  <w:szCs w:val="24"/>
                  <w:lang w:eastAsia="lt-LT"/>
                </w:rPr>
              </w:pPr>
              <w:r>
                <w:rPr>
                  <w:i/>
                  <w:iCs/>
                  <w:szCs w:val="24"/>
                  <w:lang w:eastAsia="lt-LT"/>
                </w:rPr>
                <w:t>Skelbiu šį Lietuvos Respublikos Seimo priimtą įstatymą.</w:t>
              </w:r>
            </w:p>
            <w:p>
              <w:pPr>
                <w:rPr>
                  <w:szCs w:val="24"/>
                  <w:lang w:eastAsia="lt-LT"/>
                </w:rPr>
              </w:pPr>
            </w:p>
            <w:p>
              <w:pPr>
                <w:rPr>
                  <w:szCs w:val="24"/>
                  <w:lang w:eastAsia="lt-LT"/>
                </w:rPr>
              </w:pPr>
            </w:p>
            <w:p>
              <w:pPr>
                <w:rPr>
                  <w:szCs w:val="24"/>
                  <w:lang w:eastAsia="lt-LT"/>
                </w:rPr>
              </w:pPr>
              <w:r>
                <w:rPr>
                  <w:szCs w:val="24"/>
                  <w:lang w:eastAsia="lt-LT"/>
                </w:rPr>
                <w:t>Respublikos Prezidentas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Teikia:</w:t>
              </w:r>
            </w:p>
            <w:p>
              <w:pPr>
                <w:rPr>
                  <w:szCs w:val="24"/>
                  <w:lang w:eastAsia="lt-LT"/>
                </w:rPr>
              </w:pPr>
            </w:p>
            <w:p>
              <w:pPr>
                <w:rPr>
                  <w:szCs w:val="24"/>
                  <w:lang w:eastAsia="lt-LT"/>
                </w:rPr>
              </w:pPr>
              <w:r>
                <w:rPr>
                  <w:szCs w:val="24"/>
                  <w:lang w:eastAsia="lt-LT"/>
                </w:rPr>
                <w:t>Antanas Matulas</w:t>
              </w:r>
            </w:p>
            <w:p>
              <w:pPr>
                <w:spacing w:line="276" w:lineRule="auto"/>
                <w:jc w:val="both"/>
                <w:rPr>
                  <w:szCs w:val="24"/>
                </w:rPr>
              </w:pPr>
              <w:r>
                <w:rPr>
                  <w:szCs w:val="24"/>
                </w:rPr>
                <w:t>Vida Marija Čigriejienė</w:t>
              </w:r>
            </w:p>
            <w:p>
              <w:pPr>
                <w:spacing w:line="276" w:lineRule="auto"/>
                <w:jc w:val="both"/>
                <w:rPr>
                  <w:szCs w:val="24"/>
                </w:rPr>
              </w:pPr>
              <w:r>
                <w:rPr>
                  <w:szCs w:val="24"/>
                </w:rPr>
                <w:t>Dangutė Mikutienė</w:t>
              </w:r>
            </w:p>
            <w:p>
              <w:pPr>
                <w:jc w:val="center"/>
                <w:rPr>
                  <w:rFonts w:ascii="TimesLT" w:hAnsi="TimesLT"/>
                  <w:caps/>
                </w:rPr>
              </w:pPr>
            </w:p>
          </w:sdtContent>
        </w:sdt>
      </w:sdtContent>
    </w:sdt>
    <w:sectPr>
      <w:headerReference w:type="default" r:id="rId7"/>
      <w:pgSz w:w="11906" w:h="16838"/>
      <w:pgMar w:top="1135" w:right="849"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right"/>
      <w:rPr>
        <w:b/>
        <w:sz w:val="22"/>
        <w:szCs w:val="24"/>
      </w:rPr>
    </w:pPr>
  </w:p>
  <w:p>
    <w:pPr>
      <w:tabs>
        <w:tab w:val="center" w:pos="4819"/>
        <w:tab w:val="right" w:pos="9638"/>
      </w:tabs>
      <w:jc w:val="right"/>
      <w:rPr>
        <w:b/>
        <w:sz w:val="22"/>
        <w:szCs w:val="24"/>
      </w:rPr>
    </w:pPr>
  </w:p>
  <w:p>
    <w:pPr>
      <w:tabs>
        <w:tab w:val="center" w:pos="4819"/>
        <w:tab w:val="right" w:pos="9638"/>
      </w:tabs>
      <w:jc w:val="right"/>
      <w:rPr>
        <w:sz w:val="22"/>
        <w:szCs w:val="22"/>
      </w:rPr>
    </w:pPr>
    <w:r>
      <w:rPr>
        <w:b/>
        <w:sz w:val="22"/>
        <w:szCs w:val="24"/>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4B4"/>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15120700">
      <w:bodyDiv w:val="1"/>
      <w:marLeft w:val="0"/>
      <w:marRight w:val="0"/>
      <w:marTop w:val="0"/>
      <w:marBottom w:val="0"/>
      <w:divBdr>
        <w:top w:val="none" w:sz="0" w:space="0" w:color="auto"/>
        <w:left w:val="none" w:sz="0" w:space="0" w:color="auto"/>
        <w:bottom w:val="none" w:sz="0" w:space="0" w:color="auto"/>
        <w:right w:val="none" w:sz="0" w:space="0" w:color="auto"/>
      </w:divBdr>
      <w:divsChild>
        <w:div w:id="356857054">
          <w:marLeft w:val="0"/>
          <w:marRight w:val="0"/>
          <w:marTop w:val="0"/>
          <w:marBottom w:val="0"/>
          <w:divBdr>
            <w:top w:val="none" w:sz="0" w:space="0" w:color="auto"/>
            <w:left w:val="none" w:sz="0" w:space="0" w:color="auto"/>
            <w:bottom w:val="none" w:sz="0" w:space="0" w:color="auto"/>
            <w:right w:val="none" w:sz="0" w:space="0" w:color="auto"/>
          </w:divBdr>
        </w:div>
        <w:div w:id="1022634548">
          <w:marLeft w:val="0"/>
          <w:marRight w:val="0"/>
          <w:marTop w:val="0"/>
          <w:marBottom w:val="0"/>
          <w:divBdr>
            <w:top w:val="none" w:sz="0" w:space="0" w:color="auto"/>
            <w:left w:val="none" w:sz="0" w:space="0" w:color="auto"/>
            <w:bottom w:val="none" w:sz="0" w:space="0" w:color="auto"/>
            <w:right w:val="none" w:sz="0" w:space="0" w:color="auto"/>
          </w:divBdr>
        </w:div>
      </w:divsChild>
    </w:div>
    <w:div w:id="573591482">
      <w:bodyDiv w:val="1"/>
      <w:marLeft w:val="0"/>
      <w:marRight w:val="0"/>
      <w:marTop w:val="0"/>
      <w:marBottom w:val="0"/>
      <w:divBdr>
        <w:top w:val="none" w:sz="0" w:space="0" w:color="auto"/>
        <w:left w:val="none" w:sz="0" w:space="0" w:color="auto"/>
        <w:bottom w:val="none" w:sz="0" w:space="0" w:color="auto"/>
        <w:right w:val="none" w:sz="0" w:space="0" w:color="auto"/>
      </w:divBdr>
    </w:div>
    <w:div w:id="621308104">
      <w:bodyDiv w:val="1"/>
      <w:marLeft w:val="0"/>
      <w:marRight w:val="0"/>
      <w:marTop w:val="0"/>
      <w:marBottom w:val="0"/>
      <w:divBdr>
        <w:top w:val="none" w:sz="0" w:space="0" w:color="auto"/>
        <w:left w:val="none" w:sz="0" w:space="0" w:color="auto"/>
        <w:bottom w:val="none" w:sz="0" w:space="0" w:color="auto"/>
        <w:right w:val="none" w:sz="0" w:space="0" w:color="auto"/>
      </w:divBdr>
      <w:divsChild>
        <w:div w:id="1377899008">
          <w:marLeft w:val="0"/>
          <w:marRight w:val="0"/>
          <w:marTop w:val="0"/>
          <w:marBottom w:val="0"/>
          <w:divBdr>
            <w:top w:val="none" w:sz="0" w:space="0" w:color="auto"/>
            <w:left w:val="none" w:sz="0" w:space="0" w:color="auto"/>
            <w:bottom w:val="none" w:sz="0" w:space="0" w:color="auto"/>
            <w:right w:val="none" w:sz="0" w:space="0" w:color="auto"/>
          </w:divBdr>
        </w:div>
        <w:div w:id="147090020">
          <w:marLeft w:val="0"/>
          <w:marRight w:val="0"/>
          <w:marTop w:val="0"/>
          <w:marBottom w:val="0"/>
          <w:divBdr>
            <w:top w:val="none" w:sz="0" w:space="0" w:color="auto"/>
            <w:left w:val="none" w:sz="0" w:space="0" w:color="auto"/>
            <w:bottom w:val="none" w:sz="0" w:space="0" w:color="auto"/>
            <w:right w:val="none" w:sz="0" w:space="0" w:color="auto"/>
          </w:divBdr>
        </w:div>
      </w:divsChild>
    </w:div>
    <w:div w:id="708920115">
      <w:bodyDiv w:val="1"/>
      <w:marLeft w:val="0"/>
      <w:marRight w:val="0"/>
      <w:marTop w:val="0"/>
      <w:marBottom w:val="0"/>
      <w:divBdr>
        <w:top w:val="none" w:sz="0" w:space="0" w:color="auto"/>
        <w:left w:val="none" w:sz="0" w:space="0" w:color="auto"/>
        <w:bottom w:val="none" w:sz="0" w:space="0" w:color="auto"/>
        <w:right w:val="none" w:sz="0" w:space="0" w:color="auto"/>
      </w:divBdr>
      <w:divsChild>
        <w:div w:id="1935940192">
          <w:marLeft w:val="0"/>
          <w:marRight w:val="0"/>
          <w:marTop w:val="0"/>
          <w:marBottom w:val="0"/>
          <w:divBdr>
            <w:top w:val="none" w:sz="0" w:space="0" w:color="auto"/>
            <w:left w:val="none" w:sz="0" w:space="0" w:color="auto"/>
            <w:bottom w:val="none" w:sz="0" w:space="0" w:color="auto"/>
            <w:right w:val="none" w:sz="0" w:space="0" w:color="auto"/>
          </w:divBdr>
          <w:divsChild>
            <w:div w:id="833956438">
              <w:marLeft w:val="0"/>
              <w:marRight w:val="0"/>
              <w:marTop w:val="0"/>
              <w:marBottom w:val="0"/>
              <w:divBdr>
                <w:top w:val="none" w:sz="0" w:space="0" w:color="auto"/>
                <w:left w:val="none" w:sz="0" w:space="0" w:color="auto"/>
                <w:bottom w:val="none" w:sz="0" w:space="0" w:color="auto"/>
                <w:right w:val="none" w:sz="0" w:space="0" w:color="auto"/>
              </w:divBdr>
            </w:div>
            <w:div w:id="1195118356">
              <w:marLeft w:val="0"/>
              <w:marRight w:val="0"/>
              <w:marTop w:val="0"/>
              <w:marBottom w:val="0"/>
              <w:divBdr>
                <w:top w:val="none" w:sz="0" w:space="0" w:color="auto"/>
                <w:left w:val="none" w:sz="0" w:space="0" w:color="auto"/>
                <w:bottom w:val="none" w:sz="0" w:space="0" w:color="auto"/>
                <w:right w:val="none" w:sz="0" w:space="0" w:color="auto"/>
              </w:divBdr>
            </w:div>
          </w:divsChild>
        </w:div>
        <w:div w:id="1777675899">
          <w:marLeft w:val="0"/>
          <w:marRight w:val="0"/>
          <w:marTop w:val="0"/>
          <w:marBottom w:val="0"/>
          <w:divBdr>
            <w:top w:val="none" w:sz="0" w:space="0" w:color="auto"/>
            <w:left w:val="none" w:sz="0" w:space="0" w:color="auto"/>
            <w:bottom w:val="none" w:sz="0" w:space="0" w:color="auto"/>
            <w:right w:val="none" w:sz="0" w:space="0" w:color="auto"/>
          </w:divBdr>
        </w:div>
      </w:divsChild>
    </w:div>
    <w:div w:id="719523990">
      <w:bodyDiv w:val="1"/>
      <w:marLeft w:val="0"/>
      <w:marRight w:val="0"/>
      <w:marTop w:val="0"/>
      <w:marBottom w:val="0"/>
      <w:divBdr>
        <w:top w:val="none" w:sz="0" w:space="0" w:color="auto"/>
        <w:left w:val="none" w:sz="0" w:space="0" w:color="auto"/>
        <w:bottom w:val="none" w:sz="0" w:space="0" w:color="auto"/>
        <w:right w:val="none" w:sz="0" w:space="0" w:color="auto"/>
      </w:divBdr>
    </w:div>
    <w:div w:id="779838964">
      <w:bodyDiv w:val="1"/>
      <w:marLeft w:val="0"/>
      <w:marRight w:val="0"/>
      <w:marTop w:val="0"/>
      <w:marBottom w:val="0"/>
      <w:divBdr>
        <w:top w:val="none" w:sz="0" w:space="0" w:color="auto"/>
        <w:left w:val="none" w:sz="0" w:space="0" w:color="auto"/>
        <w:bottom w:val="none" w:sz="0" w:space="0" w:color="auto"/>
        <w:right w:val="none" w:sz="0" w:space="0" w:color="auto"/>
      </w:divBdr>
      <w:divsChild>
        <w:div w:id="2124838588">
          <w:marLeft w:val="0"/>
          <w:marRight w:val="0"/>
          <w:marTop w:val="0"/>
          <w:marBottom w:val="0"/>
          <w:divBdr>
            <w:top w:val="none" w:sz="0" w:space="0" w:color="auto"/>
            <w:left w:val="none" w:sz="0" w:space="0" w:color="auto"/>
            <w:bottom w:val="none" w:sz="0" w:space="0" w:color="auto"/>
            <w:right w:val="none" w:sz="0" w:space="0" w:color="auto"/>
          </w:divBdr>
        </w:div>
        <w:div w:id="1167205917">
          <w:marLeft w:val="0"/>
          <w:marRight w:val="0"/>
          <w:marTop w:val="0"/>
          <w:marBottom w:val="0"/>
          <w:divBdr>
            <w:top w:val="none" w:sz="0" w:space="0" w:color="auto"/>
            <w:left w:val="none" w:sz="0" w:space="0" w:color="auto"/>
            <w:bottom w:val="none" w:sz="0" w:space="0" w:color="auto"/>
            <w:right w:val="none" w:sz="0" w:space="0" w:color="auto"/>
          </w:divBdr>
        </w:div>
      </w:divsChild>
    </w:div>
    <w:div w:id="1213226099">
      <w:bodyDiv w:val="1"/>
      <w:marLeft w:val="0"/>
      <w:marRight w:val="0"/>
      <w:marTop w:val="0"/>
      <w:marBottom w:val="0"/>
      <w:divBdr>
        <w:top w:val="none" w:sz="0" w:space="0" w:color="auto"/>
        <w:left w:val="none" w:sz="0" w:space="0" w:color="auto"/>
        <w:bottom w:val="none" w:sz="0" w:space="0" w:color="auto"/>
        <w:right w:val="none" w:sz="0" w:space="0" w:color="auto"/>
      </w:divBdr>
    </w:div>
    <w:div w:id="1473526554">
      <w:bodyDiv w:val="1"/>
      <w:marLeft w:val="0"/>
      <w:marRight w:val="0"/>
      <w:marTop w:val="0"/>
      <w:marBottom w:val="0"/>
      <w:divBdr>
        <w:top w:val="none" w:sz="0" w:space="0" w:color="auto"/>
        <w:left w:val="none" w:sz="0" w:space="0" w:color="auto"/>
        <w:bottom w:val="none" w:sz="0" w:space="0" w:color="auto"/>
        <w:right w:val="none" w:sz="0" w:space="0" w:color="auto"/>
      </w:divBdr>
    </w:div>
    <w:div w:id="1707948376">
      <w:bodyDiv w:val="1"/>
      <w:marLeft w:val="0"/>
      <w:marRight w:val="0"/>
      <w:marTop w:val="0"/>
      <w:marBottom w:val="0"/>
      <w:divBdr>
        <w:top w:val="none" w:sz="0" w:space="0" w:color="auto"/>
        <w:left w:val="none" w:sz="0" w:space="0" w:color="auto"/>
        <w:bottom w:val="none" w:sz="0" w:space="0" w:color="auto"/>
        <w:right w:val="none" w:sz="0" w:space="0" w:color="auto"/>
      </w:divBdr>
    </w:div>
    <w:div w:id="2018729568">
      <w:bodyDiv w:val="1"/>
      <w:marLeft w:val="0"/>
      <w:marRight w:val="0"/>
      <w:marTop w:val="0"/>
      <w:marBottom w:val="0"/>
      <w:divBdr>
        <w:top w:val="none" w:sz="0" w:space="0" w:color="auto"/>
        <w:left w:val="none" w:sz="0" w:space="0" w:color="auto"/>
        <w:bottom w:val="none" w:sz="0" w:space="0" w:color="auto"/>
        <w:right w:val="none" w:sz="0" w:space="0" w:color="auto"/>
      </w:divBdr>
    </w:div>
    <w:div w:id="2146385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907ed06ba24b84bb5728771a5215b4" PartId="4ee883c86db44b3695e0d6172c5f2c2e">
    <Part Type="straipsnis" Nr="1" Abbr="1 str." Title="26 straipsnio pakeitimas" DocPartId="ca4ff1dd7961440d9ae897e26e27340d" PartId="dea1da8a2b4445c0a30e722c2a630362">
      <Part Type="strDalis" Nr="1" Abbr="1 str. 1 d." DocPartId="11fe5c68e3f64cb38a8605c40c8fbee3" PartId="aac0fff7b41a4269b95064dcabdfd3b2">
        <Part Type="citata" DocPartId="21ab0f4c8ff64bc1b87225804805bd56" PartId="671bbd346fd3472181c99ba6b40de2fd">
          <Part Type="strDalis" Nr="2" Abbr="2 d." DocPartId="baf8a0a508124b21a56c53fdf4ccc0f0" PartId="d0832843d3294c34a370933409aa0f01"/>
        </Part>
      </Part>
    </Part>
    <Part Type="straipsnis" Nr="2" Abbr="2 str." Title="Įstatymo įsigaliojimas ir įgyvendinimas" DocPartId="43914bb8a2b14046a35070cde22a1355" PartId="2355de2d8be54165a8d78be62c8025b6">
      <Part Type="strDalis" Nr="1" Abbr="2 str. 1 d." DocPartId="6eecdaffdf254d4f915ea461d287f0b4" PartId="8326ab842d7a41ca833331ddf4fbf0c8"/>
    </Part>
    <Part Type="signatura" DocPartId="ca96b124129a4825aa79940de720521c" PartId="221945c4479b4d02abfa3acebdc4585b"/>
  </Part>
</Parts>
</file>

<file path=customXml/itemProps1.xml><?xml version="1.0" encoding="utf-8"?>
<ds:datastoreItem xmlns:ds="http://schemas.openxmlformats.org/officeDocument/2006/customXml" ds:itemID="{E4BCB749-D011-4028-BDED-8B55F7A805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150</Words>
  <Characters>1041</Characters>
  <Application>Microsoft Office Word</Application>
  <DocSecurity>4</DocSecurity>
  <Lines>38</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2016-06-02T16:14:00Z</dcterms:created>
  <dc:creator>Diana Kozliakaitė</dc:creator>
  <lastModifiedBy>CLUSadmin</lastModifiedBy>
  <dcterms:modified xsi:type="dcterms:W3CDTF">2016-06-02T16:14:00Z</dcterms:modified>
  <revision>2</revision>
</coreProperties>
</file>