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2eca4cfe3f54f5f9e4d0372aba24ac4"/>
        <w:lock w:val="sdtLocked"/>
        <w:richText/>
      </w:sdtPr>
      <w:sdtContent>
        <w:p w14:paraId="62AA13A3" w14:textId="77777777">
          <w:pPr>
            <w:tabs>
              <w:tab w:val="center" w:pos="4819"/>
              <w:tab w:val="right" w:pos="9638"/>
            </w:tabs>
            <w:jc w:val="center"/>
          </w:pPr>
        </w:p>
        <w:p w14:paraId="31C04176" w14:textId="77777777">
          <w:pPr>
            <w:tabs>
              <w:tab w:val="center" w:pos="4819"/>
              <w:tab w:val="right" w:pos="9638"/>
            </w:tabs>
          </w:pPr>
        </w:p>
        <w:p w14:paraId="5993E8F2" w14:textId="3DBC6475">
          <w:pPr>
            <w:tabs>
              <w:tab w:val="center" w:pos="4819"/>
              <w:tab w:val="right" w:pos="9740"/>
            </w:tabs>
            <w:jc w:val="center"/>
            <w:rPr>
              <w:b/>
              <w:bCs/>
              <w:szCs w:val="24"/>
            </w:rPr>
          </w:pPr>
          <w:r>
            <w:rPr>
              <w:lang w:eastAsia="lt-LT"/>
            </w:rPr>
            <w:tab/>
            <w:tab/>
          </w:r>
          <w:r>
            <w:rPr>
              <w:b/>
              <w:lang w:eastAsia="lt-LT"/>
            </w:rPr>
            <w:t>Projektas</w:t>
          </w:r>
        </w:p>
        <w:p w14:paraId="1A5C72CB" w14:textId="77777777">
          <w:pPr>
            <w:tabs>
              <w:tab w:val="center" w:pos="4819"/>
              <w:tab w:val="right" w:pos="9638"/>
            </w:tabs>
            <w:jc w:val="center"/>
            <w:rPr>
              <w:b/>
              <w:bCs/>
              <w:szCs w:val="24"/>
            </w:rPr>
          </w:pPr>
        </w:p>
        <w:p w14:paraId="67AC9848" w14:textId="77777777">
          <w:pPr>
            <w:jc w:val="center"/>
            <w:rPr>
              <w:b/>
              <w:caps/>
              <w:color w:val="000000"/>
            </w:rPr>
          </w:pPr>
          <w:r>
            <w:rPr>
              <w:b/>
              <w:caps/>
              <w:color w:val="000000"/>
            </w:rPr>
            <w:t xml:space="preserve">VALSTYBINĖS MOKESČIŲ INSPEKCIJOS </w:t>
            <w:br/>
            <w:t xml:space="preserve">PRIE LIETUVOS RESPUBLIKOS FINANSŲ MINISTERIJOS </w:t>
            <w:br/>
            <w:t>VIRŠININKAS</w:t>
          </w:r>
        </w:p>
        <w:p w14:paraId="635AE762" w14:textId="77777777">
          <w:pPr>
            <w:jc w:val="center"/>
            <w:rPr>
              <w:b/>
              <w:caps/>
              <w:color w:val="000000"/>
            </w:rPr>
          </w:pPr>
        </w:p>
        <w:tbl>
          <w:tblPr>
            <w:tblW w:w="9639" w:type="dxa"/>
            <w:tblInd w:w="8" w:type="dxa"/>
            <w:tblLayout w:type="fixed"/>
            <w:tblCellMar>
              <w:left w:w="0" w:type="dxa"/>
              <w:right w:w="0" w:type="dxa"/>
            </w:tblCellMar>
            <w:tblLook w:val="0000" w:firstRow="0" w:lastRow="0" w:firstColumn="0" w:lastColumn="0" w:noHBand="0" w:noVBand="0"/>
          </w:tblPr>
          <w:tblGrid>
            <w:gridCol w:w="9639"/>
          </w:tblGrid>
          <w:tr w14:paraId="04A66A79" w14:textId="77777777">
            <w:tc>
              <w:tcPr>
                <w:tcW w:w="9639" w:type="dxa"/>
              </w:tcPr>
              <w:p w14:paraId="316B83A7" w14:textId="77777777">
                <w:pPr>
                  <w:tabs>
                    <w:tab w:val="left" w:pos="4820"/>
                    <w:tab w:val="left" w:pos="7229"/>
                  </w:tabs>
                  <w:jc w:val="center"/>
                  <w:rPr>
                    <w:caps/>
                  </w:rPr>
                </w:pPr>
                <w:r>
                  <w:rPr>
                    <w:b/>
                    <w:caps/>
                  </w:rPr>
                  <w:t>ĮSAKYMAS</w:t>
                </w:r>
              </w:p>
            </w:tc>
          </w:tr>
          <w:tr w14:paraId="55129DEF" w14:textId="77777777">
            <w:tc>
              <w:tcPr>
                <w:tcW w:w="9639" w:type="dxa"/>
              </w:tcPr>
              <w:p w14:paraId="7F4F5E66" w14:textId="77777777">
                <w:pPr>
                  <w:jc w:val="center"/>
                  <w:rPr>
                    <w:b/>
                    <w:bCs/>
                  </w:rPr>
                </w:pPr>
                <w:r>
                  <w:rPr>
                    <w:b/>
                    <w:caps/>
                  </w:rPr>
                  <w:t xml:space="preserve">DĖL </w:t>
                </w:r>
                <w:r>
                  <w:rPr>
                    <w:b/>
                    <w:bCs/>
                  </w:rPr>
                  <w:t>VALSTYBINĖS MOKESČIŲ INSPEKCIJOS PRIE LIETUVOS RESPUBLIKOS FINANSŲ MINISTERIJOS VIRŠININKO 2004 M. BALANDŽIO 21 D. ĮSAKYMO</w:t>
                </w:r>
              </w:p>
              <w:p w14:paraId="22E562F9" w14:textId="77777777">
                <w:pPr>
                  <w:tabs>
                    <w:tab w:val="left" w:pos="4820"/>
                    <w:tab w:val="left" w:pos="7229"/>
                  </w:tabs>
                  <w:jc w:val="center"/>
                  <w:rPr>
                    <w:b/>
                    <w:caps/>
                  </w:rPr>
                </w:pPr>
                <w:r>
                  <w:rPr>
                    <w:b/>
                    <w:bCs/>
                  </w:rPr>
                  <w:t>NR. VA-55 „DĖL PRIDĖTINĖS VERTĖS MOKESČIO SĄSKAITŲ FAKTŪRŲ REGISTRŲ DUOMENŲ TVARKYMO IR PATEIKIMO TAISYKLIŲ PATVIRTINIMO“ PAKEITIMO</w:t>
                </w:r>
              </w:p>
            </w:tc>
          </w:tr>
        </w:tbl>
        <w:p w14:paraId="4641AB7F" w14:textId="77777777">
          <w:pPr>
            <w:ind w:hanging="8"/>
            <w:jc w:val="center"/>
            <w:rPr>
              <w:b/>
              <w:bCs/>
              <w:caps/>
            </w:rPr>
          </w:pPr>
        </w:p>
        <w:p w14:paraId="605D0086" w14:textId="77777777">
          <w:pPr>
            <w:ind w:hanging="8"/>
            <w:jc w:val="center"/>
            <w:rPr>
              <w:bCs/>
            </w:rPr>
          </w:pPr>
          <w:r>
            <w:rPr>
              <w:bCs/>
            </w:rPr>
            <w:t xml:space="preserve">Nr. </w:t>
          </w:r>
        </w:p>
        <w:p w14:paraId="6AEA0944" w14:textId="77777777">
          <w:pPr>
            <w:ind w:hanging="8"/>
            <w:jc w:val="center"/>
            <w:rPr>
              <w:b/>
            </w:rPr>
          </w:pPr>
          <w:r>
            <w:rPr>
              <w:bCs/>
            </w:rPr>
            <w:t>Vilnius</w:t>
          </w:r>
        </w:p>
        <w:p w14:paraId="2F7267D2" w14:textId="77777777">
          <w:pPr>
            <w:ind w:hanging="8"/>
            <w:jc w:val="center"/>
            <w:rPr>
              <w:b/>
              <w:bCs/>
              <w:color w:val="000000"/>
              <w:szCs w:val="24"/>
            </w:rPr>
          </w:pPr>
        </w:p>
        <w:p w14:paraId="5305AF57" w14:textId="77777777">
          <w:pPr>
            <w:suppressAutoHyphens/>
            <w:ind w:firstLine="709"/>
            <w:textAlignment w:val="center"/>
            <w:rPr>
              <w:szCs w:val="24"/>
            </w:rPr>
          </w:pPr>
        </w:p>
        <w:sdt>
          <w:sdtPr>
            <w:alias w:val="1 p."/>
            <w:tag w:val="part_80927bc6c3f44c89b1c35dc18919ea1a"/>
            <w:lock w:val="sdtLocked"/>
            <w:richText/>
          </w:sdtPr>
          <w:sdtContent>
            <w:p w14:paraId="1C248475" w14:textId="302F0F5D">
              <w:pPr>
                <w:suppressAutoHyphens/>
                <w:ind w:firstLine="709"/>
                <w:jc w:val="both"/>
                <w:textAlignment w:val="center"/>
                <w:rPr>
                  <w:szCs w:val="24"/>
                </w:rPr>
              </w:pPr>
              <w:sdt>
                <w:sdtPr>
                  <w:alias w:val="Numeris"/>
                  <w:tag w:val="nr_80927bc6c3f44c89b1c35dc18919ea1a"/>
                  <w:lock w:val="sdtLocked"/>
                  <w:richText/>
                </w:sdtPr>
                <w:sdtContent>
                  <w:r>
                    <w:rPr>
                      <w:szCs w:val="24"/>
                    </w:rPr>
                    <w:t>1</w:t>
                  </w:r>
                </w:sdtContent>
              </w:sdt>
              <w:r>
                <w:rPr>
                  <w:szCs w:val="24"/>
                </w:rPr>
                <w:t>.</w:t>
              </w:r>
              <w:r>
                <w:rPr>
                  <w:spacing w:val="80"/>
                  <w:szCs w:val="24"/>
                </w:rPr>
                <w:t xml:space="preserve"> Pakeiči</w:t>
              </w:r>
              <w:r>
                <w:rPr>
                  <w:szCs w:val="24"/>
                </w:rPr>
                <w:t>u Valstybinės mokesčių inspekcijos prie Lietuvos Respublikos finansų ministerijos viršininko 2004 m. balandžio 21 d. įsakymą Nr. VA-55 „Dėl Pridėtinės vertės mokesčio sąskaitų faktūrų registrų duomenų tvarkymo ir pateikimo taisyklių patvirtinimo“:</w:t>
              </w:r>
            </w:p>
            <w:sdt>
              <w:sdtPr>
                <w:alias w:val="1.1 pp."/>
                <w:tag w:val="part_2af0d44f4a5f4c8f801f43523ff13edd"/>
                <w:lock w:val="sdtLocked"/>
                <w:richText/>
              </w:sdtPr>
              <w:sdtContent>
                <w:p w14:paraId="3FFA4CE7" w14:textId="31E1019E">
                  <w:pPr>
                    <w:suppressAutoHyphens/>
                    <w:ind w:firstLine="709"/>
                    <w:jc w:val="both"/>
                    <w:textAlignment w:val="center"/>
                    <w:rPr>
                      <w:szCs w:val="24"/>
                    </w:rPr>
                  </w:pPr>
                  <w:sdt>
                    <w:sdtPr>
                      <w:alias w:val="Numeris"/>
                      <w:tag w:val="nr_2af0d44f4a5f4c8f801f43523ff13edd"/>
                      <w:lock w:val="sdtLocked"/>
                      <w:richText/>
                    </w:sdtPr>
                    <w:sdtContent>
                      <w:r>
                        <w:rPr>
                          <w:szCs w:val="24"/>
                        </w:rPr>
                        <w:t>1.1</w:t>
                      </w:r>
                    </w:sdtContent>
                  </w:sdt>
                  <w:r>
                    <w:rPr>
                      <w:szCs w:val="24"/>
                    </w:rPr>
                    <w:t>. Pakeičiu preambulę ir ją išdėstau taip:</w:t>
                  </w:r>
                </w:p>
                <w:sdt>
                  <w:sdtPr>
                    <w:alias w:val="citata"/>
                    <w:tag w:val="part_db70c150bc5b445cac62745f9ae4e99e"/>
                    <w:lock w:val="sdtLocked"/>
                    <w:richText/>
                  </w:sdtPr>
                  <w:sdtContent>
                    <w:sdt>
                      <w:sdtPr>
                        <w:alias w:val="pastraipa"/>
                        <w:tag w:val="part_517f2bc4e8504af9ac813c235ae3d847"/>
                        <w:lock w:val="sdtLocked"/>
                        <w:richText/>
                      </w:sdtPr>
                      <w:sdtContent>
                        <w:p w14:paraId="00650FF1" w14:textId="77777777">
                          <w:pPr>
                            <w:suppressAutoHyphens/>
                            <w:ind w:firstLine="709"/>
                            <w:jc w:val="both"/>
                            <w:textAlignment w:val="center"/>
                            <w:rPr>
                              <w:szCs w:val="24"/>
                            </w:rPr>
                          </w:pPr>
                          <w:r>
                            <w:rPr>
                              <w:szCs w:val="24"/>
                            </w:rPr>
                            <w:t>„Vadovaudamasi Lietuvos Respublikos pridėtinės vertės mokesčio įstatymo 78 straipsnio 5 dalimi, Lietuvos Respublikos mokesčių administravimo įstatymo 42</w:t>
                          </w:r>
                          <w:r>
                            <w:rPr>
                              <w:szCs w:val="24"/>
                              <w:vertAlign w:val="superscript"/>
                            </w:rPr>
                            <w:t>2</w:t>
                          </w:r>
                          <w:r>
                            <w:rPr>
                              <w:szCs w:val="24"/>
                            </w:rPr>
                            <w:t xml:space="preserve"> straipsniu ir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22.9 papunkčiu,“. </w:t>
                          </w:r>
                        </w:p>
                      </w:sdtContent>
                    </w:sdt>
                  </w:sdtContent>
                </w:sdt>
              </w:sdtContent>
            </w:sdt>
            <w:sdt>
              <w:sdtPr>
                <w:alias w:val="1.2 pp."/>
                <w:tag w:val="part_5eb909b705354bf9adfb43e7363e9a49"/>
                <w:lock w:val="sdtLocked"/>
                <w:richText/>
              </w:sdtPr>
              <w:sdtContent>
                <w:p w14:paraId="402131BF" w14:textId="2E651E05">
                  <w:pPr>
                    <w:ind w:firstLine="709"/>
                    <w:jc w:val="both"/>
                    <w:rPr>
                      <w:szCs w:val="24"/>
                      <w:lang w:eastAsia="lt-LT"/>
                    </w:rPr>
                  </w:pPr>
                  <w:sdt>
                    <w:sdtPr>
                      <w:alias w:val="Numeris"/>
                      <w:tag w:val="nr_5eb909b705354bf9adfb43e7363e9a49"/>
                      <w:lock w:val="sdtLocked"/>
                      <w:richText/>
                    </w:sdtPr>
                    <w:sdtContent>
                      <w:r>
                        <w:rPr>
                          <w:szCs w:val="24"/>
                          <w:lang w:eastAsia="lt-LT"/>
                        </w:rPr>
                        <w:t>1.2</w:t>
                      </w:r>
                    </w:sdtContent>
                  </w:sdt>
                  <w:r>
                    <w:rPr>
                      <w:szCs w:val="24"/>
                      <w:lang w:eastAsia="lt-LT"/>
                    </w:rPr>
                    <w:t>. Pakeičiu nurodytu įsakymu patvirtintas Pridėtinės vertės mokesčio sąskaitų faktūrų registrų duomenų tvarkymo ir pateikimo taisykles:</w:t>
                  </w:r>
                </w:p>
                <w:sdt>
                  <w:sdtPr>
                    <w:alias w:val="1.2.1 pp."/>
                    <w:tag w:val="part_f7eec174734e45f091618eeffa599f02"/>
                    <w:lock w:val="sdtLocked"/>
                    <w:richText/>
                  </w:sdtPr>
                  <w:sdtContent>
                    <w:p w14:paraId="547E31C5" w14:textId="6635514B">
                      <w:pPr>
                        <w:ind w:firstLine="709"/>
                        <w:jc w:val="both"/>
                        <w:rPr>
                          <w:szCs w:val="24"/>
                          <w:lang w:eastAsia="lt-LT"/>
                        </w:rPr>
                      </w:pPr>
                      <w:sdt>
                        <w:sdtPr>
                          <w:alias w:val="Numeris"/>
                          <w:tag w:val="nr_f7eec174734e45f091618eeffa599f02"/>
                          <w:lock w:val="sdtLocked"/>
                          <w:richText/>
                        </w:sdtPr>
                        <w:sdtContent>
                          <w:r>
                            <w:rPr>
                              <w:szCs w:val="24"/>
                              <w:lang w:eastAsia="lt-LT"/>
                            </w:rPr>
                            <w:t>1.2.1</w:t>
                          </w:r>
                        </w:sdtContent>
                      </w:sdt>
                      <w:r>
                        <w:rPr>
                          <w:szCs w:val="24"/>
                          <w:lang w:eastAsia="lt-LT"/>
                        </w:rPr>
                        <w:t>. Pakeičiu 2 punktą ir jį išdėstau taip:</w:t>
                      </w:r>
                    </w:p>
                    <w:sdt>
                      <w:sdtPr>
                        <w:alias w:val="citata"/>
                        <w:tag w:val="part_070c0865e8e24e2ebf14233dbc289dfd"/>
                        <w:lock w:val="sdtLocked"/>
                        <w:richText/>
                      </w:sdtPr>
                      <w:sdtContent>
                        <w:sdt>
                          <w:sdtPr>
                            <w:alias w:val="2 p."/>
                            <w:tag w:val="part_fe8edcee5f914d828c0fc1dcb5a81e37"/>
                            <w:lock w:val="sdtLocked"/>
                            <w:richText/>
                          </w:sdtPr>
                          <w:sdtContent>
                            <w:p w14:paraId="08484270" w14:textId="29A0AC9D">
                              <w:pPr>
                                <w:ind w:firstLine="709"/>
                                <w:jc w:val="both"/>
                                <w:rPr>
                                  <w:szCs w:val="24"/>
                                  <w:lang w:eastAsia="lt-LT"/>
                                </w:rPr>
                              </w:pPr>
                              <w:r>
                                <w:rPr>
                                  <w:color w:val="000000"/>
                                  <w:szCs w:val="24"/>
                                  <w:shd w:val="clear" w:color="auto" w:fill="FFFFFF"/>
                                </w:rPr>
                                <w:t>„</w:t>
                              </w:r>
                              <w:sdt>
                                <w:sdtPr>
                                  <w:alias w:val="Numeris"/>
                                  <w:tag w:val="nr_fe8edcee5f914d828c0fc1dcb5a81e37"/>
                                  <w:lock w:val="sdtLocked"/>
                                  <w:richText/>
                                </w:sdtPr>
                                <w:sdtContent>
                                  <w:r>
                                    <w:rPr>
                                      <w:color w:val="000000"/>
                                      <w:szCs w:val="24"/>
                                      <w:shd w:val="clear" w:color="auto" w:fill="FFFFFF"/>
                                    </w:rPr>
                                    <w:t>2</w:t>
                                  </w:r>
                                </w:sdtContent>
                              </w:sdt>
                              <w:r>
                                <w:rPr>
                                  <w:color w:val="000000"/>
                                  <w:szCs w:val="24"/>
                                  <w:shd w:val="clear" w:color="auto" w:fill="FFFFFF"/>
                                </w:rPr>
                                <w:t>. Taisyklės parengtos, vadovaujantis Lietuvos Respublikos pridėtinės vertės mokesčio įstatymo (toliau – PVM įstatymas) 78 straipsnio 5 dalimi, Lietuvos Respublikos mokesčių administravimo įstatymo 42</w:t>
                              </w:r>
                              <w:r>
                                <w:rPr>
                                  <w:color w:val="000000"/>
                                  <w:szCs w:val="24"/>
                                  <w:shd w:val="clear" w:color="auto" w:fill="FFFFFF"/>
                                  <w:vertAlign w:val="superscript"/>
                                </w:rPr>
                                <w:t>2 </w:t>
                              </w:r>
                              <w:r>
                                <w:rPr>
                                  <w:color w:val="000000"/>
                                  <w:szCs w:val="24"/>
                                  <w:shd w:val="clear" w:color="auto" w:fill="FFFFFF"/>
                                </w:rPr>
                                <w:t>straipsniu ir kitais teisės aktais, reguliuojančiais apskaitos dokumentų tvarkymą.“</w:t>
                              </w:r>
                            </w:p>
                          </w:sdtContent>
                        </w:sdt>
                      </w:sdtContent>
                    </w:sdt>
                  </w:sdtContent>
                </w:sdt>
                <w:sdt>
                  <w:sdtPr>
                    <w:alias w:val="1.2.2 pp."/>
                    <w:tag w:val="part_4cda1da4e6254aa29d0e3dca1153bef3"/>
                    <w:lock w:val="sdtLocked"/>
                    <w:richText/>
                  </w:sdtPr>
                  <w:sdtContent>
                    <w:p w14:paraId="57297D6E" w14:textId="14E66F02">
                      <w:pPr>
                        <w:ind w:firstLine="709"/>
                        <w:jc w:val="both"/>
                        <w:rPr>
                          <w:szCs w:val="24"/>
                          <w:lang w:eastAsia="lt-LT"/>
                        </w:rPr>
                      </w:pPr>
                      <w:sdt>
                        <w:sdtPr>
                          <w:alias w:val="Numeris"/>
                          <w:tag w:val="nr_4cda1da4e6254aa29d0e3dca1153bef3"/>
                          <w:lock w:val="sdtLocked"/>
                          <w:richText/>
                        </w:sdtPr>
                        <w:sdtContent>
                          <w:r>
                            <w:rPr>
                              <w:szCs w:val="24"/>
                              <w:lang w:eastAsia="lt-LT"/>
                            </w:rPr>
                            <w:t>1.2.2</w:t>
                          </w:r>
                        </w:sdtContent>
                      </w:sdt>
                      <w:r>
                        <w:rPr>
                          <w:szCs w:val="24"/>
                          <w:lang w:eastAsia="lt-LT"/>
                        </w:rPr>
                        <w:t>. Pakeičiu 3 punktą ir jį išdėstau taip:</w:t>
                      </w:r>
                    </w:p>
                    <w:sdt>
                      <w:sdtPr>
                        <w:alias w:val="citata"/>
                        <w:tag w:val="part_0a4b4efc2d644f6d8ab28cf46101bf70"/>
                        <w:lock w:val="sdtLocked"/>
                        <w:richText/>
                      </w:sdtPr>
                      <w:sdtContent>
                        <w:sdt>
                          <w:sdtPr>
                            <w:alias w:val="3 p."/>
                            <w:tag w:val="part_7d303593909f4473812504d0a54b1fa7"/>
                            <w:lock w:val="sdtLocked"/>
                            <w:richText/>
                          </w:sdtPr>
                          <w:sdtContent>
                            <w:p w14:paraId="6DBDCE62" w14:textId="77777777">
                              <w:pPr>
                                <w:shd w:val="clear" w:color="auto" w:fill="FFFFFF"/>
                                <w:ind w:firstLine="720"/>
                                <w:jc w:val="both"/>
                                <w:rPr>
                                  <w:color w:val="000000"/>
                                  <w:szCs w:val="24"/>
                                  <w:lang w:eastAsia="lt-LT"/>
                                </w:rPr>
                              </w:pPr>
                              <w:r>
                                <w:rPr>
                                  <w:color w:val="000000"/>
                                  <w:szCs w:val="24"/>
                                  <w:lang w:eastAsia="lt-LT"/>
                                </w:rPr>
                                <w:t>„</w:t>
                              </w:r>
                              <w:sdt>
                                <w:sdtPr>
                                  <w:alias w:val="Numeris"/>
                                  <w:tag w:val="nr_7d303593909f4473812504d0a54b1fa7"/>
                                  <w:lock w:val="sdtLocked"/>
                                  <w:richText/>
                                </w:sdtPr>
                                <w:sdtContent>
                                  <w:r>
                                    <w:rPr>
                                      <w:color w:val="000000"/>
                                      <w:szCs w:val="24"/>
                                      <w:lang w:eastAsia="lt-LT"/>
                                    </w:rPr>
                                    <w:t>3</w:t>
                                  </w:r>
                                </w:sdtContent>
                              </w:sdt>
                              <w:r>
                                <w:rPr>
                                  <w:color w:val="000000"/>
                                  <w:szCs w:val="24"/>
                                  <w:lang w:eastAsia="lt-LT"/>
                                </w:rPr>
                                <w:t>. Taisyklėse vartojamos sąvokos:</w:t>
                              </w:r>
                            </w:p>
                            <w:sdt>
                              <w:sdtPr>
                                <w:alias w:val="3.1 pp."/>
                                <w:tag w:val="part_eda2d184d9a64f8d889b1d142962e284"/>
                                <w:lock w:val="sdtLocked"/>
                                <w:richText/>
                              </w:sdtPr>
                              <w:sdtContent>
                                <w:p w14:paraId="44F00785" w14:textId="1CA43DCE">
                                  <w:pPr>
                                    <w:shd w:val="clear" w:color="auto" w:fill="FFFFFF"/>
                                    <w:ind w:firstLine="720"/>
                                    <w:jc w:val="both"/>
                                    <w:rPr>
                                      <w:color w:val="000000"/>
                                      <w:szCs w:val="24"/>
                                      <w:lang w:eastAsia="lt-LT"/>
                                    </w:rPr>
                                  </w:pPr>
                                  <w:sdt>
                                    <w:sdtPr>
                                      <w:alias w:val="Numeris"/>
                                      <w:tag w:val="nr_eda2d184d9a64f8d889b1d142962e284"/>
                                      <w:lock w:val="sdtLocked"/>
                                      <w:richText/>
                                    </w:sdtPr>
                                    <w:sdtContent>
                                      <w:r>
                                        <w:rPr>
                                          <w:color w:val="000000"/>
                                          <w:szCs w:val="24"/>
                                          <w:lang w:eastAsia="lt-LT"/>
                                        </w:rPr>
                                        <w:t>3.1</w:t>
                                      </w:r>
                                    </w:sdtContent>
                                  </w:sdt>
                                  <w:r>
                                    <w:rPr>
                                      <w:color w:val="000000"/>
                                      <w:szCs w:val="24"/>
                                      <w:lang w:eastAsia="lt-LT"/>
                                    </w:rPr>
                                    <w:t xml:space="preserve">. </w:t>
                                  </w:r>
                                  <w:r>
                                    <w:rPr>
                                      <w:b/>
                                      <w:bCs/>
                                      <w:color w:val="000000"/>
                                      <w:szCs w:val="24"/>
                                      <w:lang w:eastAsia="lt-LT"/>
                                    </w:rPr>
                                    <w:t>mokestinis laikotarpis</w:t>
                                  </w:r>
                                  <w:r>
                                    <w:rPr>
                                      <w:color w:val="000000"/>
                                      <w:szCs w:val="24"/>
                                      <w:lang w:eastAsia="lt-LT"/>
                                    </w:rPr>
                                    <w:t xml:space="preserve"> – juridinio asmens ir / ar fizinio asmens </w:t>
                                  </w:r>
                                  <w:r>
                                    <w:rPr>
                                      <w:color w:val="000000"/>
                                      <w:szCs w:val="24"/>
                                      <w:shd w:val="clear" w:color="auto" w:fill="FFFFFF"/>
                                    </w:rPr>
                                    <w:t xml:space="preserve">gaunamų ir išrašomų pridėtinės vertės mokesčio sąskaitų faktūrų registrų </w:t>
                                  </w:r>
                                  <w:r>
                                    <w:rPr>
                                      <w:color w:val="000000"/>
                                      <w:szCs w:val="24"/>
                                      <w:lang w:eastAsia="lt-LT"/>
                                    </w:rPr>
                                    <w:t>mokestinis laikotarpis:</w:t>
                                  </w:r>
                                </w:p>
                                <w:sdt>
                                  <w:sdtPr>
                                    <w:alias w:val="3.1.1 pp."/>
                                    <w:tag w:val="part_38fca21ba78a4069abf359f05ca9962d"/>
                                    <w:lock w:val="sdtLocked"/>
                                    <w:richText/>
                                  </w:sdtPr>
                                  <w:sdtContent>
                                    <w:p w14:paraId="475D5F98" w14:textId="300C44DE">
                                      <w:pPr>
                                        <w:ind w:firstLine="720"/>
                                        <w:jc w:val="both"/>
                                        <w:rPr>
                                          <w:szCs w:val="24"/>
                                          <w:lang w:eastAsia="lt-LT"/>
                                        </w:rPr>
                                      </w:pPr>
                                      <w:sdt>
                                        <w:sdtPr>
                                          <w:alias w:val="Numeris"/>
                                          <w:tag w:val="nr_38fca21ba78a4069abf359f05ca9962d"/>
                                          <w:lock w:val="sdtLocked"/>
                                          <w:richText/>
                                        </w:sdtPr>
                                        <w:sdtContent>
                                          <w:r>
                                            <w:rPr>
                                              <w:color w:val="000000"/>
                                              <w:szCs w:val="24"/>
                                              <w:lang w:eastAsia="lt-LT"/>
                                            </w:rPr>
                                            <w:t>3.1.1</w:t>
                                          </w:r>
                                        </w:sdtContent>
                                      </w:sdt>
                                      <w:r>
                                        <w:rPr>
                                          <w:color w:val="000000"/>
                                          <w:szCs w:val="24"/>
                                          <w:lang w:eastAsia="lt-LT"/>
                                        </w:rPr>
                                        <w:t>.</w:t>
                                      </w:r>
                                      <w:r>
                                        <w:rPr>
                                          <w:color w:val="000000"/>
                                          <w:szCs w:val="24"/>
                                          <w:vertAlign w:val="superscript"/>
                                          <w:lang w:eastAsia="lt-LT"/>
                                        </w:rPr>
                                        <w:t xml:space="preserve"> </w:t>
                                      </w:r>
                                      <w:r>
                                        <w:rPr>
                                          <w:b/>
                                          <w:bCs/>
                                          <w:color w:val="000000"/>
                                          <w:szCs w:val="24"/>
                                          <w:lang w:eastAsia="lt-LT"/>
                                        </w:rPr>
                                        <w:t>fizinio asmens mokestinis laikotarpis</w:t>
                                      </w:r>
                                      <w:r>
                                        <w:rPr>
                                          <w:color w:val="000000"/>
                                          <w:szCs w:val="24"/>
                                          <w:lang w:eastAsia="lt-LT"/>
                                        </w:rPr>
                                        <w:t xml:space="preserve"> – pridėtinės vertės mokesčio deklaravimo laikotarpis, kurio </w:t>
                                      </w:r>
                                      <w:r>
                                        <w:rPr>
                                          <w:color w:val="000000"/>
                                          <w:szCs w:val="24"/>
                                          <w:shd w:val="clear" w:color="auto" w:fill="FFFFFF"/>
                                        </w:rPr>
                                        <w:t xml:space="preserve">gaunamų ir išrašomų pridėtinės vertės mokesčio sąskaitų faktūrų </w:t>
                                      </w:r>
                                      <w:r>
                                        <w:rPr>
                                          <w:color w:val="000000"/>
                                          <w:szCs w:val="24"/>
                                          <w:lang w:eastAsia="lt-LT"/>
                                        </w:rPr>
                                        <w:t>duomenys teikiami;</w:t>
                                      </w:r>
                                    </w:p>
                                  </w:sdtContent>
                                </w:sdt>
                                <w:sdt>
                                  <w:sdtPr>
                                    <w:alias w:val="3.1.2 pp."/>
                                    <w:tag w:val="part_e8eddf70092f42688771c1b6d004323e"/>
                                    <w:lock w:val="sdtLocked"/>
                                    <w:richText/>
                                  </w:sdtPr>
                                  <w:sdtContent>
                                    <w:p w14:paraId="642921BC" w14:textId="026A5D6A">
                                      <w:pPr>
                                        <w:ind w:firstLine="720"/>
                                        <w:jc w:val="both"/>
                                        <w:rPr>
                                          <w:color w:val="000000"/>
                                          <w:szCs w:val="24"/>
                                          <w:lang w:eastAsia="lt-LT"/>
                                        </w:rPr>
                                      </w:pPr>
                                      <w:sdt>
                                        <w:sdtPr>
                                          <w:alias w:val="Numeris"/>
                                          <w:tag w:val="nr_e8eddf70092f42688771c1b6d004323e"/>
                                          <w:lock w:val="sdtLocked"/>
                                          <w:richText/>
                                        </w:sdtPr>
                                        <w:sdtContent>
                                          <w:r>
                                            <w:rPr>
                                              <w:color w:val="000000"/>
                                              <w:szCs w:val="24"/>
                                              <w:shd w:val="clear" w:color="auto" w:fill="FFFFFF"/>
                                            </w:rPr>
                                            <w:t>3.1.2</w:t>
                                          </w:r>
                                        </w:sdtContent>
                                      </w:sdt>
                                      <w:r>
                                        <w:rPr>
                                          <w:color w:val="000000"/>
                                          <w:szCs w:val="24"/>
                                          <w:shd w:val="clear" w:color="auto" w:fill="FFFFFF"/>
                                        </w:rPr>
                                        <w:t xml:space="preserve">. </w:t>
                                      </w:r>
                                      <w:r>
                                        <w:rPr>
                                          <w:b/>
                                          <w:color w:val="000000"/>
                                          <w:szCs w:val="24"/>
                                          <w:lang w:eastAsia="lt-LT"/>
                                        </w:rPr>
                                        <w:t>juridinio asmens mokestinis laikotarpis</w:t>
                                      </w:r>
                                      <w:r>
                                        <w:rPr>
                                          <w:color w:val="000000"/>
                                          <w:szCs w:val="24"/>
                                          <w:lang w:eastAsia="lt-LT"/>
                                        </w:rPr>
                                        <w:t xml:space="preserve"> – kalendorinis mėnuo.</w:t>
                                      </w:r>
                                    </w:p>
                                  </w:sdtContent>
                                </w:sdt>
                              </w:sdtContent>
                            </w:sdt>
                            <w:sdt>
                              <w:sdtPr>
                                <w:alias w:val="3.2 pp."/>
                                <w:tag w:val="part_fc589227bd7240ce9cc13a65e6229405"/>
                                <w:lock w:val="sdtLocked"/>
                                <w:richText/>
                              </w:sdtPr>
                              <w:sdtContent>
                                <w:p w14:paraId="19000922" w14:textId="458E679A">
                                  <w:pPr>
                                    <w:ind w:firstLine="720"/>
                                    <w:jc w:val="both"/>
                                    <w:rPr>
                                      <w:szCs w:val="24"/>
                                      <w:lang w:eastAsia="lt-LT"/>
                                    </w:rPr>
                                  </w:pPr>
                                  <w:sdt>
                                    <w:sdtPr>
                                      <w:alias w:val="Numeris"/>
                                      <w:tag w:val="nr_fc589227bd7240ce9cc13a65e6229405"/>
                                      <w:lock w:val="sdtLocked"/>
                                      <w:richText/>
                                    </w:sdtPr>
                                    <w:sdtContent>
                                      <w:r>
                                        <w:rPr>
                                          <w:color w:val="000000"/>
                                          <w:szCs w:val="24"/>
                                          <w:shd w:val="clear" w:color="auto" w:fill="FFFFFF"/>
                                        </w:rPr>
                                        <w:t>3.2</w:t>
                                      </w:r>
                                    </w:sdtContent>
                                  </w:sdt>
                                  <w:r>
                                    <w:rPr>
                                      <w:color w:val="000000"/>
                                      <w:szCs w:val="24"/>
                                      <w:shd w:val="clear" w:color="auto" w:fill="FFFFFF"/>
                                    </w:rPr>
                                    <w:t>. kitos sąvokos atitinka PVM įstatyme apibrėžtas sąvokas.</w:t>
                                  </w:r>
                                  <w:r>
                                    <w:rPr>
                                      <w:color w:val="000000"/>
                                      <w:szCs w:val="24"/>
                                      <w:lang w:eastAsia="lt-LT"/>
                                    </w:rPr>
                                    <w:t>“</w:t>
                                  </w:r>
                                </w:p>
                              </w:sdtContent>
                            </w:sdt>
                          </w:sdtContent>
                        </w:sdt>
                      </w:sdtContent>
                    </w:sdt>
                  </w:sdtContent>
                </w:sdt>
                <w:sdt>
                  <w:sdtPr>
                    <w:alias w:val="1.2.3 pp."/>
                    <w:tag w:val="part_12259e8015144250b272ae9a99df41cb"/>
                    <w:lock w:val="sdtLocked"/>
                    <w:richText/>
                  </w:sdtPr>
                  <w:sdtContent>
                    <w:p w14:paraId="316B1D0B" w14:textId="37D2F65F">
                      <w:pPr>
                        <w:suppressAutoHyphens/>
                        <w:ind w:firstLine="709"/>
                        <w:jc w:val="both"/>
                        <w:textAlignment w:val="center"/>
                        <w:rPr>
                          <w:szCs w:val="24"/>
                          <w:lang w:eastAsia="lt-LT"/>
                        </w:rPr>
                      </w:pPr>
                      <w:sdt>
                        <w:sdtPr>
                          <w:alias w:val="Numeris"/>
                          <w:tag w:val="nr_12259e8015144250b272ae9a99df41cb"/>
                          <w:lock w:val="sdtLocked"/>
                          <w:richText/>
                        </w:sdtPr>
                        <w:sdtContent>
                          <w:r>
                            <w:rPr>
                              <w:szCs w:val="24"/>
                              <w:lang w:eastAsia="lt-LT"/>
                            </w:rPr>
                            <w:t>1.2.3</w:t>
                          </w:r>
                        </w:sdtContent>
                      </w:sdt>
                      <w:r>
                        <w:rPr>
                          <w:szCs w:val="24"/>
                          <w:lang w:eastAsia="lt-LT"/>
                        </w:rPr>
                        <w:t>. Pakeičiu 5 punktą ir jį išdėstau taip:</w:t>
                      </w:r>
                    </w:p>
                    <w:sdt>
                      <w:sdtPr>
                        <w:alias w:val="citata"/>
                        <w:tag w:val="part_f6ced7329d84460eb141e3c38b8a05d1"/>
                        <w:lock w:val="sdtLocked"/>
                        <w:richText/>
                      </w:sdtPr>
                      <w:sdtContent>
                        <w:sdt>
                          <w:sdtPr>
                            <w:alias w:val="5 p."/>
                            <w:tag w:val="part_74d01e77c07a43fe86ae901a3c203e6c"/>
                            <w:lock w:val="sdtLocked"/>
                            <w:richText/>
                          </w:sdtPr>
                          <w:sdtContent>
                            <w:p w14:paraId="7545F19B" w14:textId="77777777">
                              <w:pPr>
                                <w:shd w:val="clear" w:color="auto" w:fill="FFFFFF"/>
                                <w:ind w:firstLine="720"/>
                                <w:jc w:val="both"/>
                                <w:rPr>
                                  <w:color w:val="000000"/>
                                  <w:szCs w:val="24"/>
                                  <w:lang w:eastAsia="lt-LT"/>
                                </w:rPr>
                              </w:pPr>
                              <w:r>
                                <w:rPr>
                                  <w:color w:val="000000"/>
                                  <w:szCs w:val="24"/>
                                  <w:lang w:eastAsia="lt-LT"/>
                                </w:rPr>
                                <w:t>„</w:t>
                              </w:r>
                              <w:sdt>
                                <w:sdtPr>
                                  <w:alias w:val="Numeris"/>
                                  <w:tag w:val="nr_74d01e77c07a43fe86ae901a3c203e6c"/>
                                  <w:lock w:val="sdtLocked"/>
                                  <w:richText/>
                                </w:sdtPr>
                                <w:sdtContent>
                                  <w:r>
                                    <w:rPr>
                                      <w:color w:val="000000"/>
                                      <w:szCs w:val="24"/>
                                      <w:lang w:eastAsia="lt-LT"/>
                                    </w:rPr>
                                    <w:t>5</w:t>
                                  </w:r>
                                </w:sdtContent>
                              </w:sdt>
                              <w:r>
                                <w:rPr>
                                  <w:color w:val="000000"/>
                                  <w:szCs w:val="24"/>
                                  <w:lang w:eastAsia="lt-LT"/>
                                </w:rPr>
                                <w:t>. Registrų duomenis VMI privalo teikti apmokestinamieji asmenys, kurie yra registruoti PVM mokėtojais Lietuvos Respublikoje</w:t>
                              </w:r>
                              <w:r>
                                <w:rPr>
                                  <w:szCs w:val="24"/>
                                  <w:lang w:eastAsia="lt-LT"/>
                                </w:rPr>
                                <w:t>:</w:t>
                              </w:r>
                            </w:p>
                            <w:sdt>
                              <w:sdtPr>
                                <w:alias w:val="5.1 pp."/>
                                <w:tag w:val="part_2d300b21be2f44e2b1d42791568d55bd"/>
                                <w:lock w:val="sdtLocked"/>
                                <w:richText/>
                              </w:sdtPr>
                              <w:sdtContent>
                                <w:p w14:paraId="1752B382" w14:textId="2D27CD50">
                                  <w:pPr>
                                    <w:shd w:val="clear" w:color="auto" w:fill="FFFFFF"/>
                                    <w:ind w:firstLine="720"/>
                                    <w:jc w:val="both"/>
                                    <w:rPr>
                                      <w:color w:val="000000"/>
                                      <w:szCs w:val="24"/>
                                      <w:lang w:eastAsia="lt-LT"/>
                                    </w:rPr>
                                  </w:pPr>
                                  <w:sdt>
                                    <w:sdtPr>
                                      <w:alias w:val="Numeris"/>
                                      <w:tag w:val="nr_2d300b21be2f44e2b1d42791568d55bd"/>
                                      <w:lock w:val="sdtLocked"/>
                                      <w:richText/>
                                    </w:sdtPr>
                                    <w:sdtContent>
                                      <w:r>
                                        <w:rPr>
                                          <w:color w:val="000000"/>
                                          <w:szCs w:val="24"/>
                                          <w:lang w:eastAsia="lt-LT"/>
                                        </w:rPr>
                                        <w:t>5.1</w:t>
                                      </w:r>
                                    </w:sdtContent>
                                  </w:sdt>
                                  <w:r>
                                    <w:rPr>
                                      <w:color w:val="000000"/>
                                      <w:szCs w:val="24"/>
                                      <w:lang w:eastAsia="lt-LT"/>
                                    </w:rPr>
                                    <w:t xml:space="preserve">. </w:t>
                                  </w:r>
                                  <w:r>
                                    <w:rPr>
                                      <w:szCs w:val="24"/>
                                      <w:lang w:eastAsia="lt-LT"/>
                                    </w:rPr>
                                    <w:t xml:space="preserve">įskaitant </w:t>
                                  </w:r>
                                  <w:r>
                                    <w:rPr>
                                      <w:color w:val="000000"/>
                                      <w:szCs w:val="24"/>
                                      <w:lang w:eastAsia="lt-LT"/>
                                    </w:rPr>
                                    <w:t>apmokestinamuosius asmenis – PVM mokėtojus, kurie vykdo ekonominę (PVM apmokestinamą ir / ar PVM neapmokestinamą) ir neekonominę veiklą (pvz., valstybės ar savivaldybių funkcijas). Šie asmenys privalo VMI teikti visų gaunamų ir išrašomų</w:t>
                                  </w:r>
                                  <w:r>
                                    <w:rPr>
                                      <w:b/>
                                      <w:color w:val="000000"/>
                                      <w:szCs w:val="24"/>
                                      <w:lang w:eastAsia="lt-LT"/>
                                    </w:rPr>
                                    <w:t xml:space="preserve"> </w:t>
                                  </w:r>
                                  <w:r>
                                    <w:rPr>
                                      <w:color w:val="000000"/>
                                      <w:szCs w:val="24"/>
                                      <w:lang w:eastAsia="lt-LT"/>
                                    </w:rPr>
                                    <w:t>PVM sąskaitų faktūrų (skirtų tiek ekonominei, tiek neekonominei veiklai) registrų duomenis. Tokiu atveju registrų duomenys teikiami, pradedant kalendorinių metų mėnesiu, kurį asmuo vykdė ekonominę veiklą, ir teikiami iki kalendorinių metų pabaigos, neatsižvelgiant į tai, ar tais laikotarpiais veikla buvo vykdoma, ar ne;</w:t>
                                  </w:r>
                                </w:p>
                              </w:sdtContent>
                            </w:sdt>
                            <w:sdt>
                              <w:sdtPr>
                                <w:alias w:val="5.2 pp."/>
                                <w:tag w:val="part_1648e3f9f9614a0cb9c9f0eea794fdac"/>
                                <w:lock w:val="sdtLocked"/>
                                <w:richText/>
                              </w:sdtPr>
                              <w:sdtContent>
                                <w:p w14:paraId="5ABD40CA" w14:textId="77777777">
                                  <w:pPr>
                                    <w:shd w:val="clear" w:color="auto" w:fill="FFFFFF"/>
                                    <w:ind w:firstLine="720"/>
                                    <w:jc w:val="both"/>
                                    <w:rPr>
                                      <w:color w:val="000000"/>
                                      <w:szCs w:val="24"/>
                                      <w:lang w:eastAsia="lt-LT"/>
                                    </w:rPr>
                                  </w:pPr>
                                  <w:sdt>
                                    <w:sdtPr>
                                      <w:alias w:val="Numeris"/>
                                      <w:tag w:val="nr_1648e3f9f9614a0cb9c9f0eea794fdac"/>
                                      <w:lock w:val="sdtLocked"/>
                                      <w:richText/>
                                    </w:sdtPr>
                                    <w:sdtContent>
                                      <w:r>
                                        <w:rPr>
                                          <w:color w:val="000000"/>
                                          <w:szCs w:val="24"/>
                                          <w:lang w:eastAsia="lt-LT"/>
                                        </w:rPr>
                                        <w:t>5.2</w:t>
                                      </w:r>
                                    </w:sdtContent>
                                  </w:sdt>
                                  <w:r>
                                    <w:rPr>
                                      <w:szCs w:val="24"/>
                                      <w:lang w:eastAsia="lt-LT"/>
                                    </w:rPr>
                                    <w:t>. išskyrus PVM mokėtojus, taikančius smulkiojo verslo schemą Lietuvoje</w:t>
                                  </w:r>
                                  <w:r>
                                    <w:rPr>
                                      <w:color w:val="000000"/>
                                      <w:szCs w:val="24"/>
                                      <w:lang w:eastAsia="lt-LT"/>
                                    </w:rPr>
                                    <w:t xml:space="preserve">, </w:t>
                                  </w:r>
                                  <w:r>
                                    <w:rPr>
                                      <w:szCs w:val="24"/>
                                      <w:lang w:eastAsia="lt-LT"/>
                                    </w:rPr>
                                    <w:t>kaip jie suprantami pagal PVM įstatymo 71</w:t>
                                  </w:r>
                                  <w:r>
                                    <w:rPr>
                                      <w:szCs w:val="24"/>
                                      <w:vertAlign w:val="superscript"/>
                                      <w:lang w:eastAsia="lt-LT"/>
                                    </w:rPr>
                                    <w:t>1</w:t>
                                  </w:r>
                                  <w:r>
                                    <w:rPr>
                                      <w:szCs w:val="24"/>
                                      <w:lang w:eastAsia="lt-LT"/>
                                    </w:rPr>
                                    <w:t xml:space="preserve"> straipsnį.</w:t>
                                  </w:r>
                                  <w:r>
                                    <w:rPr>
                                      <w:color w:val="000000"/>
                                      <w:szCs w:val="24"/>
                                      <w:lang w:eastAsia="lt-LT"/>
                                    </w:rPr>
                                    <w:t>“</w:t>
                                  </w:r>
                                </w:p>
                              </w:sdtContent>
                            </w:sdt>
                          </w:sdtContent>
                        </w:sdt>
                      </w:sdtContent>
                    </w:sdt>
                  </w:sdtContent>
                </w:sdt>
                <w:sdt>
                  <w:sdtPr>
                    <w:alias w:val="1.2.4 pp."/>
                    <w:tag w:val="part_519c0cf31f6c4dae9fb6d54e3aa37a53"/>
                    <w:lock w:val="sdtLocked"/>
                    <w:richText/>
                  </w:sdtPr>
                  <w:sdtContent>
                    <w:p w14:paraId="094E4621" w14:textId="17A4704D">
                      <w:pPr>
                        <w:shd w:val="clear" w:color="auto" w:fill="FFFFFF"/>
                        <w:ind w:firstLine="720"/>
                        <w:jc w:val="both"/>
                        <w:rPr>
                          <w:szCs w:val="24"/>
                          <w:lang w:eastAsia="lt-LT"/>
                        </w:rPr>
                      </w:pPr>
                      <w:sdt>
                        <w:sdtPr>
                          <w:alias w:val="Numeris"/>
                          <w:tag w:val="nr_519c0cf31f6c4dae9fb6d54e3aa37a53"/>
                          <w:lock w:val="sdtLocked"/>
                          <w:richText/>
                        </w:sdtPr>
                        <w:sdtContent>
                          <w:r>
                            <w:rPr>
                              <w:szCs w:val="24"/>
                              <w:lang w:eastAsia="lt-LT"/>
                            </w:rPr>
                            <w:t>1.2.4</w:t>
                          </w:r>
                        </w:sdtContent>
                      </w:sdt>
                      <w:r>
                        <w:rPr>
                          <w:szCs w:val="24"/>
                          <w:lang w:eastAsia="lt-LT"/>
                        </w:rPr>
                        <w:t>. Pakeičiu 9.8 papunktį ir jį išdėstau taip:</w:t>
                      </w:r>
                    </w:p>
                    <w:sdt>
                      <w:sdtPr>
                        <w:alias w:val="citata"/>
                        <w:tag w:val="part_321e20d039ee489fb06649a4806676c4"/>
                        <w:lock w:val="sdtLocked"/>
                        <w:richText/>
                      </w:sdtPr>
                      <w:sdtContent>
                        <w:sdt>
                          <w:sdtPr>
                            <w:alias w:val="9.8 pp."/>
                            <w:tag w:val="part_eaf8aaa72b8c43faa86a0d39bdd55c7a"/>
                            <w:lock w:val="sdtLocked"/>
                            <w:richText/>
                          </w:sdtPr>
                          <w:sdtContent>
                            <w:p w14:paraId="1AE51544" w14:textId="12FBD578">
                              <w:pPr>
                                <w:suppressAutoHyphens/>
                                <w:ind w:firstLine="709"/>
                                <w:jc w:val="both"/>
                                <w:textAlignment w:val="center"/>
                                <w:rPr>
                                  <w:szCs w:val="24"/>
                                </w:rPr>
                              </w:pPr>
                              <w:r>
                                <w:rPr>
                                  <w:color w:val="000000"/>
                                  <w:szCs w:val="24"/>
                                </w:rPr>
                                <w:t>„</w:t>
                              </w:r>
                              <w:sdt>
                                <w:sdtPr>
                                  <w:alias w:val="Numeris"/>
                                  <w:tag w:val="nr_eaf8aaa72b8c43faa86a0d39bdd55c7a"/>
                                  <w:lock w:val="sdtLocked"/>
                                  <w:richText/>
                                </w:sdtPr>
                                <w:sdtContent>
                                  <w:r>
                                    <w:rPr>
                                      <w:color w:val="000000"/>
                                      <w:szCs w:val="24"/>
                                    </w:rPr>
                                    <w:t>9.8</w:t>
                                  </w:r>
                                </w:sdtContent>
                              </w:sdt>
                              <w:r>
                                <w:rPr>
                                  <w:color w:val="000000"/>
                                  <w:szCs w:val="24"/>
                                </w:rPr>
                                <w:t>. PVM sąskaitas faktūras, kuriomis, vadovaujantis PVM įstatymo 14 straipsnio 4 dalimi ir 79 straipsnio 4 dalimi, yra įformintas sumokėtas avansas;“.</w:t>
                              </w:r>
                            </w:p>
                          </w:sdtContent>
                        </w:sdt>
                      </w:sdtContent>
                    </w:sdt>
                  </w:sdtContent>
                </w:sdt>
                <w:sdt>
                  <w:sdtPr>
                    <w:alias w:val="1.2.5 pp."/>
                    <w:tag w:val="part_736d937f3223473faba30761633cf22e"/>
                    <w:lock w:val="sdtLocked"/>
                    <w:richText/>
                  </w:sdtPr>
                  <w:sdtContent>
                    <w:p w14:paraId="616D8ACC" w14:textId="1452D49B">
                      <w:pPr>
                        <w:suppressAutoHyphens/>
                        <w:ind w:firstLine="709"/>
                        <w:jc w:val="both"/>
                        <w:textAlignment w:val="center"/>
                        <w:rPr>
                          <w:szCs w:val="24"/>
                          <w:lang w:eastAsia="lt-LT"/>
                        </w:rPr>
                      </w:pPr>
                      <w:sdt>
                        <w:sdtPr>
                          <w:alias w:val="Numeris"/>
                          <w:tag w:val="nr_736d937f3223473faba30761633cf22e"/>
                          <w:lock w:val="sdtLocked"/>
                          <w:richText/>
                        </w:sdtPr>
                        <w:sdtContent>
                          <w:r>
                            <w:rPr>
                              <w:szCs w:val="24"/>
                            </w:rPr>
                            <w:t>1.2.5</w:t>
                          </w:r>
                        </w:sdtContent>
                      </w:sdt>
                      <w:r>
                        <w:rPr>
                          <w:szCs w:val="24"/>
                        </w:rPr>
                        <w:t xml:space="preserve">. </w:t>
                      </w:r>
                      <w:r>
                        <w:rPr>
                          <w:szCs w:val="24"/>
                          <w:lang w:eastAsia="lt-LT"/>
                        </w:rPr>
                        <w:t>Papildau 9.9 papunkčiu:</w:t>
                      </w:r>
                    </w:p>
                    <w:sdt>
                      <w:sdtPr>
                        <w:alias w:val="citata"/>
                        <w:tag w:val="part_dd3e7260ba8a42edaff368c73bceba5e"/>
                        <w:lock w:val="sdtLocked"/>
                        <w:richText/>
                      </w:sdtPr>
                      <w:sdtContent>
                        <w:sdt>
                          <w:sdtPr>
                            <w:alias w:val="9.9 pp."/>
                            <w:tag w:val="part_e21615c6be794e919c2cafe6fba43d3d"/>
                            <w:lock w:val="sdtLocked"/>
                            <w:richText/>
                          </w:sdtPr>
                          <w:sdtContent>
                            <w:p w14:paraId="42729DAF" w14:textId="60848958">
                              <w:pPr>
                                <w:suppressAutoHyphens/>
                                <w:ind w:firstLine="709"/>
                                <w:jc w:val="both"/>
                                <w:textAlignment w:val="center"/>
                                <w:rPr>
                                  <w:color w:val="000000"/>
                                  <w:szCs w:val="24"/>
                                  <w:shd w:val="clear" w:color="auto" w:fill="FFFFFF"/>
                                </w:rPr>
                              </w:pPr>
                              <w:r>
                                <w:rPr>
                                  <w:color w:val="000000"/>
                                  <w:szCs w:val="24"/>
                                  <w:lang w:eastAsia="lt-LT"/>
                                </w:rPr>
                                <w:t>„</w:t>
                              </w:r>
                              <w:sdt>
                                <w:sdtPr>
                                  <w:alias w:val="Numeris"/>
                                  <w:tag w:val="nr_e21615c6be794e919c2cafe6fba43d3d"/>
                                  <w:lock w:val="sdtLocked"/>
                                  <w:richText/>
                                </w:sdtPr>
                                <w:sdtContent>
                                  <w:r>
                                    <w:rPr>
                                      <w:color w:val="000000"/>
                                      <w:szCs w:val="24"/>
                                      <w:shd w:val="clear" w:color="auto" w:fill="FFFFFF"/>
                                    </w:rPr>
                                    <w:t>9.9</w:t>
                                  </w:r>
                                </w:sdtContent>
                              </w:sdt>
                              <w:r>
                                <w:rPr>
                                  <w:color w:val="000000"/>
                                  <w:szCs w:val="24"/>
                                  <w:shd w:val="clear" w:color="auto" w:fill="FFFFFF"/>
                                </w:rPr>
                                <w:t>. gautus elektroninius kvitus (toliau – e. kvitas), kurie laikomi PVM sąskaitomis faktūromis pagal Elektroninio kvito naudojimo taisyklių, patvirtintų Valstybinės mokesčių inspekcijos prie Lietuvos Respublikos finansų ministerijos viršininko 2024 m. kovo 29 d. įsakymu Nr. </w:t>
                              </w:r>
                              <w:r>
                                <w:rPr>
                                  <w:iCs/>
                                  <w:color w:val="000000"/>
                                  <w:szCs w:val="24"/>
                                  <w:shd w:val="clear" w:color="auto" w:fill="FFFFFF"/>
                                </w:rPr>
                                <w:t>VA-33</w:t>
                              </w:r>
                              <w:r>
                                <w:rPr>
                                  <w:szCs w:val="24"/>
                                </w:rPr>
                                <w:t xml:space="preserve"> „Dėl Elektroninio kvito naudojimo taisyklių patvirtinimo“, nuostatas.“</w:t>
                              </w:r>
                            </w:p>
                          </w:sdtContent>
                        </w:sdt>
                      </w:sdtContent>
                    </w:sdt>
                  </w:sdtContent>
                </w:sdt>
                <w:sdt>
                  <w:sdtPr>
                    <w:alias w:val="1.2.6 pp."/>
                    <w:tag w:val="part_9b62995018da4a148344cfa7c62481a2"/>
                    <w:lock w:val="sdtLocked"/>
                    <w:richText/>
                  </w:sdtPr>
                  <w:sdtContent>
                    <w:p w14:paraId="421819CA" w14:textId="14E3F2D5">
                      <w:pPr>
                        <w:ind w:firstLine="720"/>
                        <w:jc w:val="both"/>
                        <w:rPr>
                          <w:szCs w:val="24"/>
                        </w:rPr>
                      </w:pPr>
                      <w:sdt>
                        <w:sdtPr>
                          <w:alias w:val="Numeris"/>
                          <w:tag w:val="nr_9b62995018da4a148344cfa7c62481a2"/>
                          <w:lock w:val="sdtLocked"/>
                          <w:richText/>
                        </w:sdtPr>
                        <w:sdtContent>
                          <w:r>
                            <w:rPr>
                              <w:szCs w:val="24"/>
                            </w:rPr>
                            <w:t>1.2.6</w:t>
                          </w:r>
                        </w:sdtContent>
                      </w:sdt>
                      <w:r>
                        <w:rPr>
                          <w:szCs w:val="24"/>
                        </w:rPr>
                        <w:t xml:space="preserve">. </w:t>
                      </w:r>
                      <w:r>
                        <w:rPr>
                          <w:szCs w:val="24"/>
                          <w:lang w:eastAsia="lt-LT"/>
                        </w:rPr>
                        <w:t>Pakeičiu 15 punktą ir jį išdėstau taip:</w:t>
                      </w:r>
                    </w:p>
                    <w:sdt>
                      <w:sdtPr>
                        <w:alias w:val="citata"/>
                        <w:tag w:val="part_40860f7dd3a34972bd8edc9a28ba4228"/>
                        <w:lock w:val="sdtLocked"/>
                        <w:richText/>
                      </w:sdtPr>
                      <w:sdtContent>
                        <w:sdt>
                          <w:sdtPr>
                            <w:alias w:val="15 p."/>
                            <w:tag w:val="part_93d763ae1c524bb1826ec52ba649e8e8"/>
                            <w:lock w:val="sdtLocked"/>
                            <w:richText/>
                          </w:sdtPr>
                          <w:sdtContent>
                            <w:p w14:paraId="31A244B5" w14:textId="56A1B268">
                              <w:pPr>
                                <w:shd w:val="clear" w:color="auto" w:fill="FFFFFF"/>
                                <w:ind w:firstLine="720"/>
                                <w:jc w:val="both"/>
                                <w:rPr>
                                  <w:strike/>
                                  <w:color w:val="000000"/>
                                  <w:szCs w:val="24"/>
                                  <w:lang w:eastAsia="lt-LT"/>
                                </w:rPr>
                              </w:pPr>
                              <w:r>
                                <w:rPr>
                                  <w:color w:val="000000"/>
                                  <w:szCs w:val="24"/>
                                  <w:shd w:val="clear" w:color="auto" w:fill="FFFFFF"/>
                                </w:rPr>
                                <w:t>„</w:t>
                              </w:r>
                              <w:sdt>
                                <w:sdtPr>
                                  <w:alias w:val="Numeris"/>
                                  <w:tag w:val="nr_93d763ae1c524bb1826ec52ba649e8e8"/>
                                  <w:lock w:val="sdtLocked"/>
                                  <w:richText/>
                                </w:sdtPr>
                                <w:sdtContent>
                                  <w:r>
                                    <w:rPr>
                                      <w:color w:val="000000"/>
                                      <w:szCs w:val="24"/>
                                      <w:shd w:val="clear" w:color="auto" w:fill="FFFFFF"/>
                                    </w:rPr>
                                    <w:t>15</w:t>
                                  </w:r>
                                </w:sdtContent>
                              </w:sdt>
                              <w:r>
                                <w:rPr>
                                  <w:color w:val="000000"/>
                                  <w:szCs w:val="24"/>
                                  <w:shd w:val="clear" w:color="auto" w:fill="FFFFFF"/>
                                </w:rPr>
                                <w:t>. Gaunamų PVM sąskaitų faktūrų registrą apmokestinamasis asmuo gali tvarkyti Išmaniosios mokesčių administravimo informacinės sistemos Elektroniniame sąskaitų faktūrų posistemyje (toliau – i. SAF), per kurį teikiami registrų duomenys, teikiamos elektroninės paslaugos.“</w:t>
                              </w:r>
                            </w:p>
                          </w:sdtContent>
                        </w:sdt>
                      </w:sdtContent>
                    </w:sdt>
                  </w:sdtContent>
                </w:sdt>
                <w:sdt>
                  <w:sdtPr>
                    <w:alias w:val="1.2.7 pp."/>
                    <w:tag w:val="part_b507cb2939de44ed8812a539608ded18"/>
                    <w:lock w:val="sdtLocked"/>
                    <w:richText/>
                  </w:sdtPr>
                  <w:sdtContent>
                    <w:p w14:paraId="3932A3EE" w14:textId="58464D8F">
                      <w:pPr>
                        <w:suppressAutoHyphens/>
                        <w:ind w:firstLine="709"/>
                        <w:jc w:val="both"/>
                        <w:textAlignment w:val="center"/>
                        <w:rPr>
                          <w:szCs w:val="24"/>
                        </w:rPr>
                      </w:pPr>
                      <w:sdt>
                        <w:sdtPr>
                          <w:alias w:val="Numeris"/>
                          <w:tag w:val="nr_b507cb2939de44ed8812a539608ded18"/>
                          <w:lock w:val="sdtLocked"/>
                          <w:richText/>
                        </w:sdtPr>
                        <w:sdtContent>
                          <w:r>
                            <w:rPr>
                              <w:szCs w:val="24"/>
                            </w:rPr>
                            <w:t>1.2.7</w:t>
                          </w:r>
                        </w:sdtContent>
                      </w:sdt>
                      <w:r>
                        <w:rPr>
                          <w:szCs w:val="24"/>
                        </w:rPr>
                        <w:t xml:space="preserve">. </w:t>
                      </w:r>
                      <w:r>
                        <w:rPr>
                          <w:szCs w:val="24"/>
                          <w:lang w:eastAsia="lt-LT"/>
                        </w:rPr>
                        <w:t>Pakeičiu 19.8 papunktį ir jį išdėstau taip:</w:t>
                      </w:r>
                    </w:p>
                    <w:sdt>
                      <w:sdtPr>
                        <w:alias w:val="citata"/>
                        <w:tag w:val="part_ecf27c8bda3e4ab2a11cbac4e0aa3a62"/>
                        <w:lock w:val="sdtLocked"/>
                        <w:richText/>
                      </w:sdtPr>
                      <w:sdtContent>
                        <w:sdt>
                          <w:sdtPr>
                            <w:alias w:val="19.8 pp."/>
                            <w:tag w:val="part_5cfa77a8513e404f96014e4d6d11c0e4"/>
                            <w:lock w:val="sdtLocked"/>
                            <w:richText/>
                          </w:sdtPr>
                          <w:sdtContent>
                            <w:p w14:paraId="66C7A292" w14:textId="77777777">
                              <w:pPr>
                                <w:suppressAutoHyphens/>
                                <w:ind w:firstLine="709"/>
                                <w:jc w:val="both"/>
                                <w:textAlignment w:val="center"/>
                                <w:rPr>
                                  <w:szCs w:val="24"/>
                                </w:rPr>
                              </w:pPr>
                              <w:r>
                                <w:rPr>
                                  <w:color w:val="000000"/>
                                  <w:szCs w:val="24"/>
                                </w:rPr>
                                <w:t>„</w:t>
                              </w:r>
                              <w:sdt>
                                <w:sdtPr>
                                  <w:alias w:val="Numeris"/>
                                  <w:tag w:val="nr_5cfa77a8513e404f96014e4d6d11c0e4"/>
                                  <w:lock w:val="sdtLocked"/>
                                  <w:richText/>
                                </w:sdtPr>
                                <w:sdtContent>
                                  <w:r>
                                    <w:rPr>
                                      <w:color w:val="000000"/>
                                      <w:szCs w:val="24"/>
                                    </w:rPr>
                                    <w:t>19.8</w:t>
                                  </w:r>
                                </w:sdtContent>
                              </w:sdt>
                              <w:r>
                                <w:rPr>
                                  <w:color w:val="000000"/>
                                  <w:szCs w:val="24"/>
                                </w:rPr>
                                <w:t>. PVM sąskaitas faktūras, kuriomis, vadovaujantis PVM įstatymo 14 straipsnio 4 dalimi ir PVM įstatymo 79 straipsnio 4 dalimi, yra įformintas gautas avansas;“.</w:t>
                              </w:r>
                            </w:p>
                          </w:sdtContent>
                        </w:sdt>
                      </w:sdtContent>
                    </w:sdt>
                  </w:sdtContent>
                </w:sdt>
                <w:sdt>
                  <w:sdtPr>
                    <w:alias w:val="1.2.8 pp."/>
                    <w:tag w:val="part_f07d28116407423f8e842bc2a46bb175"/>
                    <w:lock w:val="sdtLocked"/>
                    <w:richText/>
                  </w:sdtPr>
                  <w:sdtContent>
                    <w:p w14:paraId="13B4B553" w14:textId="35C15C3B">
                      <w:pPr>
                        <w:suppressAutoHyphens/>
                        <w:ind w:firstLine="709"/>
                        <w:jc w:val="both"/>
                        <w:textAlignment w:val="center"/>
                        <w:rPr>
                          <w:szCs w:val="24"/>
                        </w:rPr>
                      </w:pPr>
                      <w:sdt>
                        <w:sdtPr>
                          <w:alias w:val="Numeris"/>
                          <w:tag w:val="nr_f07d28116407423f8e842bc2a46bb175"/>
                          <w:lock w:val="sdtLocked"/>
                          <w:richText/>
                        </w:sdtPr>
                        <w:sdtContent>
                          <w:r>
                            <w:rPr>
                              <w:szCs w:val="24"/>
                            </w:rPr>
                            <w:t>1.2.8</w:t>
                          </w:r>
                        </w:sdtContent>
                      </w:sdt>
                      <w:r>
                        <w:rPr>
                          <w:szCs w:val="24"/>
                        </w:rPr>
                        <w:t xml:space="preserve">. </w:t>
                      </w:r>
                      <w:r>
                        <w:rPr>
                          <w:szCs w:val="24"/>
                          <w:lang w:eastAsia="lt-LT"/>
                        </w:rPr>
                        <w:t>Papildau 19.9 papunkčiu:</w:t>
                      </w:r>
                    </w:p>
                    <w:sdt>
                      <w:sdtPr>
                        <w:alias w:val="citata"/>
                        <w:tag w:val="part_d12b50e787e14d3d86019599e9cb9c2b"/>
                        <w:lock w:val="sdtLocked"/>
                        <w:richText/>
                      </w:sdtPr>
                      <w:sdtContent>
                        <w:sdt>
                          <w:sdtPr>
                            <w:alias w:val="19.9 pp."/>
                            <w:tag w:val="part_d95e241fa7d6448b97c775da9687c519"/>
                            <w:lock w:val="sdtLocked"/>
                            <w:richText/>
                          </w:sdtPr>
                          <w:sdtContent>
                            <w:p w14:paraId="169CF56A" w14:textId="77777777">
                              <w:pPr>
                                <w:tabs>
                                  <w:tab w:val="left" w:pos="0"/>
                                  <w:tab w:val="left" w:pos="993"/>
                                </w:tabs>
                                <w:ind w:left="709"/>
                                <w:jc w:val="both"/>
                                <w:rPr>
                                  <w:color w:val="000000"/>
                                  <w:szCs w:val="24"/>
                                  <w:shd w:val="clear" w:color="auto" w:fill="FFFFFF"/>
                                </w:rPr>
                              </w:pPr>
                              <w:r>
                                <w:rPr>
                                  <w:color w:val="000000"/>
                                  <w:szCs w:val="24"/>
                                  <w:shd w:val="clear" w:color="auto" w:fill="FFFFFF"/>
                                </w:rPr>
                                <w:t>„</w:t>
                              </w:r>
                              <w:sdt>
                                <w:sdtPr>
                                  <w:alias w:val="Numeris"/>
                                  <w:tag w:val="nr_d95e241fa7d6448b97c775da9687c519"/>
                                  <w:lock w:val="sdtLocked"/>
                                  <w:richText/>
                                </w:sdtPr>
                                <w:sdtContent>
                                  <w:r>
                                    <w:rPr>
                                      <w:color w:val="000000"/>
                                      <w:szCs w:val="24"/>
                                      <w:shd w:val="clear" w:color="auto" w:fill="FFFFFF"/>
                                    </w:rPr>
                                    <w:t>19.9</w:t>
                                  </w:r>
                                </w:sdtContent>
                              </w:sdt>
                              <w:r>
                                <w:rPr>
                                  <w:color w:val="000000"/>
                                  <w:szCs w:val="24"/>
                                  <w:shd w:val="clear" w:color="auto" w:fill="FFFFFF"/>
                                </w:rPr>
                                <w:t>. išduotus e. kvitus.“</w:t>
                              </w:r>
                            </w:p>
                          </w:sdtContent>
                        </w:sdt>
                      </w:sdtContent>
                    </w:sdt>
                  </w:sdtContent>
                </w:sdt>
                <w:sdt>
                  <w:sdtPr>
                    <w:alias w:val="1.2.9 pp."/>
                    <w:tag w:val="part_c0efbf9ac0014b76ab935a4548afff9f"/>
                    <w:lock w:val="sdtLocked"/>
                    <w:richText/>
                  </w:sdtPr>
                  <w:sdtContent>
                    <w:p w14:paraId="1E7FA932" w14:textId="3FDFC76F">
                      <w:pPr>
                        <w:suppressAutoHyphens/>
                        <w:ind w:firstLine="709"/>
                        <w:jc w:val="both"/>
                        <w:textAlignment w:val="center"/>
                        <w:rPr>
                          <w:szCs w:val="24"/>
                          <w:lang w:eastAsia="lt-LT"/>
                        </w:rPr>
                      </w:pPr>
                      <w:sdt>
                        <w:sdtPr>
                          <w:alias w:val="Numeris"/>
                          <w:tag w:val="nr_c0efbf9ac0014b76ab935a4548afff9f"/>
                          <w:lock w:val="sdtLocked"/>
                          <w:richText/>
                        </w:sdtPr>
                        <w:sdtContent>
                          <w:r>
                            <w:rPr>
                              <w:szCs w:val="24"/>
                            </w:rPr>
                            <w:t>1.2.9</w:t>
                          </w:r>
                        </w:sdtContent>
                      </w:sdt>
                      <w:r>
                        <w:rPr>
                          <w:szCs w:val="24"/>
                        </w:rPr>
                        <w:t xml:space="preserve">. </w:t>
                      </w:r>
                      <w:r>
                        <w:rPr>
                          <w:szCs w:val="24"/>
                          <w:lang w:eastAsia="lt-LT"/>
                        </w:rPr>
                        <w:t>Pakeičiu 20 punktą ir jį išdėstau taip:</w:t>
                      </w:r>
                    </w:p>
                    <w:sdt>
                      <w:sdtPr>
                        <w:alias w:val="citata"/>
                        <w:tag w:val="part_e3a8636253bd4540a4cf75fa28d85487"/>
                        <w:lock w:val="sdtLocked"/>
                        <w:richText/>
                      </w:sdtPr>
                      <w:sdtContent>
                        <w:sdt>
                          <w:sdtPr>
                            <w:alias w:val="20 p."/>
                            <w:tag w:val="part_902b9961f86f4c1ebc8645002d106495"/>
                            <w:lock w:val="sdtLocked"/>
                            <w:richText/>
                          </w:sdtPr>
                          <w:sdtContent>
                            <w:p w14:paraId="228A93CB" w14:textId="5962D195">
                              <w:pPr>
                                <w:ind w:firstLine="720"/>
                                <w:jc w:val="both"/>
                                <w:rPr>
                                  <w:color w:val="000000"/>
                                  <w:szCs w:val="24"/>
                                  <w:lang w:eastAsia="lt-LT"/>
                                </w:rPr>
                              </w:pPr>
                              <w:r>
                                <w:rPr>
                                  <w:color w:val="000000"/>
                                  <w:szCs w:val="24"/>
                                  <w:lang w:eastAsia="lt-LT"/>
                                </w:rPr>
                                <w:t>„</w:t>
                              </w:r>
                              <w:sdt>
                                <w:sdtPr>
                                  <w:alias w:val="Numeris"/>
                                  <w:tag w:val="nr_902b9961f86f4c1ebc8645002d106495"/>
                                  <w:lock w:val="sdtLocked"/>
                                  <w:richText/>
                                </w:sdtPr>
                                <w:sdtContent>
                                  <w:r>
                                    <w:rPr>
                                      <w:szCs w:val="24"/>
                                      <w:lang w:eastAsia="lt-LT"/>
                                    </w:rPr>
                                    <w:t>20</w:t>
                                  </w:r>
                                </w:sdtContent>
                              </w:sdt>
                              <w:r>
                                <w:rPr>
                                  <w:szCs w:val="24"/>
                                  <w:lang w:eastAsia="lt-LT"/>
                                </w:rPr>
                                <w:t>. Išrašomų PVM sąskaitų faktūrų registre gali būti neregistruojami PVM neapmokestinamų finansinių (PVM įstatymo 28 straipsnis) ir PVM neapmokestinamų draudimo (PVM įstatymo 27 straipsnis) paslaugų suteikimo dokumentai, kurie prilyginami PVM sąskaitoms faktūroms</w:t>
                              </w:r>
                              <w:r>
                                <w:rPr>
                                  <w:szCs w:val="24"/>
                                </w:rPr>
                                <w:t>.</w:t>
                              </w:r>
                              <w:r>
                                <w:rPr>
                                  <w:color w:val="000000"/>
                                  <w:szCs w:val="24"/>
                                  <w:lang w:eastAsia="lt-LT"/>
                                </w:rPr>
                                <w:t>“</w:t>
                              </w:r>
                            </w:p>
                          </w:sdtContent>
                        </w:sdt>
                      </w:sdtContent>
                    </w:sdt>
                  </w:sdtContent>
                </w:sdt>
                <w:sdt>
                  <w:sdtPr>
                    <w:alias w:val="1.2.10 pp."/>
                    <w:tag w:val="part_d7cac37b73194a239767bf28899f8424"/>
                    <w:lock w:val="sdtLocked"/>
                    <w:richText/>
                  </w:sdtPr>
                  <w:sdtContent>
                    <w:p w14:paraId="3954A82A" w14:textId="2C8FD3C2">
                      <w:pPr>
                        <w:suppressAutoHyphens/>
                        <w:ind w:firstLine="709"/>
                        <w:jc w:val="both"/>
                        <w:textAlignment w:val="center"/>
                        <w:rPr>
                          <w:szCs w:val="24"/>
                          <w:lang w:eastAsia="lt-LT"/>
                        </w:rPr>
                      </w:pPr>
                      <w:sdt>
                        <w:sdtPr>
                          <w:alias w:val="Numeris"/>
                          <w:tag w:val="nr_d7cac37b73194a239767bf28899f8424"/>
                          <w:lock w:val="sdtLocked"/>
                          <w:richText/>
                        </w:sdtPr>
                        <w:sdtContent>
                          <w:r>
                            <w:rPr>
                              <w:szCs w:val="24"/>
                            </w:rPr>
                            <w:t>1.2.10</w:t>
                          </w:r>
                        </w:sdtContent>
                      </w:sdt>
                      <w:r>
                        <w:rPr>
                          <w:szCs w:val="24"/>
                        </w:rPr>
                        <w:t xml:space="preserve">. </w:t>
                      </w:r>
                      <w:r>
                        <w:rPr>
                          <w:szCs w:val="24"/>
                          <w:lang w:eastAsia="lt-LT"/>
                        </w:rPr>
                        <w:t>Pakeičiu 30 punktą ir jį išdėstau taip:</w:t>
                      </w:r>
                    </w:p>
                    <w:sdt>
                      <w:sdtPr>
                        <w:alias w:val="citata"/>
                        <w:tag w:val="part_0a0f16d994b549f0be90083c20ffa0b1"/>
                        <w:lock w:val="sdtLocked"/>
                        <w:richText/>
                      </w:sdtPr>
                      <w:sdtContent>
                        <w:sdt>
                          <w:sdtPr>
                            <w:alias w:val="30 p."/>
                            <w:tag w:val="part_f109e8b1c8d945429a0800f1076e6bc1"/>
                            <w:lock w:val="sdtLocked"/>
                            <w:richText/>
                          </w:sdtPr>
                          <w:sdtContent>
                            <w:p w14:paraId="7FC42FCA" w14:textId="530A299A">
                              <w:pPr>
                                <w:ind w:firstLine="720"/>
                                <w:jc w:val="both"/>
                                <w:rPr>
                                  <w:color w:val="000000"/>
                                  <w:szCs w:val="24"/>
                                  <w:lang w:eastAsia="lt-LT"/>
                                </w:rPr>
                              </w:pPr>
                              <w:r>
                                <w:rPr>
                                  <w:color w:val="000000"/>
                                  <w:szCs w:val="24"/>
                                  <w:lang w:eastAsia="lt-LT"/>
                                </w:rPr>
                                <w:t>„</w:t>
                              </w:r>
                              <w:sdt>
                                <w:sdtPr>
                                  <w:alias w:val="Numeris"/>
                                  <w:tag w:val="nr_f109e8b1c8d945429a0800f1076e6bc1"/>
                                  <w:lock w:val="sdtLocked"/>
                                  <w:richText/>
                                </w:sdtPr>
                                <w:sdtContent>
                                  <w:r>
                                    <w:rPr>
                                      <w:color w:val="000000"/>
                                      <w:szCs w:val="24"/>
                                      <w:lang w:eastAsia="lt-LT"/>
                                    </w:rPr>
                                    <w:t>30</w:t>
                                  </w:r>
                                </w:sdtContent>
                              </w:sdt>
                              <w:r>
                                <w:rPr>
                                  <w:color w:val="000000"/>
                                  <w:szCs w:val="24"/>
                                  <w:lang w:eastAsia="lt-LT"/>
                                </w:rPr>
                                <w:t>. Mokestinio laikotarpio registrų duomenis VMI privalo pateikti:</w:t>
                              </w:r>
                            </w:p>
                            <w:sdt>
                              <w:sdtPr>
                                <w:alias w:val="30.1 pp."/>
                                <w:tag w:val="part_bd93f5fd273745bab6dfcc24eee11f5f"/>
                                <w:lock w:val="sdtLocked"/>
                                <w:richText/>
                              </w:sdtPr>
                              <w:sdtContent>
                                <w:p w14:paraId="246A651A" w14:textId="36089736">
                                  <w:pPr>
                                    <w:ind w:firstLine="720"/>
                                    <w:jc w:val="both"/>
                                    <w:rPr>
                                      <w:color w:val="000000"/>
                                      <w:szCs w:val="24"/>
                                      <w:lang w:eastAsia="lt-LT"/>
                                    </w:rPr>
                                  </w:pPr>
                                  <w:sdt>
                                    <w:sdtPr>
                                      <w:alias w:val="Numeris"/>
                                      <w:tag w:val="nr_bd93f5fd273745bab6dfcc24eee11f5f"/>
                                      <w:lock w:val="sdtLocked"/>
                                      <w:richText/>
                                    </w:sdtPr>
                                    <w:sdtContent>
                                      <w:r>
                                        <w:rPr>
                                          <w:color w:val="000000"/>
                                          <w:szCs w:val="24"/>
                                          <w:lang w:eastAsia="lt-LT"/>
                                        </w:rPr>
                                        <w:t>30.1</w:t>
                                      </w:r>
                                    </w:sdtContent>
                                  </w:sdt>
                                  <w:r>
                                    <w:rPr>
                                      <w:color w:val="000000"/>
                                      <w:szCs w:val="24"/>
                                      <w:lang w:eastAsia="lt-LT"/>
                                    </w:rPr>
                                    <w:t>. fizinis asmuo – iki kito pusmečio pirmo mėnesio 20 dienos. Jeigu fizinis asmuo teikia kalendorinio mėnesio PVM deklaraciją – iki kito mėnesio 20 dienos;</w:t>
                                  </w:r>
                                </w:p>
                              </w:sdtContent>
                            </w:sdt>
                            <w:sdt>
                              <w:sdtPr>
                                <w:alias w:val="30.2 pp."/>
                                <w:tag w:val="part_52471005124f4b84ba64ae6fee4a747e"/>
                                <w:lock w:val="sdtLocked"/>
                                <w:richText/>
                              </w:sdtPr>
                              <w:sdtContent>
                                <w:p w14:paraId="20B54EB8" w14:textId="029DB47C">
                                  <w:pPr>
                                    <w:ind w:firstLine="720"/>
                                    <w:jc w:val="both"/>
                                    <w:rPr>
                                      <w:color w:val="000000"/>
                                      <w:szCs w:val="24"/>
                                      <w:lang w:eastAsia="lt-LT"/>
                                    </w:rPr>
                                  </w:pPr>
                                  <w:sdt>
                                    <w:sdtPr>
                                      <w:alias w:val="Numeris"/>
                                      <w:tag w:val="nr_52471005124f4b84ba64ae6fee4a747e"/>
                                      <w:lock w:val="sdtLocked"/>
                                      <w:richText/>
                                    </w:sdtPr>
                                    <w:sdtContent>
                                      <w:r>
                                        <w:rPr>
                                          <w:color w:val="000000"/>
                                          <w:szCs w:val="24"/>
                                          <w:lang w:eastAsia="lt-LT"/>
                                        </w:rPr>
                                        <w:t>30.2</w:t>
                                      </w:r>
                                    </w:sdtContent>
                                  </w:sdt>
                                  <w:r>
                                    <w:rPr>
                                      <w:color w:val="000000"/>
                                      <w:szCs w:val="24"/>
                                      <w:lang w:eastAsia="lt-LT"/>
                                    </w:rPr>
                                    <w:t>. juridinis asmuo – iki kito mėnesio 20 dienos.“</w:t>
                                  </w:r>
                                </w:p>
                              </w:sdtContent>
                            </w:sdt>
                          </w:sdtContent>
                        </w:sdt>
                      </w:sdtContent>
                    </w:sdt>
                  </w:sdtContent>
                </w:sdt>
                <w:sdt>
                  <w:sdtPr>
                    <w:alias w:val="1.2.11 pp."/>
                    <w:tag w:val="part_a91a2e49efb14c04982fee668b747f81"/>
                    <w:lock w:val="sdtLocked"/>
                    <w:richText/>
                  </w:sdtPr>
                  <w:sdtContent>
                    <w:p w14:paraId="6699AC21" w14:textId="46A2CF0D">
                      <w:pPr>
                        <w:shd w:val="clear" w:color="auto" w:fill="FFFFFF"/>
                        <w:ind w:firstLine="709"/>
                        <w:rPr>
                          <w:strike/>
                          <w:color w:val="000000"/>
                          <w:szCs w:val="24"/>
                          <w:lang w:eastAsia="lt-LT"/>
                        </w:rPr>
                      </w:pPr>
                      <w:sdt>
                        <w:sdtPr>
                          <w:alias w:val="Numeris"/>
                          <w:tag w:val="nr_a91a2e49efb14c04982fee668b747f81"/>
                          <w:lock w:val="sdtLocked"/>
                          <w:richText/>
                        </w:sdtPr>
                        <w:sdtContent>
                          <w:r>
                            <w:rPr>
                              <w:color w:val="000000"/>
                              <w:szCs w:val="24"/>
                              <w:lang w:eastAsia="lt-LT"/>
                            </w:rPr>
                            <w:t>1.2.11</w:t>
                          </w:r>
                        </w:sdtContent>
                      </w:sdt>
                      <w:r>
                        <w:rPr>
                          <w:color w:val="000000"/>
                          <w:szCs w:val="24"/>
                          <w:lang w:eastAsia="lt-LT"/>
                        </w:rPr>
                        <w:t xml:space="preserve">. Pripažįstu netekusiu galios VIII skyrių. </w:t>
                      </w:r>
                    </w:p>
                  </w:sdtContent>
                </w:sdt>
              </w:sdtContent>
            </w:sdt>
          </w:sdtContent>
        </w:sdt>
        <w:sdt>
          <w:sdtPr>
            <w:alias w:val="2 p."/>
            <w:tag w:val="part_663febadac3a4fbc99e1396487d47337"/>
            <w:lock w:val="sdtLocked"/>
            <w:richText/>
          </w:sdtPr>
          <w:sdtContent>
            <w:p w14:paraId="306D4C2D" w14:textId="7E06537C">
              <w:pPr>
                <w:tabs>
                  <w:tab w:val="left" w:pos="3973"/>
                  <w:tab w:val="left" w:pos="7371"/>
                </w:tabs>
                <w:ind w:firstLine="709"/>
                <w:rPr>
                  <w:color w:val="000000"/>
                  <w:szCs w:val="24"/>
                  <w:lang w:eastAsia="lt-LT"/>
                </w:rPr>
              </w:pPr>
              <w:sdt>
                <w:sdtPr>
                  <w:alias w:val="Numeris"/>
                  <w:tag w:val="nr_663febadac3a4fbc99e1396487d47337"/>
                  <w:lock w:val="sdtLocked"/>
                  <w:richText/>
                </w:sdtPr>
                <w:sdtContent>
                  <w:r>
                    <w:rPr>
                      <w:color w:val="000000"/>
                      <w:szCs w:val="24"/>
                      <w:lang w:eastAsia="lt-LT"/>
                    </w:rPr>
                    <w:t>2</w:t>
                  </w:r>
                </w:sdtContent>
              </w:sdt>
              <w:r>
                <w:rPr>
                  <w:color w:val="000000"/>
                  <w:szCs w:val="24"/>
                  <w:lang w:eastAsia="lt-LT"/>
                </w:rPr>
                <w:t xml:space="preserve">. </w:t>
              </w:r>
              <w:r>
                <w:rPr>
                  <w:color w:val="000000"/>
                  <w:spacing w:val="80"/>
                  <w:szCs w:val="24"/>
                  <w:lang w:eastAsia="lt-LT"/>
                </w:rPr>
                <w:t>Nustata</w:t>
              </w:r>
              <w:r>
                <w:rPr>
                  <w:color w:val="000000"/>
                  <w:szCs w:val="24"/>
                  <w:lang w:eastAsia="lt-LT"/>
                </w:rPr>
                <w:t>u, kad šis įsakymas įsigalioja 2025 m. gegužės 1 d.</w:t>
              </w:r>
            </w:p>
            <w:p w14:paraId="6C101A2F" w14:textId="77777777">
              <w:pPr>
                <w:tabs>
                  <w:tab w:val="left" w:pos="0"/>
                  <w:tab w:val="left" w:pos="851"/>
                </w:tabs>
                <w:jc w:val="both"/>
                <w:rPr>
                  <w:color w:val="000000"/>
                  <w:szCs w:val="24"/>
                  <w:lang w:eastAsia="lt-LT"/>
                </w:rPr>
              </w:pPr>
            </w:p>
            <w:p w14:paraId="40C973FC" w14:textId="77777777">
              <w:pPr>
                <w:tabs>
                  <w:tab w:val="left" w:pos="426"/>
                </w:tabs>
                <w:ind w:firstLine="709"/>
                <w:jc w:val="both"/>
                <w:rPr>
                  <w:color w:val="000000"/>
                  <w:szCs w:val="24"/>
                  <w:lang w:eastAsia="lt-LT"/>
                </w:rPr>
              </w:pPr>
            </w:p>
          </w:sdtContent>
        </w:sdt>
        <w:sdt>
          <w:sdtPr>
            <w:alias w:val="signatura"/>
            <w:tag w:val="part_6a689b8b368f4f54af0683430db80f6e"/>
            <w:lock w:val="sdtLocked"/>
            <w:richText/>
          </w:sdtPr>
          <w:sdtContent>
            <w:p w14:paraId="0B736E94" w14:textId="77777777">
              <w:pPr>
                <w:rPr>
                  <w:b/>
                  <w:szCs w:val="24"/>
                  <w:lang w:eastAsia="lt-LT"/>
                </w:rPr>
              </w:pPr>
              <w:r>
                <w:rPr>
                  <w:szCs w:val="24"/>
                </w:rPr>
                <w:t>Viršininkas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0" w:h="16840"/>
      <w:pgMar w:top="1296" w:right="720" w:bottom="1296" w:left="1440" w:header="706" w:footer="706"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F50BB0" w14:textId="77777777">
      <w:r>
        <w:separator/>
      </w:r>
    </w:p>
  </w:endnote>
  <w:endnote w:type="continuationSeparator" w:id="0">
    <w:p w14:paraId="0C5F10B8"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9D247A"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8CBB3"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744E87"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34BACB" w14:textId="77777777">
      <w:r>
        <w:separator/>
      </w:r>
    </w:p>
  </w:footnote>
  <w:footnote w:type="continuationSeparator" w:id="0">
    <w:p w14:paraId="722B8836"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CFEEDE"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7D69FE" w14:textId="77777777">
    <w:pPr>
      <w:tabs>
        <w:tab w:val="center" w:pos="4819"/>
        <w:tab w:val="right" w:pos="9638"/>
      </w:tabs>
      <w:jc w:val="center"/>
    </w:pPr>
    <w:r>
      <w:fldChar w:fldCharType="begin"/>
    </w:r>
    <w:r>
      <w:instrText>PAGE   \* MERGEFORMAT</w:instrText>
    </w:r>
    <w:r>
      <w:fldChar w:fldCharType="separate"/>
    </w:r>
    <w:r>
      <w:t>2</w:t>
    </w:r>
    <w:r>
      <w:fldChar w:fldCharType="end"/>
    </w:r>
  </w:p>
  <w:p w14:paraId="4558333A" w14:textId="77777777">
    <w:pPr>
      <w:tabs>
        <w:tab w:val="center" w:pos="4819"/>
        <w:tab w:val="right" w:pos="9638"/>
      </w:tabs>
      <w:jc w:val="right"/>
      <w:rPr>
        <w:b/>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09ACA"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097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7886A9"/>
  <w15:chartTrackingRefBased/>
  <w15:docId w15:val="{DA797D2E-F46B-4324-93DA-B8E7C3C411A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32372">
      <w:bodyDiv w:val="1"/>
      <w:marLeft w:val="0"/>
      <w:marRight w:val="0"/>
      <w:marTop w:val="0"/>
      <w:marBottom w:val="0"/>
      <w:divBdr>
        <w:top w:val="none" w:sz="0" w:space="0" w:color="auto"/>
        <w:left w:val="none" w:sz="0" w:space="0" w:color="auto"/>
        <w:bottom w:val="none" w:sz="0" w:space="0" w:color="auto"/>
        <w:right w:val="none" w:sz="0" w:space="0" w:color="auto"/>
      </w:divBdr>
    </w:div>
    <w:div w:id="269314092">
      <w:bodyDiv w:val="1"/>
      <w:marLeft w:val="0"/>
      <w:marRight w:val="0"/>
      <w:marTop w:val="0"/>
      <w:marBottom w:val="0"/>
      <w:divBdr>
        <w:top w:val="none" w:sz="0" w:space="0" w:color="auto"/>
        <w:left w:val="none" w:sz="0" w:space="0" w:color="auto"/>
        <w:bottom w:val="none" w:sz="0" w:space="0" w:color="auto"/>
        <w:right w:val="none" w:sz="0" w:space="0" w:color="auto"/>
      </w:divBdr>
    </w:div>
    <w:div w:id="474758468">
      <w:bodyDiv w:val="1"/>
      <w:marLeft w:val="0"/>
      <w:marRight w:val="0"/>
      <w:marTop w:val="0"/>
      <w:marBottom w:val="0"/>
      <w:divBdr>
        <w:top w:val="none" w:sz="0" w:space="0" w:color="auto"/>
        <w:left w:val="none" w:sz="0" w:space="0" w:color="auto"/>
        <w:bottom w:val="none" w:sz="0" w:space="0" w:color="auto"/>
        <w:right w:val="none" w:sz="0" w:space="0" w:color="auto"/>
      </w:divBdr>
      <w:divsChild>
        <w:div w:id="1093207464">
          <w:marLeft w:val="547"/>
          <w:marRight w:val="0"/>
          <w:marTop w:val="160"/>
          <w:marBottom w:val="0"/>
          <w:divBdr>
            <w:top w:val="none" w:sz="0" w:space="0" w:color="auto"/>
            <w:left w:val="none" w:sz="0" w:space="0" w:color="auto"/>
            <w:bottom w:val="none" w:sz="0" w:space="0" w:color="auto"/>
            <w:right w:val="none" w:sz="0" w:space="0" w:color="auto"/>
          </w:divBdr>
        </w:div>
        <w:div w:id="2146776962">
          <w:marLeft w:val="547"/>
          <w:marRight w:val="0"/>
          <w:marTop w:val="160"/>
          <w:marBottom w:val="0"/>
          <w:divBdr>
            <w:top w:val="none" w:sz="0" w:space="0" w:color="auto"/>
            <w:left w:val="none" w:sz="0" w:space="0" w:color="auto"/>
            <w:bottom w:val="none" w:sz="0" w:space="0" w:color="auto"/>
            <w:right w:val="none" w:sz="0" w:space="0" w:color="auto"/>
          </w:divBdr>
        </w:div>
      </w:divsChild>
    </w:div>
    <w:div w:id="545870537">
      <w:bodyDiv w:val="1"/>
      <w:marLeft w:val="0"/>
      <w:marRight w:val="0"/>
      <w:marTop w:val="0"/>
      <w:marBottom w:val="0"/>
      <w:divBdr>
        <w:top w:val="none" w:sz="0" w:space="0" w:color="auto"/>
        <w:left w:val="none" w:sz="0" w:space="0" w:color="auto"/>
        <w:bottom w:val="none" w:sz="0" w:space="0" w:color="auto"/>
        <w:right w:val="none" w:sz="0" w:space="0" w:color="auto"/>
      </w:divBdr>
    </w:div>
    <w:div w:id="608507777">
      <w:bodyDiv w:val="1"/>
      <w:marLeft w:val="0"/>
      <w:marRight w:val="0"/>
      <w:marTop w:val="0"/>
      <w:marBottom w:val="0"/>
      <w:divBdr>
        <w:top w:val="none" w:sz="0" w:space="0" w:color="auto"/>
        <w:left w:val="none" w:sz="0" w:space="0" w:color="auto"/>
        <w:bottom w:val="none" w:sz="0" w:space="0" w:color="auto"/>
        <w:right w:val="none" w:sz="0" w:space="0" w:color="auto"/>
      </w:divBdr>
      <w:divsChild>
        <w:div w:id="1103384219">
          <w:marLeft w:val="547"/>
          <w:marRight w:val="0"/>
          <w:marTop w:val="160"/>
          <w:marBottom w:val="0"/>
          <w:divBdr>
            <w:top w:val="none" w:sz="0" w:space="0" w:color="auto"/>
            <w:left w:val="none" w:sz="0" w:space="0" w:color="auto"/>
            <w:bottom w:val="none" w:sz="0" w:space="0" w:color="auto"/>
            <w:right w:val="none" w:sz="0" w:space="0" w:color="auto"/>
          </w:divBdr>
        </w:div>
      </w:divsChild>
    </w:div>
    <w:div w:id="796219079">
      <w:bodyDiv w:val="1"/>
      <w:marLeft w:val="0"/>
      <w:marRight w:val="0"/>
      <w:marTop w:val="0"/>
      <w:marBottom w:val="0"/>
      <w:divBdr>
        <w:top w:val="none" w:sz="0" w:space="0" w:color="auto"/>
        <w:left w:val="none" w:sz="0" w:space="0" w:color="auto"/>
        <w:bottom w:val="none" w:sz="0" w:space="0" w:color="auto"/>
        <w:right w:val="none" w:sz="0" w:space="0" w:color="auto"/>
      </w:divBdr>
    </w:div>
    <w:div w:id="905533471">
      <w:bodyDiv w:val="1"/>
      <w:marLeft w:val="0"/>
      <w:marRight w:val="0"/>
      <w:marTop w:val="0"/>
      <w:marBottom w:val="0"/>
      <w:divBdr>
        <w:top w:val="none" w:sz="0" w:space="0" w:color="auto"/>
        <w:left w:val="none" w:sz="0" w:space="0" w:color="auto"/>
        <w:bottom w:val="none" w:sz="0" w:space="0" w:color="auto"/>
        <w:right w:val="none" w:sz="0" w:space="0" w:color="auto"/>
      </w:divBdr>
    </w:div>
    <w:div w:id="975795705">
      <w:bodyDiv w:val="1"/>
      <w:marLeft w:val="0"/>
      <w:marRight w:val="0"/>
      <w:marTop w:val="0"/>
      <w:marBottom w:val="0"/>
      <w:divBdr>
        <w:top w:val="none" w:sz="0" w:space="0" w:color="auto"/>
        <w:left w:val="none" w:sz="0" w:space="0" w:color="auto"/>
        <w:bottom w:val="none" w:sz="0" w:space="0" w:color="auto"/>
        <w:right w:val="none" w:sz="0" w:space="0" w:color="auto"/>
      </w:divBdr>
    </w:div>
    <w:div w:id="1121799588">
      <w:bodyDiv w:val="1"/>
      <w:marLeft w:val="0"/>
      <w:marRight w:val="0"/>
      <w:marTop w:val="0"/>
      <w:marBottom w:val="0"/>
      <w:divBdr>
        <w:top w:val="none" w:sz="0" w:space="0" w:color="auto"/>
        <w:left w:val="none" w:sz="0" w:space="0" w:color="auto"/>
        <w:bottom w:val="none" w:sz="0" w:space="0" w:color="auto"/>
        <w:right w:val="none" w:sz="0" w:space="0" w:color="auto"/>
      </w:divBdr>
    </w:div>
    <w:div w:id="1128165842">
      <w:bodyDiv w:val="1"/>
      <w:marLeft w:val="0"/>
      <w:marRight w:val="0"/>
      <w:marTop w:val="0"/>
      <w:marBottom w:val="0"/>
      <w:divBdr>
        <w:top w:val="none" w:sz="0" w:space="0" w:color="auto"/>
        <w:left w:val="none" w:sz="0" w:space="0" w:color="auto"/>
        <w:bottom w:val="none" w:sz="0" w:space="0" w:color="auto"/>
        <w:right w:val="none" w:sz="0" w:space="0" w:color="auto"/>
      </w:divBdr>
    </w:div>
    <w:div w:id="1134954052">
      <w:bodyDiv w:val="1"/>
      <w:marLeft w:val="0"/>
      <w:marRight w:val="0"/>
      <w:marTop w:val="0"/>
      <w:marBottom w:val="0"/>
      <w:divBdr>
        <w:top w:val="none" w:sz="0" w:space="0" w:color="auto"/>
        <w:left w:val="none" w:sz="0" w:space="0" w:color="auto"/>
        <w:bottom w:val="none" w:sz="0" w:space="0" w:color="auto"/>
        <w:right w:val="none" w:sz="0" w:space="0" w:color="auto"/>
      </w:divBdr>
      <w:divsChild>
        <w:div w:id="138353638">
          <w:marLeft w:val="547"/>
          <w:marRight w:val="0"/>
          <w:marTop w:val="160"/>
          <w:marBottom w:val="0"/>
          <w:divBdr>
            <w:top w:val="none" w:sz="0" w:space="0" w:color="auto"/>
            <w:left w:val="none" w:sz="0" w:space="0" w:color="auto"/>
            <w:bottom w:val="none" w:sz="0" w:space="0" w:color="auto"/>
            <w:right w:val="none" w:sz="0" w:space="0" w:color="auto"/>
          </w:divBdr>
        </w:div>
        <w:div w:id="1044670396">
          <w:marLeft w:val="547"/>
          <w:marRight w:val="0"/>
          <w:marTop w:val="160"/>
          <w:marBottom w:val="0"/>
          <w:divBdr>
            <w:top w:val="none" w:sz="0" w:space="0" w:color="auto"/>
            <w:left w:val="none" w:sz="0" w:space="0" w:color="auto"/>
            <w:bottom w:val="none" w:sz="0" w:space="0" w:color="auto"/>
            <w:right w:val="none" w:sz="0" w:space="0" w:color="auto"/>
          </w:divBdr>
        </w:div>
        <w:div w:id="262223817">
          <w:marLeft w:val="547"/>
          <w:marRight w:val="0"/>
          <w:marTop w:val="160"/>
          <w:marBottom w:val="0"/>
          <w:divBdr>
            <w:top w:val="none" w:sz="0" w:space="0" w:color="auto"/>
            <w:left w:val="none" w:sz="0" w:space="0" w:color="auto"/>
            <w:bottom w:val="none" w:sz="0" w:space="0" w:color="auto"/>
            <w:right w:val="none" w:sz="0" w:space="0" w:color="auto"/>
          </w:divBdr>
        </w:div>
        <w:div w:id="811093329">
          <w:marLeft w:val="547"/>
          <w:marRight w:val="0"/>
          <w:marTop w:val="160"/>
          <w:marBottom w:val="0"/>
          <w:divBdr>
            <w:top w:val="none" w:sz="0" w:space="0" w:color="auto"/>
            <w:left w:val="none" w:sz="0" w:space="0" w:color="auto"/>
            <w:bottom w:val="none" w:sz="0" w:space="0" w:color="auto"/>
            <w:right w:val="none" w:sz="0" w:space="0" w:color="auto"/>
          </w:divBdr>
        </w:div>
        <w:div w:id="1766919175">
          <w:marLeft w:val="547"/>
          <w:marRight w:val="0"/>
          <w:marTop w:val="160"/>
          <w:marBottom w:val="0"/>
          <w:divBdr>
            <w:top w:val="none" w:sz="0" w:space="0" w:color="auto"/>
            <w:left w:val="none" w:sz="0" w:space="0" w:color="auto"/>
            <w:bottom w:val="none" w:sz="0" w:space="0" w:color="auto"/>
            <w:right w:val="none" w:sz="0" w:space="0" w:color="auto"/>
          </w:divBdr>
        </w:div>
        <w:div w:id="1857310240">
          <w:marLeft w:val="547"/>
          <w:marRight w:val="0"/>
          <w:marTop w:val="160"/>
          <w:marBottom w:val="0"/>
          <w:divBdr>
            <w:top w:val="none" w:sz="0" w:space="0" w:color="auto"/>
            <w:left w:val="none" w:sz="0" w:space="0" w:color="auto"/>
            <w:bottom w:val="none" w:sz="0" w:space="0" w:color="auto"/>
            <w:right w:val="none" w:sz="0" w:space="0" w:color="auto"/>
          </w:divBdr>
        </w:div>
      </w:divsChild>
    </w:div>
    <w:div w:id="1223256475">
      <w:bodyDiv w:val="1"/>
      <w:marLeft w:val="0"/>
      <w:marRight w:val="0"/>
      <w:marTop w:val="0"/>
      <w:marBottom w:val="0"/>
      <w:divBdr>
        <w:top w:val="none" w:sz="0" w:space="0" w:color="auto"/>
        <w:left w:val="none" w:sz="0" w:space="0" w:color="auto"/>
        <w:bottom w:val="none" w:sz="0" w:space="0" w:color="auto"/>
        <w:right w:val="none" w:sz="0" w:space="0" w:color="auto"/>
      </w:divBdr>
      <w:divsChild>
        <w:div w:id="1573735532">
          <w:marLeft w:val="0"/>
          <w:marRight w:val="0"/>
          <w:marTop w:val="0"/>
          <w:marBottom w:val="0"/>
          <w:divBdr>
            <w:top w:val="none" w:sz="0" w:space="0" w:color="auto"/>
            <w:left w:val="none" w:sz="0" w:space="0" w:color="auto"/>
            <w:bottom w:val="none" w:sz="0" w:space="0" w:color="auto"/>
            <w:right w:val="none" w:sz="0" w:space="0" w:color="auto"/>
          </w:divBdr>
        </w:div>
      </w:divsChild>
    </w:div>
    <w:div w:id="1247421981">
      <w:bodyDiv w:val="1"/>
      <w:marLeft w:val="0"/>
      <w:marRight w:val="0"/>
      <w:marTop w:val="0"/>
      <w:marBottom w:val="0"/>
      <w:divBdr>
        <w:top w:val="none" w:sz="0" w:space="0" w:color="auto"/>
        <w:left w:val="none" w:sz="0" w:space="0" w:color="auto"/>
        <w:bottom w:val="none" w:sz="0" w:space="0" w:color="auto"/>
        <w:right w:val="none" w:sz="0" w:space="0" w:color="auto"/>
      </w:divBdr>
    </w:div>
    <w:div w:id="1273324330">
      <w:bodyDiv w:val="1"/>
      <w:marLeft w:val="0"/>
      <w:marRight w:val="0"/>
      <w:marTop w:val="0"/>
      <w:marBottom w:val="0"/>
      <w:divBdr>
        <w:top w:val="none" w:sz="0" w:space="0" w:color="auto"/>
        <w:left w:val="none" w:sz="0" w:space="0" w:color="auto"/>
        <w:bottom w:val="none" w:sz="0" w:space="0" w:color="auto"/>
        <w:right w:val="none" w:sz="0" w:space="0" w:color="auto"/>
      </w:divBdr>
    </w:div>
    <w:div w:id="1302615380">
      <w:bodyDiv w:val="1"/>
      <w:marLeft w:val="0"/>
      <w:marRight w:val="0"/>
      <w:marTop w:val="0"/>
      <w:marBottom w:val="0"/>
      <w:divBdr>
        <w:top w:val="none" w:sz="0" w:space="0" w:color="auto"/>
        <w:left w:val="none" w:sz="0" w:space="0" w:color="auto"/>
        <w:bottom w:val="none" w:sz="0" w:space="0" w:color="auto"/>
        <w:right w:val="none" w:sz="0" w:space="0" w:color="auto"/>
      </w:divBdr>
      <w:divsChild>
        <w:div w:id="375812181">
          <w:marLeft w:val="547"/>
          <w:marRight w:val="0"/>
          <w:marTop w:val="160"/>
          <w:marBottom w:val="0"/>
          <w:divBdr>
            <w:top w:val="none" w:sz="0" w:space="0" w:color="auto"/>
            <w:left w:val="none" w:sz="0" w:space="0" w:color="auto"/>
            <w:bottom w:val="none" w:sz="0" w:space="0" w:color="auto"/>
            <w:right w:val="none" w:sz="0" w:space="0" w:color="auto"/>
          </w:divBdr>
        </w:div>
        <w:div w:id="1434476513">
          <w:marLeft w:val="547"/>
          <w:marRight w:val="0"/>
          <w:marTop w:val="160"/>
          <w:marBottom w:val="0"/>
          <w:divBdr>
            <w:top w:val="none" w:sz="0" w:space="0" w:color="auto"/>
            <w:left w:val="none" w:sz="0" w:space="0" w:color="auto"/>
            <w:bottom w:val="none" w:sz="0" w:space="0" w:color="auto"/>
            <w:right w:val="none" w:sz="0" w:space="0" w:color="auto"/>
          </w:divBdr>
        </w:div>
      </w:divsChild>
    </w:div>
    <w:div w:id="1451361671">
      <w:bodyDiv w:val="1"/>
      <w:marLeft w:val="0"/>
      <w:marRight w:val="0"/>
      <w:marTop w:val="0"/>
      <w:marBottom w:val="0"/>
      <w:divBdr>
        <w:top w:val="none" w:sz="0" w:space="0" w:color="auto"/>
        <w:left w:val="none" w:sz="0" w:space="0" w:color="auto"/>
        <w:bottom w:val="none" w:sz="0" w:space="0" w:color="auto"/>
        <w:right w:val="none" w:sz="0" w:space="0" w:color="auto"/>
      </w:divBdr>
    </w:div>
    <w:div w:id="1573126715">
      <w:bodyDiv w:val="1"/>
      <w:marLeft w:val="0"/>
      <w:marRight w:val="0"/>
      <w:marTop w:val="0"/>
      <w:marBottom w:val="0"/>
      <w:divBdr>
        <w:top w:val="none" w:sz="0" w:space="0" w:color="auto"/>
        <w:left w:val="none" w:sz="0" w:space="0" w:color="auto"/>
        <w:bottom w:val="none" w:sz="0" w:space="0" w:color="auto"/>
        <w:right w:val="none" w:sz="0" w:space="0" w:color="auto"/>
      </w:divBdr>
    </w:div>
    <w:div w:id="1616134998">
      <w:bodyDiv w:val="1"/>
      <w:marLeft w:val="0"/>
      <w:marRight w:val="0"/>
      <w:marTop w:val="0"/>
      <w:marBottom w:val="0"/>
      <w:divBdr>
        <w:top w:val="none" w:sz="0" w:space="0" w:color="auto"/>
        <w:left w:val="none" w:sz="0" w:space="0" w:color="auto"/>
        <w:bottom w:val="none" w:sz="0" w:space="0" w:color="auto"/>
        <w:right w:val="none" w:sz="0" w:space="0" w:color="auto"/>
      </w:divBdr>
    </w:div>
    <w:div w:id="1660645428">
      <w:bodyDiv w:val="1"/>
      <w:marLeft w:val="0"/>
      <w:marRight w:val="0"/>
      <w:marTop w:val="0"/>
      <w:marBottom w:val="0"/>
      <w:divBdr>
        <w:top w:val="none" w:sz="0" w:space="0" w:color="auto"/>
        <w:left w:val="none" w:sz="0" w:space="0" w:color="auto"/>
        <w:bottom w:val="none" w:sz="0" w:space="0" w:color="auto"/>
        <w:right w:val="none" w:sz="0" w:space="0" w:color="auto"/>
      </w:divBdr>
    </w:div>
    <w:div w:id="1843008185">
      <w:bodyDiv w:val="1"/>
      <w:marLeft w:val="0"/>
      <w:marRight w:val="0"/>
      <w:marTop w:val="0"/>
      <w:marBottom w:val="0"/>
      <w:divBdr>
        <w:top w:val="none" w:sz="0" w:space="0" w:color="auto"/>
        <w:left w:val="none" w:sz="0" w:space="0" w:color="auto"/>
        <w:bottom w:val="none" w:sz="0" w:space="0" w:color="auto"/>
        <w:right w:val="none" w:sz="0" w:space="0" w:color="auto"/>
      </w:divBdr>
    </w:div>
    <w:div w:id="2009751404">
      <w:bodyDiv w:val="1"/>
      <w:marLeft w:val="0"/>
      <w:marRight w:val="0"/>
      <w:marTop w:val="0"/>
      <w:marBottom w:val="0"/>
      <w:divBdr>
        <w:top w:val="none" w:sz="0" w:space="0" w:color="auto"/>
        <w:left w:val="none" w:sz="0" w:space="0" w:color="auto"/>
        <w:bottom w:val="none" w:sz="0" w:space="0" w:color="auto"/>
        <w:right w:val="none" w:sz="0" w:space="0" w:color="auto"/>
      </w:divBdr>
    </w:div>
    <w:div w:id="2095660178">
      <w:bodyDiv w:val="1"/>
      <w:marLeft w:val="0"/>
      <w:marRight w:val="0"/>
      <w:marTop w:val="0"/>
      <w:marBottom w:val="0"/>
      <w:divBdr>
        <w:top w:val="none" w:sz="0" w:space="0" w:color="auto"/>
        <w:left w:val="none" w:sz="0" w:space="0" w:color="auto"/>
        <w:bottom w:val="none" w:sz="0" w:space="0" w:color="auto"/>
        <w:right w:val="none" w:sz="0" w:space="0" w:color="auto"/>
      </w:divBdr>
      <w:divsChild>
        <w:div w:id="182475164">
          <w:marLeft w:val="547"/>
          <w:marRight w:val="0"/>
          <w:marTop w:val="160"/>
          <w:marBottom w:val="0"/>
          <w:divBdr>
            <w:top w:val="none" w:sz="0" w:space="0" w:color="auto"/>
            <w:left w:val="none" w:sz="0" w:space="0" w:color="auto"/>
            <w:bottom w:val="none" w:sz="0" w:space="0" w:color="auto"/>
            <w:right w:val="none" w:sz="0" w:space="0" w:color="auto"/>
          </w:divBdr>
        </w:div>
        <w:div w:id="905190465">
          <w:marLeft w:val="547"/>
          <w:marRight w:val="0"/>
          <w:marTop w:val="160"/>
          <w:marBottom w:val="0"/>
          <w:divBdr>
            <w:top w:val="none" w:sz="0" w:space="0" w:color="auto"/>
            <w:left w:val="none" w:sz="0" w:space="0" w:color="auto"/>
            <w:bottom w:val="none" w:sz="0" w:space="0" w:color="auto"/>
            <w:right w:val="none" w:sz="0" w:space="0" w:color="auto"/>
          </w:divBdr>
        </w:div>
      </w:divsChild>
    </w:div>
    <w:div w:id="2121144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1e13825371d40ef975c03a630acc67e" PartId="b2eca4cfe3f54f5f9e4d0372aba24ac4">
    <Part Type="punktas" Nr="1" Abbr="1 p." DocPartId="9f65664d61f4438eab3c373dc0e2c6ee" PartId="80927bc6c3f44c89b1c35dc18919ea1a">
      <Part Type="papunktis" Nr="1.1" Abbr="1.1 pp." DocPartId="7fa61485e8254e1da319ed096c7a7c8b" PartId="2af0d44f4a5f4c8f801f43523ff13edd">
        <Part Type="citata" DocPartId="7052cd26f03a4393973f5c768a27837f" PartId="db70c150bc5b445cac62745f9ae4e99e">
          <Part Type="pastraipa" DocPartId="7a71159bd5e9451c918a649aec43341d" PartId="517f2bc4e8504af9ac813c235ae3d847"/>
        </Part>
      </Part>
      <Part Type="papunktis" Nr="1.2" Abbr="1.2 pp." DocPartId="b516417461844ebabafd931502e7003b" PartId="5eb909b705354bf9adfb43e7363e9a49">
        <Part Type="papunktis" Nr="1.2.1" Abbr="1.2.1 pp." DocPartId="952fc6fed43849b88077c720e3ff232c" PartId="f7eec174734e45f091618eeffa599f02">
          <Part Type="citata" DocPartId="3a94a920518846b0be99e39d5d047391" PartId="070c0865e8e24e2ebf14233dbc289dfd">
            <Part Type="punktas" Nr="2" Abbr="2 p." DocPartId="8acc70791ec74930b1c3ab9ad2260e1c" PartId="fe8edcee5f914d828c0fc1dcb5a81e37"/>
          </Part>
        </Part>
        <Part Type="papunktis" Nr="1.2.2" Abbr="1.2.2 pp." DocPartId="3e119c4175ef4f9e8d5df94e3e66562e" PartId="4cda1da4e6254aa29d0e3dca1153bef3">
          <Part Type="citata" DocPartId="1730a204417d485288f1b4e8489726af" PartId="0a4b4efc2d644f6d8ab28cf46101bf70">
            <Part Type="punktas" Nr="3" Abbr="3 p." DocPartId="6a96a4d9f3894dd6b2f2df163a4923d6" PartId="7d303593909f4473812504d0a54b1fa7">
              <Part Type="papunktis" Nr="3.1" Abbr="3.1 pp." DocPartId="87be7b1caa7f4572a8b008d10b3c6fd9" PartId="eda2d184d9a64f8d889b1d142962e284">
                <Part Type="papunktis" Nr="3.1.1" Abbr="3.1.1 pp." DocPartId="a1b8973bfa274b98aa00d4d40bd17176" PartId="38fca21ba78a4069abf359f05ca9962d"/>
                <Part Type="papunktis" Nr="3.1.2" Abbr="3.1.2 pp." DocPartId="872fa668f2114662a94a47db7a227d7a" PartId="e8eddf70092f42688771c1b6d004323e"/>
              </Part>
              <Part Type="papunktis" Nr="3.2" Abbr="3.2 pp." DocPartId="75d4d86a29074bb7a6130f6b62a2f414" PartId="fc589227bd7240ce9cc13a65e6229405"/>
            </Part>
          </Part>
        </Part>
        <Part Type="papunktis" Nr="1.2.3" Abbr="1.2.3 pp." DocPartId="358b05053650490d9f4d642794885b0c" PartId="12259e8015144250b272ae9a99df41cb">
          <Part Type="citata" DocPartId="f25f349873ec44c6af0330f401ffb99c" PartId="f6ced7329d84460eb141e3c38b8a05d1">
            <Part Type="punktas" Nr="5" Abbr="5 p." DocPartId="04b853da6a6d4ed1a3cc0fb2c30a7bba" PartId="74d01e77c07a43fe86ae901a3c203e6c">
              <Part Type="papunktis" Nr="5.1" Abbr="5.1 pp." DocPartId="3a3656eb507645aeb9c1704ba241d255" PartId="2d300b21be2f44e2b1d42791568d55bd"/>
              <Part Type="papunktis" Nr="5.2" Abbr="5.2 pp." DocPartId="9ab1f6290d78479ea0cfda6011cee281" PartId="1648e3f9f9614a0cb9c9f0eea794fdac"/>
            </Part>
          </Part>
        </Part>
        <Part Type="papunktis" Nr="1.2.4" Abbr="1.2.4 pp." DocPartId="f503e48936fb490ea542fd3ca0e9211b" PartId="519c0cf31f6c4dae9fb6d54e3aa37a53">
          <Part Type="citata" DocPartId="a37cc95860504f99b906fabadd444c2a" PartId="321e20d039ee489fb06649a4806676c4">
            <Part Type="papunktis" Nr="9.8" Abbr="9.8 pp." DocPartId="2a9c4e3ce97544c69e372ac1793ce4fb" PartId="eaf8aaa72b8c43faa86a0d39bdd55c7a"/>
          </Part>
        </Part>
        <Part Type="papunktis" Nr="1.2.5" Abbr="1.2.5 pp." DocPartId="a044f73d112142459998d8f3d96fcd20" PartId="736d937f3223473faba30761633cf22e">
          <Part Type="citata" DocPartId="4723196793e0481caf0f5db748fc5166" PartId="dd3e7260ba8a42edaff368c73bceba5e">
            <Part Type="papunktis" Nr="9.9" Abbr="9.9 pp." DocPartId="795944654a3743fdb0d0f00ba73fe853" PartId="e21615c6be794e919c2cafe6fba43d3d"/>
          </Part>
        </Part>
        <Part Type="papunktis" Nr="1.2.6" Abbr="1.2.6 pp." DocPartId="720e92ee0f8f4433a1ebb9e5aeede720" PartId="9b62995018da4a148344cfa7c62481a2">
          <Part Type="citata" DocPartId="ef795694a90a433b8894ad336bdfbe27" PartId="40860f7dd3a34972bd8edc9a28ba4228">
            <Part Type="punktas" Nr="15" Abbr="15 p." DocPartId="1e98bc5a856d4161b8870a5ce0420c8c" PartId="93d763ae1c524bb1826ec52ba649e8e8"/>
          </Part>
        </Part>
        <Part Type="papunktis" Nr="1.2.7" Abbr="1.2.7 pp." DocPartId="7b03a21f80fd4c5989a46f82de00ed36" PartId="b507cb2939de44ed8812a539608ded18">
          <Part Type="citata" DocPartId="08c8623af0884d65a8c07f07f9dbaadc" PartId="ecf27c8bda3e4ab2a11cbac4e0aa3a62">
            <Part Type="papunktis" Nr="19.8" Abbr="19.8 pp." DocPartId="ae40baa6e52145cc8ab710713ac87ac9" PartId="5cfa77a8513e404f96014e4d6d11c0e4"/>
          </Part>
        </Part>
        <Part Type="papunktis" Nr="1.2.8" Abbr="1.2.8 pp." DocPartId="65e18b5865ab46068f79874abb33911e" PartId="f07d28116407423f8e842bc2a46bb175">
          <Part Type="citata" DocPartId="1f014616d0794f928d282309bd6a470f" PartId="d12b50e787e14d3d86019599e9cb9c2b">
            <Part Type="papunktis" Nr="19.9" Abbr="19.9 pp." DocPartId="f56b66517704411aa9fe2f3accb97e25" PartId="d95e241fa7d6448b97c775da9687c519"/>
          </Part>
        </Part>
        <Part Type="papunktis" Nr="1.2.9" Abbr="1.2.9 pp." DocPartId="cf00e46433794535b189bb404df7a295" PartId="c0efbf9ac0014b76ab935a4548afff9f">
          <Part Type="citata" DocPartId="05337a5880524cb48df72eb15c05b202" PartId="e3a8636253bd4540a4cf75fa28d85487">
            <Part Type="punktas" Nr="20" Abbr="20 p." DocPartId="0854b27f8d6149149414a46ff9f956aa" PartId="902b9961f86f4c1ebc8645002d106495"/>
          </Part>
        </Part>
        <Part Type="papunktis" Nr="1.2.10" Abbr="1.2.10 pp." DocPartId="127f6bd07c1a4ba9a147b92d040479ac" PartId="d7cac37b73194a239767bf28899f8424">
          <Part Type="citata" DocPartId="7dcde2c0d7614f84b0e52df6d799556f" PartId="0a0f16d994b549f0be90083c20ffa0b1">
            <Part Type="punktas" Nr="30" Abbr="30 p." DocPartId="31eab1f8e016494e9f5fc5e9ea6a783b" PartId="f109e8b1c8d945429a0800f1076e6bc1">
              <Part Type="papunktis" Nr="30.1" Abbr="30.1 pp." DocPartId="93a9530633054cc18e406c01f8395370" PartId="bd93f5fd273745bab6dfcc24eee11f5f"/>
              <Part Type="papunktis" Nr="30.2" Abbr="30.2 pp." DocPartId="cad8bbc64041438d92177ec09a3d715b" PartId="52471005124f4b84ba64ae6fee4a747e"/>
            </Part>
          </Part>
        </Part>
        <Part Type="papunktis" Nr="1.2.11" Abbr="1.2.11 pp." DocPartId="49249bf725074a1590424d55b62ba36f" PartId="a91a2e49efb14c04982fee668b747f81"/>
      </Part>
    </Part>
    <Part Type="punktas" Nr="2" Abbr="2 p." DocPartId="b8feb01f0f4b4be4a2abc73522ecc4cd" PartId="663febadac3a4fbc99e1396487d47337"/>
    <Part Type="signatura" DocPartId="64bd5b01ce7748168f2f15647d3e2d89" PartId="6a689b8b368f4f54af0683430db80f6e"/>
  </Part>
</Parts>
</file>

<file path=customXml/itemProps1.xml><?xml version="1.0" encoding="utf-8"?>
<ds:datastoreItem xmlns:ds="http://schemas.openxmlformats.org/officeDocument/2006/customXml" ds:itemID="{A09BEC51-DFBE-4C25-A5A5-C0D7C2601490}">
  <ds:schemaRefs>
    <ds:schemaRef ds:uri="http://schemas.openxmlformats.org/officeDocument/2006/bibliography"/>
  </ds:schemaRefs>
</ds:datastoreItem>
</file>

<file path=customXml/itemProps2.xml><?xml version="1.0" encoding="utf-8"?>
<ds:datastoreItem xmlns:ds="http://schemas.openxmlformats.org/officeDocument/2006/customXml" ds:itemID="{BDE9C33F-9DD8-46E5-8EA1-F67F5477E36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639</Words>
  <Characters>4399</Characters>
  <Application>Microsoft Office Word</Application>
  <DocSecurity>4</DocSecurity>
  <Lines>83</Lines>
  <Paragraphs>47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VMI</Company>
  <LinksUpToDate>false</LinksUpToDate>
  <CharactersWithSpaces>4991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2025-04-02T12:59:00Z</dcterms:created>
  <dc:creator>Birutė Stanienė</dc:creator>
  <lastModifiedBy>adlibuser</lastModifiedBy>
  <dcterms:modified xsi:type="dcterms:W3CDTF">2025-04-02T12:59:00Z</dcterms:modified>
  <revision>2</revision>
</coreProperties>
</file>