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2880"/>
        <w:jc w:val="right"/>
        <w:rPr>
          <w:b/>
          <w:lang w:eastAsia="lt-LT"/>
        </w:rPr>
      </w:pPr>
      <w:r>
        <w:rPr>
          <w:b/>
          <w:lang w:eastAsia="lt-LT"/>
        </w:rPr>
        <w:t>Projektas Nr. TSP-267</w:t>
      </w:r>
    </w:p>
    <w:p>
      <w:pPr>
        <w:jc w:val="center"/>
        <w:rPr>
          <w:b/>
          <w:lang w:eastAsia="lt-LT"/>
        </w:rPr>
      </w:pP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lang w:eastAsia="lt-LT"/>
        </w:rPr>
      </w:pPr>
      <w:r>
        <w:rPr>
          <w:b/>
          <w:lang w:eastAsia="lt-LT"/>
        </w:rPr>
        <w:t>SPRENDIMAS</w:t>
      </w:r>
    </w:p>
    <w:p>
      <w:pPr>
        <w:jc w:val="center"/>
        <w:rPr>
          <w:b/>
          <w:lang w:eastAsia="lt-LT"/>
        </w:rPr>
      </w:pPr>
      <w:r>
        <w:rPr>
          <w:b/>
          <w:lang w:eastAsia="lt-LT"/>
        </w:rPr>
        <w:t xml:space="preserve">DĖL KUPIŠKIO RAJONO SAVIVALDYBĖS TARYBOS 2020 M. RUGSĖJO 10 D. SPRENDIMO  NR. TS-213 „DĖL  SUTIKIMO PERIMTI VALSTYBĖS TURTĄ SAVIVALDYBĖS NUOSAVYBĖN“  PAKEITIMO</w:t>
      </w:r>
    </w:p>
    <w:p>
      <w:pPr>
        <w:jc w:val="center"/>
        <w:rPr>
          <w:b/>
          <w:lang w:eastAsia="lt-LT"/>
        </w:rPr>
      </w:pPr>
    </w:p>
    <w:p>
      <w:pPr>
        <w:jc w:val="center"/>
        <w:rPr>
          <w:lang w:eastAsia="lt-LT"/>
        </w:rPr>
      </w:pPr>
      <w:r>
        <w:rPr>
          <w:lang w:eastAsia="lt-LT"/>
        </w:rPr>
        <w:t xml:space="preserve">2020 m. spalio     d. Nr. TS-    </w:t>
      </w:r>
    </w:p>
    <w:p>
      <w:pPr>
        <w:keepNext/>
        <w:jc w:val="center"/>
        <w:rPr>
          <w:lang w:eastAsia="lt-LT"/>
        </w:rPr>
      </w:pPr>
      <w:r>
        <w:rPr>
          <w:lang w:eastAsia="lt-LT"/>
        </w:rPr>
        <w:t>Kupiškis</w:t>
      </w:r>
    </w:p>
    <w:p>
      <w:pPr>
        <w:tabs>
          <w:tab w:val="left" w:pos="1247"/>
        </w:tabs>
        <w:rPr>
          <w:sz w:val="20"/>
          <w:lang w:eastAsia="lt-LT"/>
        </w:rPr>
      </w:pPr>
    </w:p>
    <w:p>
      <w:pPr>
        <w:spacing w:line="360" w:lineRule="auto"/>
        <w:ind w:firstLine="782"/>
        <w:jc w:val="both"/>
        <w:rPr>
          <w:lang w:eastAsia="lt-LT"/>
        </w:rPr>
      </w:pPr>
      <w:r>
        <w:rPr>
          <w:lang w:eastAsia="lt-LT"/>
        </w:rPr>
        <w:t xml:space="preserve">Vadovaudamasi Lietuvos Respublikos vietos savivaldos įstatymo 18 straipsnio 1 dalimi ir atsižvelgdama į valstybės įmonės Turto banko 2020 m. spalio 15 d. raštą Nr. (15.1-51)-SK4-11113  „Dėl  nekilnojamojo turto perdavimo  savivaldybės nuosavybėn“,  Kupiškio rajono savivaldybės taryba n u s p r e n d ž i a :</w:t>
      </w:r>
    </w:p>
    <w:p>
      <w:pPr>
        <w:tabs>
          <w:tab w:val="left" w:pos="1247"/>
        </w:tabs>
        <w:spacing w:line="360" w:lineRule="auto"/>
        <w:ind w:firstLine="1247"/>
        <w:jc w:val="both"/>
        <w:rPr>
          <w:szCs w:val="24"/>
        </w:rPr>
      </w:pPr>
      <w:r>
        <w:rPr>
          <w:szCs w:val="22"/>
        </w:rPr>
        <w:t xml:space="preserve">Pakeisti </w:t>
      </w:r>
      <w:r>
        <w:rPr>
          <w:szCs w:val="24"/>
        </w:rPr>
        <w:t xml:space="preserve"> Kupiškio rajono savivaldybės tarybos 2020 m. rugsėjo 10 d. sprendimo  Nr. TS-213 „Dėl sutikimo perimti valstybės turtą savivaldybės nuosavybėn“ 1 punktą  ir jį išdėstyti taip:</w:t>
      </w:r>
    </w:p>
    <w:p>
      <w:pPr>
        <w:spacing w:line="360" w:lineRule="auto"/>
        <w:ind w:firstLine="1247"/>
        <w:jc w:val="both"/>
        <w:rPr>
          <w:lang w:eastAsia="lt-LT"/>
        </w:rPr>
      </w:pPr>
      <w:r>
        <w:rPr>
          <w:lang w:eastAsia="lt-LT"/>
        </w:rPr>
        <w:t>„</w:t>
      </w:r>
      <w:r>
        <w:rPr>
          <w:lang w:eastAsia="lt-LT"/>
        </w:rPr>
        <w:t>1</w:t>
      </w:r>
      <w:r>
        <w:rPr>
          <w:lang w:eastAsia="lt-LT"/>
        </w:rPr>
        <w:t xml:space="preserve">. Sutikti perimti  Kupiškio  rajono savivaldybės nuosavybėn savarankiškajai savivaldybių funkcijai – savivaldybės socialinio būsto fondo sudarymas ir jo remontas, socialinio būsto nuoma – įgyvendinti, vadovaujantis Lietuvos Respublikos paramos būstui įsigyti ar išsinuomoti įstatymu, valstybei nuosavybės teise priklausantį ir šiuo metu valstybės įmonės Turto banko patikėjimo teise valdomą gyvenamosios paskirties nekilnojamąjį turtą:  gyvenamąjį namą (unikalus Nr. 5796-1005-8018), pagalbinio ūkio pastatus – kiemo rūsį (unikalus Nr.5796-1005-8029), ūkinius pastatus (unikalūs Nr. 5796-1005-8034, 5796-1005-8048, 5796-1005-8050), kiemo statinius (unikalus Nr. 5796-1005-8118), esančius Kikonių g. 14, Aleksandrijos k., Kupiškio sen., Kupiškio r. sav. ir garažus (unikalūs Nr. 5796-1005-8072, 5796-1005-8083, 5796-1005-8094), esančius Kikonių g. 16, Aleksandrijos k., Kupiškio sen., Kupiškio r. sav.“.</w:t>
      </w:r>
    </w:p>
    <w:p>
      <w:pPr>
        <w:spacing w:line="360" w:lineRule="auto"/>
        <w:ind w:firstLine="782"/>
        <w:jc w:val="both"/>
        <w:rPr>
          <w:bCs/>
          <w:szCs w:val="24"/>
          <w:lang w:eastAsia="lt-LT"/>
        </w:rPr>
      </w:pPr>
      <w:r>
        <w:rPr>
          <w:bCs/>
          <w:szCs w:val="24"/>
          <w:lang w:eastAsia="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jc w:val="both"/>
        <w:rPr>
          <w:szCs w:val="24"/>
          <w:lang w:eastAsia="lt-LT"/>
        </w:rPr>
      </w:pPr>
    </w:p>
    <w:p>
      <w:pPr>
        <w:spacing w:line="360" w:lineRule="auto"/>
        <w:jc w:val="both"/>
        <w:rPr>
          <w:szCs w:val="24"/>
          <w:lang w:eastAsia="lt-LT"/>
        </w:rPr>
      </w:pPr>
      <w:r>
        <w:rPr>
          <w:szCs w:val="24"/>
          <w:lang w:eastAsia="lt-LT"/>
        </w:rPr>
        <w:t>Savivaldybės meras</w:t>
      </w:r>
    </w:p>
    <w:tbl>
      <w:tblPr>
        <w:tblW w:w="10221" w:type="dxa"/>
        <w:tblLook w:val="01E0" w:firstRow="1" w:lastRow="1" w:firstColumn="1" w:lastColumn="1" w:noHBand="0" w:noVBand="0"/>
      </w:tblPr>
      <w:tblGrid>
        <w:gridCol w:w="4077"/>
        <w:gridCol w:w="3118"/>
        <w:gridCol w:w="3026"/>
      </w:tblGrid>
      <w:tr>
        <w:trPr>
          <w:trHeight w:val="80"/>
        </w:trPr>
        <w:tc>
          <w:tcPr>
            <w:tcW w:w="4077" w:type="dxa"/>
            <w:shd w:val="clear" w:color="auto" w:fill="auto"/>
          </w:tcPr>
          <w:p>
            <w:pPr>
              <w:jc w:val="both"/>
              <w:rPr>
                <w:szCs w:val="24"/>
                <w:lang w:eastAsia="lt-LT"/>
              </w:rPr>
            </w:pPr>
            <w:r>
              <w:rPr>
                <w:szCs w:val="24"/>
                <w:lang w:eastAsia="lt-LT"/>
              </w:rPr>
              <w:t>Parengė</w:t>
            </w:r>
          </w:p>
        </w:tc>
        <w:tc>
          <w:tcPr>
            <w:tcW w:w="3118" w:type="dxa"/>
            <w:shd w:val="clear" w:color="auto" w:fill="auto"/>
          </w:tcPr>
          <w:p>
            <w:pPr>
              <w:jc w:val="both"/>
              <w:rPr>
                <w:szCs w:val="24"/>
                <w:lang w:eastAsia="lt-LT"/>
              </w:rPr>
            </w:pPr>
          </w:p>
        </w:tc>
        <w:tc>
          <w:tcPr>
            <w:tcW w:w="3026" w:type="dxa"/>
            <w:shd w:val="clear" w:color="auto" w:fill="auto"/>
          </w:tcPr>
          <w:p>
            <w:pPr>
              <w:jc w:val="both"/>
              <w:rPr>
                <w:szCs w:val="24"/>
                <w:lang w:eastAsia="lt-LT"/>
              </w:rPr>
            </w:pPr>
          </w:p>
        </w:tc>
      </w:tr>
      <w:tr>
        <w:tc>
          <w:tcPr>
            <w:tcW w:w="4077" w:type="dxa"/>
            <w:shd w:val="clear" w:color="auto" w:fill="auto"/>
          </w:tcPr>
          <w:p>
            <w:pPr>
              <w:rPr>
                <w:szCs w:val="24"/>
                <w:lang w:val="pl-PL" w:eastAsia="lt-LT"/>
              </w:rPr>
            </w:pPr>
            <w:r>
              <w:rPr>
                <w:szCs w:val="24"/>
                <w:lang w:val="pl-PL" w:eastAsia="lt-LT"/>
              </w:rPr>
              <w:t xml:space="preserve">Infrastruktūros skyriaus  vedėjas </w:t>
            </w:r>
          </w:p>
        </w:tc>
        <w:tc>
          <w:tcPr>
            <w:tcW w:w="3118" w:type="dxa"/>
            <w:shd w:val="clear" w:color="auto" w:fill="auto"/>
          </w:tcPr>
          <w:p>
            <w:pPr>
              <w:rPr>
                <w:szCs w:val="24"/>
                <w:lang w:eastAsia="lt-LT"/>
              </w:rPr>
            </w:pPr>
          </w:p>
        </w:tc>
        <w:tc>
          <w:tcPr>
            <w:tcW w:w="3026" w:type="dxa"/>
            <w:shd w:val="clear" w:color="auto" w:fill="auto"/>
          </w:tcPr>
          <w:p>
            <w:pPr>
              <w:rPr>
                <w:szCs w:val="24"/>
                <w:lang w:eastAsia="lt-LT"/>
              </w:rPr>
            </w:pPr>
          </w:p>
        </w:tc>
      </w:tr>
      <w:tr>
        <w:tc>
          <w:tcPr>
            <w:tcW w:w="4077" w:type="dxa"/>
            <w:shd w:val="clear" w:color="auto" w:fill="auto"/>
          </w:tcPr>
          <w:p>
            <w:pPr>
              <w:jc w:val="both"/>
              <w:rPr>
                <w:szCs w:val="24"/>
                <w:lang w:eastAsia="lt-LT"/>
              </w:rPr>
            </w:pPr>
            <w:r>
              <w:rPr>
                <w:szCs w:val="24"/>
                <w:lang w:eastAsia="lt-LT"/>
              </w:rPr>
              <w:t>Mažvydas Šalkauskas</w:t>
            </w:r>
          </w:p>
        </w:tc>
        <w:tc>
          <w:tcPr>
            <w:tcW w:w="3118" w:type="dxa"/>
            <w:shd w:val="clear" w:color="auto" w:fill="auto"/>
          </w:tcPr>
          <w:p>
            <w:pPr>
              <w:jc w:val="both"/>
              <w:rPr>
                <w:szCs w:val="24"/>
                <w:lang w:eastAsia="lt-LT"/>
              </w:rPr>
            </w:pPr>
          </w:p>
        </w:tc>
        <w:tc>
          <w:tcPr>
            <w:tcW w:w="3026" w:type="dxa"/>
            <w:shd w:val="clear" w:color="auto" w:fill="auto"/>
          </w:tcPr>
          <w:p>
            <w:pPr>
              <w:jc w:val="both"/>
              <w:rPr>
                <w:szCs w:val="24"/>
                <w:lang w:eastAsia="lt-LT"/>
              </w:rPr>
            </w:pPr>
          </w:p>
        </w:tc>
      </w:tr>
      <w:tr>
        <w:tc>
          <w:tcPr>
            <w:tcW w:w="4077" w:type="dxa"/>
            <w:shd w:val="clear" w:color="auto" w:fill="auto"/>
          </w:tcPr>
          <w:p>
            <w:pPr>
              <w:jc w:val="both"/>
              <w:rPr>
                <w:szCs w:val="24"/>
                <w:lang w:eastAsia="lt-LT"/>
              </w:rPr>
            </w:pPr>
          </w:p>
        </w:tc>
        <w:tc>
          <w:tcPr>
            <w:tcW w:w="3118" w:type="dxa"/>
            <w:shd w:val="clear" w:color="auto" w:fill="auto"/>
          </w:tcPr>
          <w:p>
            <w:pPr>
              <w:jc w:val="both"/>
              <w:rPr>
                <w:szCs w:val="24"/>
                <w:lang w:eastAsia="lt-LT"/>
              </w:rPr>
            </w:pPr>
          </w:p>
        </w:tc>
        <w:tc>
          <w:tcPr>
            <w:tcW w:w="3026" w:type="dxa"/>
            <w:shd w:val="clear" w:color="auto" w:fill="auto"/>
          </w:tcPr>
          <w:p>
            <w:pPr>
              <w:jc w:val="both"/>
              <w:rPr>
                <w:szCs w:val="24"/>
                <w:lang w:eastAsia="lt-LT"/>
              </w:rPr>
            </w:pPr>
          </w:p>
        </w:tc>
      </w:tr>
    </w:tbl>
    <w:p>
      <w:pPr>
        <w:ind w:right="747" w:firstLine="1440"/>
        <w:jc w:val="both"/>
        <w:rPr>
          <w:sz w:val="20"/>
          <w:lang w:eastAsia="lt-LT"/>
        </w:rPr>
      </w:pPr>
    </w:p>
    <w:sectPr>
      <w:pgSz w:w="11907" w:h="16840" w:code="9"/>
      <w:pgMar w:top="1134" w:right="567" w:bottom="709"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484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1899</Characters>
  <Application>Microsoft Office Word</Application>
  <DocSecurity>4</DocSecurity>
  <Lines>51</Lines>
  <Paragraphs>16</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Kupiškio rajono savivaldybė</Company>
  <LinksUpToDate>false</LinksUpToDate>
  <CharactersWithSpaces>2150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2020-10-20T07:49:00Z</dcterms:created>
  <dc:creator>All users</dc:creator>
  <lastModifiedBy>adlibuser</lastModifiedBy>
  <lastPrinted>2011-10-03T14:01:00Z</lastPrinted>
  <dcterms:modified xsi:type="dcterms:W3CDTF">2020-10-20T07:49:00Z</dcterms:modified>
  <revision>2</revision>
  <dc:title>KUPIŠKIO RAJONO SAVIVALDYBĖS TARYBA</dc:title>
</coreProperties>
</file>