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caff47031c49b0a7b4427662e451d2"/>
        <w:lock w:val="sdtLocked"/>
        <w:richText/>
      </w:sdtPr>
      <w:sdtContent>
        <w:p>
          <w:pPr>
            <w:tabs>
              <w:tab w:val="left" w:pos="17016"/>
            </w:tabs>
            <w:suppressAutoHyphens/>
            <w:ind w:left="8508"/>
            <w:rPr>
              <w:b/>
              <w:bC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SPRENDIMAS</w:t>
          </w:r>
        </w:p>
        <w:p>
          <w:pPr>
            <w:spacing w:line="259" w:lineRule="auto"/>
            <w:jc w:val="center"/>
            <w:rPr>
              <w:rFonts w:eastAsia="Calibri"/>
              <w:b/>
              <w:color w:val="000000"/>
              <w:szCs w:val="24"/>
            </w:rPr>
          </w:pPr>
          <w:r>
            <w:rPr>
              <w:b/>
              <w:szCs w:val="24"/>
              <w:lang w:eastAsia="zh-CN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ŠIAULIŲ MIESTO SAVIVALDYBĖS TARYBOS 2022 M. VASARIO 3 D. SPRENDIMO NR.T-13 „</w:t>
          </w:r>
          <w:r>
            <w:rPr>
              <w:rFonts w:eastAsia="Calibri"/>
              <w:b/>
              <w:color w:val="000000"/>
              <w:szCs w:val="24"/>
            </w:rPr>
            <w:t xml:space="preserve">DĖL </w:t>
          </w:r>
          <w:r>
            <w:rPr>
              <w:rFonts w:eastAsia="Calibri"/>
              <w:b/>
              <w:szCs w:val="24"/>
            </w:rPr>
            <w:t xml:space="preserve">ŠIAULIŲ MIESTO SAVIVALDYBĖS NEFORMALIOJO VAIKŲ ŠVIETIMO TEIKĖJŲ VEIKLOS KOKYBĖS IŠORINIO VERTINIMO IR APMOKĖJIMO  TVARKOS APRAŠO</w:t>
          </w:r>
          <w:r>
            <w:rPr>
              <w:rFonts w:eastAsia="Calibri"/>
              <w:b/>
              <w:color w:val="000000"/>
              <w:szCs w:val="24"/>
            </w:rPr>
            <w:t xml:space="preserve"> </w:t>
          </w:r>
          <w:r>
            <w:rPr>
              <w:rFonts w:eastAsia="Calibri"/>
              <w:b/>
              <w:bCs/>
              <w:szCs w:val="24"/>
            </w:rPr>
            <w:t>PATVIRTINIMO</w:t>
          </w:r>
          <w:r>
            <w:rPr>
              <w:b/>
              <w:color w:val="000000"/>
              <w:szCs w:val="24"/>
              <w:lang w:eastAsia="zh-CN"/>
            </w:rPr>
            <w:t>“ PAKEITIMO</w:t>
          </w:r>
        </w:p>
        <w:p>
          <w:pPr>
            <w:rPr>
              <w:sz w:val="14"/>
              <w:szCs w:val="14"/>
            </w:rPr>
          </w:pPr>
        </w:p>
        <w:p>
          <w:pPr>
            <w:widowControl w:val="0"/>
            <w:suppressAutoHyphens/>
            <w:rPr>
              <w:rFonts w:eastAsia="Lucida Sans Unicode"/>
              <w:b/>
              <w:cap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 xml:space="preserve">2023 m.                        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>Šiauliai</w:t>
          </w:r>
        </w:p>
        <w:p>
          <w:pPr>
            <w:widowControl w:val="0"/>
            <w:suppressAutoHyphens/>
            <w:rPr>
              <w:rFonts w:eastAsia="Lucida Sans Unicode"/>
              <w:szCs w:val="24"/>
              <w:highlight w:val="yellow"/>
              <w:shd w:val="clear" w:color="auto" w:fill="FFFFFF"/>
              <w:lang w:eastAsia="ar-SA"/>
            </w:rPr>
          </w:pPr>
        </w:p>
        <w:p>
          <w:pPr>
            <w:ind w:firstLine="1123"/>
            <w:jc w:val="both"/>
            <w:rPr>
              <w:szCs w:val="24"/>
            </w:rPr>
          </w:pPr>
          <w:r>
            <w:t>Vadovaudamasi Lietuvos Respublikos vietos savivaldos įstatymo 18 straipsnio 1 dalimi,</w:t>
          </w:r>
          <w:r>
            <w:rPr>
              <w:color w:val="000000"/>
              <w:szCs w:val="24"/>
              <w:shd w:val="clear" w:color="auto" w:fill="FFFFFF"/>
            </w:rPr>
            <w:t xml:space="preserve"> 2022 m. birželio 30 d. Lietuvos Respublikos vietos savivaldos įstatymo Nr. I-533 pakeitimo įstatymo Nr. XIV-1268 2 straipsnio 1 ir 2 dalimis, 1 straipsniu pakeisto Lietuvos Respublikos vietos savivaldos įstatymo 3 straipsnio 3 dalimi, </w:t>
          </w:r>
          <w:r>
            <w:rPr>
              <w:szCs w:val="24"/>
              <w:shd w:val="clear" w:color="auto" w:fill="FFFFFF"/>
            </w:rPr>
            <w:t>25 straipsnio 5 dalimi</w:t>
          </w:r>
          <w:r>
            <w:rPr>
              <w:szCs w:val="24"/>
            </w:rPr>
            <w:t>, 27 straipsnio 2 dalies 3 punktu,</w:t>
          </w:r>
          <w:r>
            <w:rPr>
              <w:color w:val="000000"/>
              <w:szCs w:val="24"/>
              <w:shd w:val="clear" w:color="auto" w:fill="FFFFFF"/>
            </w:rPr>
            <w:t xml:space="preserve"> </w:t>
          </w:r>
          <w:r>
            <w:rPr>
              <w:szCs w:val="24"/>
            </w:rPr>
            <w:t>Šiaulių</w:t>
          </w:r>
          <w:r>
            <w:t xml:space="preserve"> miesto savivaldybės taryba </w:t>
          </w:r>
          <w:r>
            <w:rPr>
              <w:spacing w:val="60"/>
            </w:rPr>
            <w:t>nusprendži</w:t>
          </w:r>
          <w:r>
            <w:t>a:</w:t>
          </w:r>
        </w:p>
        <w:sdt>
          <w:sdtPr>
            <w:alias w:val="1 p."/>
            <w:tag w:val="part_72ccbe901874467698f8af3c24a88917"/>
            <w:lock w:val="sdtLocked"/>
            <w:richText/>
          </w:sdtPr>
          <w:sdtContent>
            <w:p>
              <w:pPr>
                <w:ind w:firstLine="112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ccbe901874467698f8af3c24a8891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eastAsia="Calibri"/>
                  <w:szCs w:val="24"/>
                  <w:shd w:val="clear" w:color="auto" w:fill="FFFFFF"/>
                </w:rPr>
                <w:t xml:space="preserve">Pakeisti </w:t>
              </w:r>
              <w:r>
                <w:rPr>
                  <w:rFonts w:eastAsia="Calibri"/>
                  <w:bCs/>
                  <w:szCs w:val="24"/>
                </w:rPr>
                <w:t xml:space="preserve">Šiaulių miesto savivaldybės neformaliojo vaikų švietimo teikėjų veiklos kokybės išorinio vertinimo ir apmokėjimo tvarkos aprašą, patvirtintą </w:t>
              </w:r>
              <w:r>
                <w:rPr>
                  <w:szCs w:val="24"/>
                  <w:shd w:val="clear" w:color="auto" w:fill="FFFFFF"/>
                </w:rPr>
                <w:t>Š</w:t>
              </w:r>
              <w:r>
                <w:rPr>
                  <w:szCs w:val="24"/>
                </w:rPr>
                <w:t xml:space="preserve">iaulių miesto savivaldybės tarybos 2022 m. vasario 3 d. sprendimo Nr. T-13 „Dėl </w:t>
              </w:r>
              <w:r>
                <w:rPr>
                  <w:rFonts w:eastAsia="Calibri"/>
                  <w:bCs/>
                  <w:szCs w:val="24"/>
                </w:rPr>
                <w:t xml:space="preserve">Šiaulių miesto savivaldybės neformaliojo vaikų švietimo teikėjų veiklos kokybės išorinio vertinimo ir apmokėjimo  tvarkos aprašo patvirtinimo“</w:t>
              </w:r>
              <w:r>
                <w:rPr>
                  <w:szCs w:val="24"/>
                </w:rPr>
                <w:t xml:space="preserve"> 1 punktu:</w:t>
              </w:r>
            </w:p>
            <w:sdt>
              <w:sdtPr>
                <w:alias w:val="1.1 pp."/>
                <w:tag w:val="part_16697b27cfb2420ab71caeb593750ff5"/>
                <w:lock w:val="sdtLocked"/>
                <w:richText/>
              </w:sdtPr>
              <w:sdtContent>
                <w:p>
                  <w:pPr>
                    <w:ind w:firstLine="112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697b27cfb2420ab71caeb593750f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5 punktą ir jį išdėstyti taip:</w:t>
                  </w:r>
                </w:p>
                <w:sdt>
                  <w:sdtPr>
                    <w:alias w:val="citata"/>
                    <w:tag w:val="part_4207fbb7c8514895bd0e6365e9fded61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6fe87fa9deaa4dab891d6b3e85a939e5"/>
                        <w:lock w:val="sdtLocked"/>
                        <w:richText/>
                      </w:sdtPr>
                      <w:sdtContent>
                        <w:p>
                          <w:pPr>
                            <w:ind w:firstLine="1123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e87fa9deaa4dab891d6b3e85a939e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Šiaulių miesto savivaldybės (toliau – Savivaldybė) mero potvarkiu sudaroma 3–5 asmenų išorinio vertinimo grupė NVŠ teikėjo veiklai vertinti ir išorinio vertinimo ataskaitai parengti.“;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3e48eb87aeb46f8a37bc92cb6c6e8cf"/>
                <w:lock w:val="sdtLocked"/>
                <w:richText/>
              </w:sdtPr>
              <w:sdtContent>
                <w:p>
                  <w:pPr>
                    <w:ind w:firstLine="112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e48eb87aeb46f8a37bc92cb6c6e8c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13 punktą ir jį išdėstyti taip:</w:t>
                  </w:r>
                </w:p>
                <w:sdt>
                  <w:sdtPr>
                    <w:alias w:val="citata"/>
                    <w:tag w:val="part_4ee6b85db0c949d189153ae3796d4067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929a31db732f45f0aa5798ef9040ea01"/>
                        <w:lock w:val="sdtLocked"/>
                        <w:richText/>
                      </w:sdtPr>
                      <w:sdtContent>
                        <w:p>
                          <w:pPr>
                            <w:ind w:firstLine="1123"/>
                            <w:jc w:val="both"/>
                            <w:textAlignment w:val="baseline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9a31db732f45f0aa5798ef9040ea0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en-GB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  <w:lang w:eastAsia="en-GB"/>
                            </w:rPr>
                            <w:t xml:space="preserve">. Lėšos vertintojui paskiriamos Savivaldybės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mero potvarkiu.“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0f2d4381aa6488fa441f7fdbf9cc961"/>
                <w:lock w:val="sdtLocked"/>
                <w:richText/>
              </w:sdtPr>
              <w:sdtContent>
                <w:p>
                  <w:pPr>
                    <w:ind w:firstLine="1123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0f2d4381aa6488fa441f7fdbf9cc96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14 punktą ir jį išdėstyti taip:</w:t>
                  </w:r>
                </w:p>
                <w:sdt>
                  <w:sdtPr>
                    <w:alias w:val="citata"/>
                    <w:tag w:val="part_afe3d121cc9f4838ab139ab6e2f020cd"/>
                    <w:lock w:val="sdtLocked"/>
                    <w:richText/>
                  </w:sdtPr>
                  <w:sdtContent>
                    <w:sdt>
                      <w:sdtPr>
                        <w:alias w:val="14 p."/>
                        <w:tag w:val="part_2b922f3890ef4f80b86535f2cc120c88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ind w:firstLine="1123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922f3890ef4f80b86535f2cc120c8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Su vertintoju, išskyrus Švietimo skyriaus specialistus, sudaroma Savivaldybės neformaliojo vaikų švietimo teikėjų veiklos kokybės išorinio vertinimo paslaugų sutartis (toliau – Sutartis), kurios forma tvirtinama Savivaldybės mero potvarkiu.“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                                                 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59b8513397c4ff29c7f37173556f5b8"/>
            <w:lock w:val="sdtLocked"/>
            <w:richText/>
          </w:sdtPr>
          <w:sdtContent>
            <w:p>
              <w:pPr>
                <w:shd w:val="clear" w:color="auto" w:fill="FFFFFF"/>
                <w:ind w:firstLine="1123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59b8513397c4ff29c7f37173556f5b8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shd w:val="clear" w:color="auto" w:fill="FFFFFF"/>
                </w:rPr>
                <w:t xml:space="preserve">. Pakeisti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Šiaulių miesto savivaldybės tarybos 2022 m. vasario 3 d. sprendimo Nr. T-13 „</w:t>
              </w:r>
              <w:r>
                <w:rPr>
                  <w:rFonts w:eastAsia="Calibri"/>
                  <w:bCs/>
                  <w:szCs w:val="24"/>
                </w:rPr>
                <w:t>Dėl Šiaulių miesto savivaldybės neformaliojo vaikų švietimo teikėjų veiklos kokybės išorinio vertinimo ir apmokėjimo tvarkos aprašo patvirtinimo</w:t>
              </w:r>
              <w:r>
                <w:rPr>
                  <w:bCs/>
                  <w:szCs w:val="24"/>
                  <w:lang w:eastAsia="zh-CN"/>
                </w:rPr>
                <w:t>“ 2 punktą ir jį išdėstyti taip:</w:t>
              </w:r>
            </w:p>
            <w:sdt>
              <w:sdtPr>
                <w:alias w:val="citata"/>
                <w:tag w:val="part_1067b704a93f4cd4a437f974a4188ad6"/>
                <w:lock w:val="sdtLocked"/>
                <w:richText/>
              </w:sdtPr>
              <w:sdtContent>
                <w:sdt>
                  <w:sdtPr>
                    <w:alias w:val="2 p."/>
                    <w:tag w:val="part_3e70bb9384424084876c82b4a65689e3"/>
                    <w:lock w:val="sdtLocked"/>
                    <w:richText/>
                  </w:sdtPr>
                  <w:sdtContent>
                    <w:p>
                      <w:pPr>
                        <w:ind w:firstLine="1123"/>
                        <w:jc w:val="both"/>
                        <w:textAlignment w:val="baseline"/>
                        <w:rPr>
                          <w:rFonts w:eastAsia="Calibri"/>
                          <w:bCs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e70bb9384424084876c82b4a65689e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Įpareigoti Savivaldybės merą patvirtinti pavyzdinę Šiaulių miesto savivaldybės neformaliojo vaikų švietimo teikėjų veiklos kokybės išorinio vertinimo  paslaugos sutarties formą.“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b4cb098ef984debac3dedc58c486272"/>
            <w:lock w:val="sdtLocked"/>
            <w:richText/>
          </w:sdtPr>
          <w:sdtContent>
            <w:p>
              <w:pPr>
                <w:ind w:firstLine="1123"/>
                <w:jc w:val="both"/>
                <w:textAlignment w:val="baseline"/>
                <w:rPr>
                  <w:rFonts w:eastAsia="Calibri"/>
                  <w:bCs/>
                  <w:szCs w:val="24"/>
                </w:rPr>
              </w:pPr>
              <w:sdt>
                <w:sdtPr>
                  <w:alias w:val="Numeris"/>
                  <w:tag w:val="nr_db4cb098ef984debac3dedc58c486272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 Nustatyti, kad šis sprendimas, išskyrus 4 punktą, įsigalioja 2023 m. balandžio 1 d., o jo nuostatos pradedamos taikyti, kai naujai išrinkta 2023–2027 metų kadencijos Šiaulių miesto savivaldybės taryba susirenka į pirmąjį posėdį.</w:t>
              </w:r>
            </w:p>
          </w:sdtContent>
        </w:sdt>
        <w:sdt>
          <w:sdtPr>
            <w:alias w:val="4 p."/>
            <w:tag w:val="part_ae89f3cbbb754b299b7ccf602bf53fb1"/>
            <w:lock w:val="sdtLocked"/>
            <w:richText/>
          </w:sdtPr>
          <w:sdtContent>
            <w:p>
              <w:pPr>
                <w:ind w:firstLine="1123"/>
                <w:jc w:val="both"/>
                <w:textAlignment w:val="baseline"/>
                <w:rPr>
                  <w:rFonts w:ascii="Calibri" w:eastAsia="Calibri" w:hAnsi="Calibri"/>
                  <w:szCs w:val="24"/>
                </w:rPr>
              </w:pPr>
              <w:sdt>
                <w:sdtPr>
                  <w:alias w:val="Numeris"/>
                  <w:tag w:val="nr_ae89f3cbbb754b299b7ccf602bf53fb1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Įpareigoti Šiaulių miesto savivaldybės Tarybos ir mero sekretoriatą, paskelbus 2023–2027  metų kadencijos Šiaulių miesto savivaldybės tarybos susirinkimo datą, pranešti apie tai Teisės aktų registrui.</w:t>
              </w:r>
              <w:r>
                <w:rPr>
                  <w:rFonts w:ascii="Calibri" w:eastAsia="Calibri" w:hAnsi="Calibri"/>
                  <w:szCs w:val="24"/>
                </w:rPr>
                <w:tab/>
              </w:r>
            </w:p>
            <w:p>
              <w:pPr>
                <w:ind w:firstLine="2160"/>
                <w:jc w:val="both"/>
                <w:textAlignment w:val="baseline"/>
                <w:rPr>
                  <w:rFonts w:eastAsia="Calibri"/>
                  <w:bCs/>
                  <w:szCs w:val="24"/>
                </w:rPr>
              </w:pPr>
            </w:p>
            <w:p>
              <w:pPr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207066044514eac9a3f33ea98f55dee"/>
            <w:lock w:val="sdtLocked"/>
            <w:richText/>
          </w:sdtPr>
          <w:sdtContent>
            <w:p>
              <w:pPr>
                <w:jc w:val="both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  <w:tab/>
                <w:tab/>
                <w:tab/>
                <w:tab/>
              </w:r>
            </w:p>
          </w:sdtContent>
        </w:sdt>
      </w:sdtContent>
    </w:sdt>
    <w:sectPr>
      <w:headerReference w:type="default" r:id="rId6"/>
      <w:pgSz w:w="12240" w:h="15840"/>
      <w:pgMar w:top="1134" w:right="567" w:bottom="113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after="160" w:line="259" w:lineRule="auto"/>
      <w:jc w:val="right"/>
      <w:rPr>
        <w:rFonts w:eastAsia="Calibri"/>
        <w:b/>
        <w:szCs w:val="24"/>
      </w:rPr>
    </w:pPr>
    <w:r>
      <w:rPr>
        <w:rFonts w:eastAsia="Calibri"/>
        <w:b/>
        <w:szCs w:val="24"/>
      </w:rPr>
      <w:t>Projektas</w:t>
    </w:r>
  </w:p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0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35EF37B-D40F-4026-B037-62774CFE17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827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f96cabb1ea4fe489edbd1e64734051" PartId="86caff47031c49b0a7b4427662e451d2">
    <Part Type="punktas" Nr="1" Abbr="1 p." DocPartId="9e12257494bf453a86dd744c33167ec3" PartId="72ccbe901874467698f8af3c24a88917">
      <Part Type="papunktis" Nr="1.1" Abbr="1.1 pp." DocPartId="f5c086f0176e4437b904b0908ff679df" PartId="16697b27cfb2420ab71caeb593750ff5">
        <Part Type="citata" DocPartId="4a6f1fa8761a4f9e8e80ef9b048ce9a7" PartId="4207fbb7c8514895bd0e6365e9fded61">
          <Part Type="punktas" Nr="5" Abbr="5 p." DocPartId="c9f5923550ea48ad8e7bd4fd44fa35d3" PartId="6fe87fa9deaa4dab891d6b3e85a939e5"/>
        </Part>
      </Part>
      <Part Type="papunktis" Nr="1.2" Abbr="1.2 pp." DocPartId="39e539671ab2422d82b223324e654740" PartId="53e48eb87aeb46f8a37bc92cb6c6e8cf">
        <Part Type="citata" DocPartId="b37f333066ec499d84131859e4a40bbf" PartId="4ee6b85db0c949d189153ae3796d4067">
          <Part Type="punktas" Nr="13" Abbr="13 p." DocPartId="5d6b7ffa16a040f39b8f139935c267f2" PartId="929a31db732f45f0aa5798ef9040ea01"/>
        </Part>
      </Part>
      <Part Type="papunktis" Nr="1.3" Abbr="1.3 pp." DocPartId="61f3d2ed2b9b4177887a6a24c8197846" PartId="70f2d4381aa6488fa441f7fdbf9cc961">
        <Part Type="citata" DocPartId="4094cba70b484636992b2f5384e974d7" PartId="afe3d121cc9f4838ab139ab6e2f020cd">
          <Part Type="punktas" Nr="14" Abbr="14 p." DocPartId="3abbec138da04f15bea5a972a30638f6" PartId="2b922f3890ef4f80b86535f2cc120c88"/>
        </Part>
      </Part>
    </Part>
    <Part Type="punktas" Nr="2" Abbr="2 p." DocPartId="0130c1588b3042a892c0fe5bddd3137c" PartId="659b8513397c4ff29c7f37173556f5b8">
      <Part Type="citata" DocPartId="1760ee7e36d6408d8c9f3d5d00c450dc" PartId="1067b704a93f4cd4a437f974a4188ad6">
        <Part Type="punktas" Nr="2" Abbr="2 p." DocPartId="67e4c06e4ce844ce97858a20fa7ea88e" PartId="3e70bb9384424084876c82b4a65689e3"/>
      </Part>
    </Part>
    <Part Type="punktas" Nr="3" Abbr="3 p." DocPartId="2d6c7ca1cb1844ebb5a84cffddd5be1a" PartId="db4cb098ef984debac3dedc58c486272"/>
    <Part Type="punktas" Nr="4" Abbr="4 p." DocPartId="005da393b0ee4852a795e70c21cfdcd7" PartId="ae89f3cbbb754b299b7ccf602bf53fb1"/>
    <Part Type="signatura" DocPartId="173ed90d2fef49be8ac439446126f0bd" PartId="e207066044514eac9a3f33ea98f55dee"/>
  </Part>
</Parts>
</file>

<file path=customXml/itemProps1.xml><?xml version="1.0" encoding="utf-8"?>
<ds:datastoreItem xmlns:ds="http://schemas.openxmlformats.org/officeDocument/2006/customXml" ds:itemID="{524085F1-1E1B-4F09-BBD7-5588B6D5D3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362</Words>
  <Characters>2393</Characters>
  <Application>Microsoft Office Word</Application>
  <DocSecurity>4</DocSecurity>
  <Lines>46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2023-03-09T13:32:00Z</dcterms:created>
  <dc:creator>Simona Čerkesienė</dc:creator>
  <lastModifiedBy>adlibuser</lastModifiedBy>
  <dcterms:modified xsi:type="dcterms:W3CDTF">2023-03-09T13:32:00Z</dcterms:modified>
  <revision>2</revision>
</coreProperties>
</file>