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Next/>
        <w:ind w:firstLine="6386"/>
        <w:jc w:val="center"/>
        <w:rPr>
          <w:b/>
        </w:rPr>
      </w:pPr>
      <w:r>
        <w:rPr>
          <w:b/>
        </w:rPr>
        <w:t>Projektas</w:t>
      </w:r>
    </w:p>
    <w:p>
      <w:pPr>
        <w:jc w:val="right"/>
        <w:rPr>
          <w:b/>
        </w:rPr>
      </w:pPr>
    </w:p>
    <w:p>
      <w:pPr>
        <w:jc w:val="center"/>
        <w:rPr>
          <w:b/>
        </w:rPr>
      </w:pPr>
      <w:r>
        <w:rPr>
          <w:b/>
        </w:rPr>
        <w:t xml:space="preserve">LIETUVOS RESPUBLIKOS VALSTYBĖS POLITIKŲ, TEISĖJŲ IR VALSTYBĖS PAREIGŪNŲ DARBO APMOKĖJIMO ĮSTATYMO </w:t>
      </w:r>
    </w:p>
    <w:p>
      <w:pPr>
        <w:jc w:val="center"/>
        <w:rPr>
          <w:b/>
        </w:rPr>
      </w:pPr>
      <w:r>
        <w:rPr>
          <w:b/>
        </w:rPr>
        <w:t xml:space="preserve">3 ir 6 STRAIPSNIŲ PAKEITIMO IR ĮSTATYMO PRIEDĖLIO </w:t>
      </w:r>
    </w:p>
    <w:p>
      <w:pPr>
        <w:jc w:val="center"/>
        <w:rPr>
          <w:b/>
        </w:rPr>
      </w:pPr>
      <w:r>
        <w:rPr>
          <w:b/>
        </w:rPr>
        <w:t>PAKEITIMO IR PAPILDYMO</w:t>
      </w:r>
    </w:p>
    <w:p>
      <w:pPr>
        <w:jc w:val="center"/>
        <w:rPr>
          <w:b/>
        </w:rPr>
      </w:pPr>
      <w:r>
        <w:rPr>
          <w:b/>
        </w:rPr>
        <w:t>ĮSTATYMAS</w:t>
      </w:r>
    </w:p>
    <w:p>
      <w:pPr>
        <w:jc w:val="center"/>
        <w:rPr>
          <w:b/>
        </w:rPr>
      </w:pPr>
    </w:p>
    <w:p>
      <w:pPr>
        <w:jc w:val="center"/>
      </w:pPr>
      <w:r>
        <w:t xml:space="preserve">2002 m.        d. Nr.</w:t>
      </w:r>
    </w:p>
    <w:p>
      <w:pPr>
        <w:jc w:val="center"/>
      </w:pPr>
      <w:r>
        <w:t>Vilnius</w:t>
      </w:r>
    </w:p>
    <w:p>
      <w:pPr>
        <w:jc w:val="center"/>
      </w:pPr>
    </w:p>
    <w:p>
      <w:pPr>
        <w:jc w:val="center"/>
      </w:pPr>
      <w:r>
        <w:t xml:space="preserve">(Žin., 2000, Nr. </w:t>
      </w:r>
      <w:fldSimple w:instr="HYPERLINK https://www.e-tar.lt/portal/legalAct.html?documentId=TAIS.107743 \t _blank">
        <w:r>
          <w:rPr>
            <w:u w:val="single"/>
            <w:color w:val="0000FF" w:themeColor="hyperlink"/>
          </w:rPr>
          <w:t>75-2271</w:t>
        </w:r>
      </w:fldSimple>
      <w:r>
        <w:t xml:space="preserve">, Nr. </w:t>
      </w:r>
      <w:fldSimple w:instr="HYPERLINK https://www.e-tar.lt/portal/legalAct.html?documentId=TAIS.112004 \t _blank">
        <w:r>
          <w:rPr>
            <w:u w:val="single"/>
            <w:color w:val="0000FF" w:themeColor="hyperlink"/>
          </w:rPr>
          <w:t>92-2887</w:t>
        </w:r>
      </w:fldSimple>
      <w:r>
        <w:t xml:space="preserve">; 2001, Nr. </w:t>
      </w:r>
      <w:fldSimple w:instr="HYPERLINK https://www.e-tar.lt/portal/legalAct.html?documentId=TAIS.133559 \t _blank">
        <w:r>
          <w:rPr>
            <w:u w:val="single"/>
            <w:color w:val="0000FF" w:themeColor="hyperlink"/>
          </w:rPr>
          <w:t>43-1492</w:t>
        </w:r>
      </w:fldSimple>
      <w:r>
        <w:t xml:space="preserve">, Nr. </w:t>
      </w:r>
      <w:fldSimple w:instr="HYPERLINK https://www.e-tar.lt/portal/legalAct.html?documentId=TAIS.136161 \t _blank">
        <w:r>
          <w:rPr>
            <w:u w:val="single"/>
            <w:color w:val="0000FF" w:themeColor="hyperlink"/>
          </w:rPr>
          <w:t>48-1661</w:t>
        </w:r>
      </w:fldSimple>
      <w:r>
        <w:t xml:space="preserve">; 2002, Nr. </w:t>
      </w:r>
      <w:fldSimple w:instr="HYPERLINK https://www.e-tar.lt/portal/legalAct.html?documentId=TAIS.163975 \t _blank">
        <w:r>
          <w:rPr>
            <w:u w:val="single"/>
            <w:color w:val="0000FF" w:themeColor="hyperlink"/>
          </w:rPr>
          <w:t>38-1358</w:t>
        </w:r>
      </w:fldSimple>
      <w:r>
        <w:t xml:space="preserve">, Nr. </w:t>
      </w:r>
      <w:fldSimple w:instr="HYPERLINK https://www.e-tar.lt/portal/legalAct.html?documentId=TAIS.165033 \t _blank">
        <w:r>
          <w:rPr>
            <w:u w:val="single"/>
            <w:color w:val="0000FF" w:themeColor="hyperlink"/>
          </w:rPr>
          <w:t>43-1606</w:t>
        </w:r>
      </w:fldSimple>
      <w:r>
        <w:t>)</w:t>
      </w:r>
    </w:p>
    <w:p>
      <w:pPr>
        <w:ind w:firstLine="62"/>
        <w:jc w:val="both"/>
      </w:pPr>
    </w:p>
    <w:p>
      <w:pPr>
        <w:ind w:firstLine="1502"/>
        <w:jc w:val="both"/>
      </w:pPr>
    </w:p>
    <w:p>
      <w:pPr>
        <w:ind w:firstLine="720"/>
        <w:jc w:val="both"/>
        <w:rPr>
          <w:b/>
        </w:rPr>
      </w:pPr>
      <w:r>
        <w:rPr>
          <w:b/>
        </w:rPr>
        <w:t>1straipsnis. 3 straipsnio 1 ir 2 dalių pakeitimas</w:t>
      </w:r>
    </w:p>
    <w:p>
      <w:pPr>
        <w:ind w:firstLine="720"/>
        <w:jc w:val="both"/>
      </w:pPr>
      <w:r>
        <w:t>1</w:t>
      </w:r>
      <w:r>
        <w:t>.</w:t>
      </w:r>
      <w:r>
        <w:rPr>
          <w:b/>
        </w:rPr>
        <w:t xml:space="preserve"> </w:t>
      </w:r>
      <w:r>
        <w:t>Pakeisti 3 straipsnio 1 dalį ir ją išdėstyti taip:</w:t>
      </w:r>
    </w:p>
    <w:p>
      <w:pPr>
        <w:ind w:firstLine="744"/>
        <w:jc w:val="both"/>
      </w:pPr>
      <w:r>
        <w:t>“</w:t>
      </w:r>
      <w:r>
        <w:t>1</w:t>
      </w:r>
      <w:r>
        <w:t>. Valstybės politikų ir teisėjų</w:t>
      </w:r>
      <w:r>
        <w:rPr>
          <w:b/>
        </w:rPr>
        <w:t xml:space="preserve"> </w:t>
      </w:r>
      <w:r>
        <w:t>darbo užmokestis susideda iš:</w:t>
      </w:r>
    </w:p>
    <w:p>
      <w:pPr>
        <w:tabs>
          <w:tab w:val="left" w:pos="1080"/>
        </w:tabs>
        <w:ind w:left="1080" w:hanging="360"/>
        <w:jc w:val="both"/>
      </w:pPr>
      <w:r>
        <w:t>1</w:t>
      </w:r>
      <w:r>
        <w:t>)</w:t>
        <w:tab/>
        <w:t>pareiginės algos;</w:t>
      </w:r>
    </w:p>
    <w:p>
      <w:pPr>
        <w:tabs>
          <w:tab w:val="left" w:pos="1080"/>
        </w:tabs>
        <w:ind w:left="1080" w:hanging="360"/>
        <w:jc w:val="both"/>
      </w:pPr>
      <w:r>
        <w:t>2</w:t>
      </w:r>
      <w:r>
        <w:t>)</w:t>
        <w:tab/>
        <w:t>priedo už ištarnautus Lietuvos valstybei metus.”</w:t>
      </w:r>
    </w:p>
    <w:p>
      <w:pPr>
        <w:ind w:firstLine="744"/>
        <w:jc w:val="both"/>
      </w:pPr>
      <w:r>
        <w:t>2</w:t>
      </w:r>
      <w:r>
        <w:t>. Pakeisti 3 straipsnio 2 dalį ir ją išdėstyti taip:</w:t>
      </w:r>
    </w:p>
    <w:p>
      <w:pPr>
        <w:ind w:firstLine="720"/>
        <w:jc w:val="both"/>
      </w:pPr>
      <w:r>
        <w:t>“</w:t>
      </w:r>
      <w:r>
        <w:t>2</w:t>
      </w:r>
      <w:r>
        <w:t>. Valstybės pareigūnų darbo užmokestis susideda iš:</w:t>
      </w:r>
    </w:p>
    <w:p>
      <w:pPr>
        <w:tabs>
          <w:tab w:val="left" w:pos="1080"/>
        </w:tabs>
        <w:ind w:left="1080" w:hanging="360"/>
        <w:jc w:val="both"/>
      </w:pPr>
      <w:r>
        <w:t>1</w:t>
      </w:r>
      <w:r>
        <w:t>)</w:t>
        <w:tab/>
        <w:t>pareiginės algos;</w:t>
      </w:r>
    </w:p>
    <w:p>
      <w:pPr>
        <w:tabs>
          <w:tab w:val="left" w:pos="1080"/>
        </w:tabs>
        <w:ind w:left="1080" w:hanging="360"/>
        <w:jc w:val="both"/>
      </w:pPr>
      <w:r>
        <w:t>2</w:t>
      </w:r>
      <w:r>
        <w:t>)</w:t>
        <w:tab/>
        <w:t>priedo už ištarnautus Lietuvos valstybei metus;</w:t>
      </w:r>
    </w:p>
    <w:p>
      <w:pPr>
        <w:tabs>
          <w:tab w:val="left" w:pos="1080"/>
        </w:tabs>
        <w:ind w:left="1080" w:hanging="360"/>
        <w:jc w:val="both"/>
      </w:pPr>
      <w:r>
        <w:t>3</w:t>
      </w:r>
      <w:r>
        <w:t>)</w:t>
        <w:tab/>
        <w:t>vienkartinės priemokos.”</w:t>
      </w:r>
    </w:p>
    <w:p>
      <w:pPr>
        <w:jc w:val="both"/>
      </w:pPr>
    </w:p>
    <w:p>
      <w:pPr>
        <w:ind w:firstLine="720"/>
        <w:jc w:val="both"/>
        <w:rPr>
          <w:b/>
        </w:rPr>
      </w:pPr>
      <w:r>
        <w:rPr>
          <w:b/>
        </w:rPr>
        <w:t>2straipsnis. 6 straipsnio pakeitimas</w:t>
      </w:r>
    </w:p>
    <w:p>
      <w:pPr>
        <w:ind w:firstLine="720"/>
        <w:jc w:val="both"/>
      </w:pPr>
      <w:r>
        <w:t>6 straipsnio 1 dalyje išbraukti žodžius “Teisėjams ir”, “teisėjų ar”, “teisėjas ar”, 2 dalyje išbraukti žodžius “teisėjų ir” ir šį straipsnį išdėstyti taip:</w:t>
      </w:r>
    </w:p>
    <w:p>
      <w:pPr>
        <w:suppressAutoHyphens/>
        <w:ind w:firstLine="720"/>
        <w:jc w:val="both"/>
        <w:rPr>
          <w:b/>
          <w:lang w:val="en-US"/>
        </w:rPr>
      </w:pPr>
      <w:r>
        <w:rPr>
          <w:b/>
        </w:rPr>
        <w:t>“</w:t>
      </w:r>
      <w:r>
        <w:rPr>
          <w:b/>
          <w:lang w:val="en-US"/>
        </w:rPr>
        <w:t>6 straipsnis. Vienkartinė priemoka</w:t>
      </w:r>
    </w:p>
    <w:p>
      <w:pPr>
        <w:ind w:firstLine="782"/>
        <w:jc w:val="both"/>
      </w:pPr>
      <w:r>
        <w:t>1. Valstybės pareigūnams metų pabaigoje už viršvalandinį darbą, darbą poilsio ir švenčių dienomis išmokama ne didesnė kaip pareiginės algos dydžio vienkartinė priemoka. Ji mokama neviršijant valstybės pareigūnų darbo užmokesčiui teisės aktų nustatyta tvarka skirtų lėšų. Jeigu šių lėšų nepakanka, taip pat jei valstybės pareigūnas institucijoje nėra išdirbęs visų metų, priemokos dydis perskaičiuojamas proporcingai esamoms darbo užmokesčio lėšoms ir dirbtam laikui tais metais.</w:t>
      </w:r>
    </w:p>
    <w:p>
      <w:pPr>
        <w:ind w:firstLine="782"/>
        <w:jc w:val="both"/>
      </w:pPr>
      <w:r>
        <w:t>2. Institucijų teisės aktuose (statutuose, nuostatuose), reglamentuojančiuose valstybės pareigūnų darbą, atsižvelgiant į šio straipsnio nuostatas sukonkretinamos šio straipsnio 1 dalyje nurodytų priemokų dydžių nustatymo ir išmokėjimo sąlygos bei tvarka.”</w:t>
      </w:r>
    </w:p>
    <w:p>
      <w:pPr>
        <w:jc w:val="both"/>
      </w:pPr>
    </w:p>
    <w:p>
      <w:pPr>
        <w:ind w:left="1985" w:hanging="1265"/>
        <w:jc w:val="both"/>
        <w:rPr>
          <w:b/>
        </w:rPr>
      </w:pPr>
      <w:r>
        <w:rPr>
          <w:b/>
        </w:rPr>
        <w:t>3straipsnis. Įstatymo priedėlio pakeitimas ir papildymas</w:t>
      </w:r>
    </w:p>
    <w:p>
      <w:pPr>
        <w:ind w:firstLine="720"/>
        <w:jc w:val="both"/>
      </w:pPr>
      <w:r>
        <w:t>Papildyti Įstatymo priedėlio IV skirsnį 12 punktu:</w:t>
      </w:r>
    </w:p>
    <w:p>
      <w:pPr>
        <w:tabs>
          <w:tab w:val="left" w:pos="1418"/>
        </w:tabs>
        <w:ind w:firstLine="744"/>
        <w:jc w:val="both"/>
      </w:pPr>
      <w:r>
        <w:t>“12. Mokestinių ginčų komisijos prie Lietuvos Respublikos Vyriausybės:</w:t>
      </w:r>
    </w:p>
    <w:p>
      <w:pPr>
        <w:tabs>
          <w:tab w:val="left" w:pos="1418"/>
        </w:tabs>
        <w:ind w:firstLine="806"/>
        <w:jc w:val="both"/>
      </w:pPr>
      <w:r>
        <w:t xml:space="preserve">12.1.   Pirmininkas                12</w:t>
      </w:r>
    </w:p>
    <w:p>
      <w:pPr>
        <w:tabs>
          <w:tab w:val="left" w:pos="1418"/>
        </w:tabs>
        <w:ind w:firstLine="806"/>
        <w:jc w:val="both"/>
      </w:pPr>
      <w:r>
        <w:t xml:space="preserve">12.2.   Nariai                          9,5”</w:t>
      </w:r>
    </w:p>
    <w:p>
      <w:pPr>
        <w:ind w:firstLine="806"/>
        <w:jc w:val="both"/>
        <w:rPr>
          <w:b/>
        </w:rPr>
      </w:pPr>
    </w:p>
    <w:p>
      <w:pPr>
        <w:ind w:firstLine="720"/>
        <w:jc w:val="both"/>
        <w:rPr>
          <w:b/>
        </w:rPr>
      </w:pPr>
      <w:r>
        <w:rPr>
          <w:b/>
        </w:rPr>
        <w:t>4straipsnis. Įstatymo įsigaliojimo tvarka</w:t>
      </w:r>
    </w:p>
    <w:p>
      <w:pPr>
        <w:ind w:firstLine="744"/>
        <w:jc w:val="both"/>
      </w:pPr>
      <w:r>
        <w:t xml:space="preserve">Teisėjams priklausanti vienkartinė priemoka už pareigų po darbo valandų, poilsio ir švenčių dienomis atlikimą iki 2002 m. gegužės 1 d. apskaičiuojama proporcingai dirbtam laikui ir  išmokama po šio Įstatymo įsigaliojimo.</w:t>
      </w:r>
    </w:p>
    <w:p>
      <w:pPr>
        <w:ind w:firstLine="720"/>
        <w:jc w:val="both"/>
      </w:pPr>
    </w:p>
    <w:p>
      <w:pPr>
        <w:ind w:firstLine="720"/>
        <w:jc w:val="both"/>
        <w:rPr>
          <w:i/>
        </w:rPr>
      </w:pPr>
      <w:r>
        <w:rPr>
          <w:i/>
        </w:rPr>
        <w:t>Skelbiu šį Lietuvos Respublikos Seimo priimtą įstatymą.</w:t>
      </w:r>
    </w:p>
    <w:p>
      <w:pPr>
        <w:ind w:firstLine="720"/>
        <w:jc w:val="both"/>
        <w:rPr>
          <w:i/>
        </w:rPr>
      </w:pPr>
    </w:p>
    <w:p>
      <w:pPr>
        <w:ind w:firstLine="720"/>
        <w:jc w:val="both"/>
        <w:rPr>
          <w:i/>
        </w:rPr>
      </w:pPr>
    </w:p>
    <w:p>
      <w:pPr>
        <w:keepNext/>
        <w:jc w:val="both"/>
        <w:outlineLvl w:val="1"/>
      </w:pPr>
      <w:r>
        <w:t xml:space="preserve">RESPUBLIKOS PREZIDENTAS </w:t>
      </w:r>
    </w:p>
    <w:p>
      <w:pPr>
        <w:rPr>
          <w:b/>
        </w:rPr>
      </w:pPr>
    </w:p>
    <w:p>
      <w:pPr>
        <w:rPr>
          <w:sz w:val="20"/>
        </w:rPr>
      </w:pPr>
    </w:p>
    <w:sectPr>
      <w:pgSz w:w="11906" w:h="16838"/>
      <w:pgMar w:top="851" w:right="851" w:bottom="851" w:left="851" w:header="720" w:footer="720" w:gutter="0"/>
      <w:cols w:space="72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0"/>
          <w:lang w:val="en-US"/>
        </w:rPr>
      </w:pPr>
      <w:r>
        <w:rPr>
          <w:sz w:val="20"/>
          <w:lang w:val="en-US"/>
        </w:rPr>
        <w:separator/>
      </w:r>
    </w:p>
  </w:endnote>
  <w:endnote w:type="continuationSeparator" w:id="0">
    <w:p>
      <w:pPr>
        <w:rPr>
          <w:sz w:val="20"/>
          <w:lang w:val="en-US"/>
        </w:rPr>
      </w:pPr>
      <w:r>
        <w:rPr>
          <w:sz w:val="20"/>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0"/>
          <w:lang w:val="en-US"/>
        </w:rPr>
      </w:pPr>
      <w:r>
        <w:rPr>
          <w:sz w:val="20"/>
          <w:lang w:val="en-US"/>
        </w:rPr>
        <w:separator/>
      </w:r>
    </w:p>
  </w:footnote>
  <w:footnote w:type="continuationSeparator" w:id="0">
    <w:p>
      <w:pPr>
        <w:rPr>
          <w:sz w:val="20"/>
          <w:lang w:val="en-US"/>
        </w:rPr>
      </w:pPr>
      <w:r>
        <w:rPr>
          <w:sz w:val="20"/>
          <w:lang w:val="en-US"/>
        </w:rP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2046</Characters>
  <Application>Microsoft Office Word</Application>
  <DocSecurity>4</DocSecurity>
  <Lines>56</Lines>
  <Paragraphs>37</Paragraphs>
  <ScaleCrop>false</ScaleCrop>
  <HeadingPairs>
    <vt:vector size="2" baseType="variant">
      <vt:variant>
        <vt:lpstr>Title</vt:lpstr>
      </vt:variant>
      <vt:variant>
        <vt:i4>1</vt:i4>
      </vt:variant>
    </vt:vector>
  </HeadingPairs>
  <TitlesOfParts>
    <vt:vector size="1" baseType="lpstr">
      <vt:lpstr>                                                                                                       Projekto </vt:lpstr>
    </vt:vector>
  </TitlesOfParts>
  <Manager/>
  <Company>soc. apsaugos ir darbo min</Company>
  <LinksUpToDate>false</LinksUpToDate>
  <CharactersWithSpaces>2322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2017-04-17T09:54:00Z</dcterms:created>
  <dc:creator>RitaZ</dc:creator>
  <dc:description>_x000d_Dokumentas koreguotas UAB Fotonija 'Korektoriumi' v. 1.1 2002.06.14 15:25:58</dc:description>
  <lastModifiedBy>adlibuser</lastModifiedBy>
  <lastPrinted>2002-06-25T05:06:00Z</lastPrinted>
  <dcterms:modified xsi:type="dcterms:W3CDTF">2017-04-17T09:54:00Z</dcterms:modified>
  <revision>2</revision>
  <dc:title>Projekto</dc:title>
</coreProperties>
</file>