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a469949ce094a0d8d19ff184db93209"/>
        <w:lock w:val="sdtLocked"/>
        <w:richText/>
      </w:sdtPr>
      <w:sdtContent>
        <w:p>
          <w:pPr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spacing w:line="200" w:lineRule="atLeast"/>
            <w:jc w:val="center"/>
            <w:rPr>
              <w:rFonts w:cs="Tahoma"/>
              <w:b/>
              <w:bCs/>
              <w:lang w:eastAsia="lt-LT"/>
            </w:rPr>
          </w:pPr>
          <w:r>
            <w:rPr>
              <w:b/>
              <w:caps/>
              <w:lang w:eastAsia="lt-LT"/>
            </w:rPr>
            <w:t>DĖL</w:t>
          </w:r>
          <w:r>
            <w:rPr>
              <w:rFonts w:cs="Tahoma"/>
              <w:b/>
              <w:bCs/>
              <w:lang w:eastAsia="lt-LT"/>
            </w:rPr>
            <w:t xml:space="preserve"> LIETUVOS RESPUBLIKOS VYRIAUSYBĖS </w:t>
          </w:r>
          <w:r>
            <w:rPr>
              <w:rFonts w:ascii="Times New Roman Bold" w:hAnsi="Times New Roman Bold" w:cs="Tahoma"/>
              <w:b/>
              <w:bCs/>
              <w:caps/>
              <w:kern w:val="24"/>
              <w:lang w:eastAsia="lt-LT"/>
            </w:rPr>
            <w:t>2006 m. lapkričio 24 d.</w:t>
          </w:r>
          <w:r>
            <w:rPr>
              <w:rFonts w:cs="Tahoma"/>
              <w:b/>
              <w:bCs/>
              <w:lang w:eastAsia="lt-LT"/>
            </w:rPr>
            <w:t xml:space="preserve"> NUTARIMO </w:t>
          </w:r>
          <w:r>
            <w:rPr>
              <w:rFonts w:ascii="Times New Roman Bold" w:hAnsi="Times New Roman Bold" w:cs="Tahoma"/>
              <w:b/>
              <w:bCs/>
              <w:caps/>
              <w:kern w:val="24"/>
              <w:lang w:eastAsia="lt-LT"/>
            </w:rPr>
            <w:t>Nr.</w:t>
          </w:r>
          <w:r>
            <w:rPr>
              <w:rFonts w:cs="Tahoma"/>
              <w:b/>
              <w:bCs/>
              <w:lang w:eastAsia="lt-LT"/>
            </w:rPr>
            <w:t xml:space="preserve"> 1168 „DĖL APMOKESTINAMŲJŲ GAMINIŲ IR PAKUOČIŲ ATLIEKŲ NAUDOJIMO IR (AR) PERDIRBIMO UŽDUOČIŲ PATVIRTINIMO“ PAKEITIMO</w:t>
          </w:r>
        </w:p>
        <w:p>
          <w:pPr>
            <w:rPr>
              <w:sz w:val="10"/>
              <w:szCs w:val="10"/>
            </w:rPr>
          </w:pPr>
        </w:p>
        <w:p>
          <w:pPr>
            <w:spacing w:line="200" w:lineRule="atLeast"/>
            <w:jc w:val="center"/>
            <w:rPr>
              <w:rFonts w:cs="Tahoma"/>
              <w:b/>
              <w:bCs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           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cdbc1c75618a4cb493672dc77b2fbbe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 :</w:t>
              </w:r>
            </w:p>
          </w:sdtContent>
        </w:sdt>
        <w:sdt>
          <w:sdtPr>
            <w:alias w:val="pastraipa"/>
            <w:tag w:val="part_8450231c3db749bc8321331abc928e1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Pakeisti </w:t>
              </w:r>
              <w:r>
                <w:rPr>
                  <w:lang w:eastAsia="ar-SA"/>
                </w:rPr>
                <w:t xml:space="preserve">Lietuvos Respublikos Vyriausybės 2006 m. lapkričio 24 d. nutarimą Nr. 1168 </w:t>
              </w:r>
              <w:r>
                <w:rPr>
                  <w:lang w:eastAsia="lt-LT"/>
                </w:rPr>
                <w:t>„Dėl apmokestinamųjų gaminių ir pakuočių atliekų naudojimo ir (ar) perdirbimo užduočių patvirtinimo“ ir išdėstyti jį nauja redakcija:</w:t>
              </w:r>
            </w:p>
            <w:sdt>
              <w:sdtPr>
                <w:alias w:val="citata"/>
                <w:tag w:val="part_edf5b0b5075a4bf99655a803186c1042"/>
                <w:lock w:val="sdtLocked"/>
                <w:richText/>
              </w:sdtPr>
              <w:sdtContent>
                <w:sdt>
                  <w:sdtPr>
                    <w:alias w:val="pagrindine"/>
                    <w:tag w:val="part_2d7dcbc7ca9f44eaa9f008621df2f6cc"/>
                    <w:lock w:val="sdtLocked"/>
                    <w:richText/>
                  </w:sdtPr>
                  <w:sdtContent>
                    <w:p>
                      <w:pPr>
                        <w:jc w:val="center"/>
                        <w:rPr>
                          <w:b/>
                          <w:bCs/>
                          <w:lang w:eastAsia="lt-LT"/>
                        </w:rPr>
                      </w:pPr>
                      <w:r>
                        <w:rPr>
                          <w:bCs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lang w:eastAsia="lt-LT"/>
                        </w:rPr>
                        <w:t>LIETUVOS RESPUBLIKOS VYRIAUSYBĖ</w:t>
                      </w:r>
                    </w:p>
                    <w:p>
                      <w:pPr>
                        <w:jc w:val="center"/>
                        <w:rPr>
                          <w:b/>
                          <w:bCs/>
                          <w:lang w:eastAsia="lt-LT"/>
                        </w:rPr>
                      </w:pPr>
                    </w:p>
                    <w:p>
                      <w:pPr>
                        <w:jc w:val="center"/>
                        <w:rPr>
                          <w:b/>
                          <w:bCs/>
                          <w:lang w:eastAsia="lt-LT"/>
                        </w:rPr>
                      </w:pPr>
                      <w:r>
                        <w:rPr>
                          <w:b/>
                          <w:bCs/>
                          <w:lang w:eastAsia="lt-LT"/>
                        </w:rPr>
                        <w:t>NUTARIMAS</w:t>
                      </w:r>
                    </w:p>
                    <w:p>
                      <w:pPr>
                        <w:jc w:val="center"/>
                        <w:rPr>
                          <w:rFonts w:cs="Tahoma"/>
                          <w:b/>
                          <w:bCs/>
                          <w:lang w:eastAsia="lt-LT"/>
                        </w:rPr>
                      </w:pPr>
                      <w:r>
                        <w:rPr>
                          <w:rFonts w:cs="Tahoma"/>
                          <w:b/>
                          <w:bCs/>
                          <w:lang w:eastAsia="lt-LT"/>
                        </w:rPr>
                        <w:t>DĖL GAMINIŲ IR PAKUOČIŲ ATLIEKŲ NAUDOJIMO IR (AR) PERDIRBIMO UŽDUOČIŲ PATVIRTINIMO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p>
                      <w:pPr>
                        <w:jc w:val="both"/>
                        <w:rPr>
                          <w:lang w:eastAsia="lt-LT"/>
                        </w:rPr>
                      </w:pP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sdt>
                      <w:sdtPr>
                        <w:alias w:val="preambule"/>
                        <w:tag w:val="part_1c526d73cfa048b0a0e851f06eeb41e3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pacing w:val="80"/>
                              <w:kern w:val="24"/>
                              <w:lang w:eastAsia="ar-SA"/>
                            </w:rPr>
                          </w:pPr>
                          <w:r>
                            <w:rPr>
                              <w:lang w:eastAsia="ar-SA"/>
                            </w:rPr>
                            <w:t xml:space="preserve">Vadovaudamasi Lietuvos </w:t>
                          </w:r>
                          <w:r>
                            <w:rPr>
                              <w:lang w:eastAsia="lt-LT"/>
                            </w:rPr>
                            <w:t>Respublikos atliekų tvarkymo įstatymo 34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15</w:t>
                          </w:r>
                          <w:r>
                            <w:rPr>
                              <w:lang w:eastAsia="lt-LT"/>
                            </w:rPr>
                            <w:t xml:space="preserve"> straipsnio 17 dalimi, 34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18</w:t>
                          </w:r>
                          <w:r>
                            <w:rPr>
                              <w:lang w:eastAsia="lt-LT"/>
                            </w:rPr>
                            <w:t xml:space="preserve"> straipsnio 7 dalimi, </w:t>
                          </w:r>
                          <w:r>
                            <w:rPr>
                              <w:lang w:eastAsia="ar-SA"/>
                            </w:rPr>
                            <w:t xml:space="preserve">Lietuvos </w:t>
                          </w:r>
                          <w:r>
                            <w:rPr>
                              <w:lang w:eastAsia="lt-LT"/>
                            </w:rPr>
                            <w:t xml:space="preserve">Respublikos pakuočių ir pakuočių atliekų tvarkymo įstatymo 7 straipsnio 3 dalimi, </w:t>
                          </w:r>
                          <w:r>
                            <w:rPr>
                              <w:lang w:eastAsia="ar-SA"/>
                            </w:rPr>
                            <w:t xml:space="preserve">Lietuvos </w:t>
                          </w:r>
                          <w:r>
                            <w:rPr>
                              <w:lang w:eastAsia="lt-LT"/>
                            </w:rPr>
                            <w:t xml:space="preserve">Respublikos mokesčio už aplinkos teršimą įstatymo 6 straipsnio 4 dalimi ir įgyvendindama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1994 m. gruodžio 20 d. Europos Parlamento ir Tarybos direktyvą 94/62/EB dėl pakuočių ir pakuočių atliekų su paskutiniais pakeitimais, padarytais 2018 m. gegužės 30 d. </w:t>
                          </w:r>
                          <w:r>
                            <w:rPr>
                              <w:lang w:eastAsia="lt-LT"/>
                            </w:rPr>
                            <w:t xml:space="preserve">Europos Parlamento ir Tarybos direktyva (ES) 2018/852, </w:t>
                          </w:r>
                          <w:r>
                            <w:rPr>
                              <w:lang w:eastAsia="ar-SA"/>
                            </w:rPr>
                            <w:t>2006 m. rugsėjo 6 d. Europos Parlamento ir Tarybos direktyvą 2006/66/EB dėl baterijų ir akumuliatorių bei baterijų ir akumuliatorių atliekų ir Direktyvos 91/157/EEB panaikinimo</w:t>
                          </w:r>
                          <w:r>
                            <w:rPr>
                              <w:lang w:eastAsia="lt-LT"/>
                            </w:rPr>
                            <w:t xml:space="preserve"> su paskutiniais pakeitimais, padarytais 2018 m. gegužės 30 d. </w:t>
                          </w:r>
                          <w:r>
                            <w:rPr>
                              <w:lang w:eastAsia="ar-SA"/>
                            </w:rPr>
                            <w:t>Europos Parlamento ir Tarybos direktyva</w:t>
                          </w:r>
                          <w:r>
                            <w:rPr>
                              <w:lang w:eastAsia="lt-LT"/>
                            </w:rPr>
                            <w:t xml:space="preserve"> (ES) 2018/849,</w:t>
                          </w:r>
                          <w:r>
                            <w:rPr>
                              <w:lang w:eastAsia="ar-SA"/>
                            </w:rPr>
                            <w:t xml:space="preserve"> Lietuvos Respublikos Vyriausybė </w:t>
                          </w:r>
                          <w:r>
                            <w:rPr>
                              <w:spacing w:val="80"/>
                              <w:kern w:val="24"/>
                              <w:lang w:eastAsia="ar-SA"/>
                            </w:rPr>
                            <w:t>nutaria: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95f2f948d176450eb9b5c8ffd7ff6192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5f2f948d176450eb9b5c8ffd7ff619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ar-SA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ar-SA"/>
                            </w:rPr>
                            <w:t xml:space="preserve">. patvirtinti </w:t>
                          </w:r>
                          <w:r>
                            <w:rPr>
                              <w:lang w:eastAsia="lt-LT"/>
                            </w:rPr>
                            <w:t>gaminių ir pakuočių atliekų naudojimo ir (ar) perdirbimo užduotis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ad78050cfb4a4b7185f940cf19741496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 w:val="20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d78050cfb4a4b7185f940cf1974149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gamintojams ir importuotojams, gaminių pripildytas pakuotes sunaudojantiems savoms reikmėms ir pakuočių atliekas tvarkantiems individualiai, 2021 kalendoriniais metais taikyti ne mažiau kaip 80 procentų, </w:t>
                          </w:r>
                          <w:r>
                            <w:rPr>
                              <w:bCs/>
                              <w:lang w:eastAsia="lt-LT"/>
                            </w:rPr>
                            <w:t>2022 kalendoriniais metais ir kitais einamaisiais kalendoriniais metais</w:t>
                          </w:r>
                          <w:r>
                            <w:rPr>
                              <w:lang w:eastAsia="lt-LT"/>
                            </w:rPr>
                            <w:t xml:space="preserve"> taikyti ne mažiau kaip 85 procentų pakuočių, sunaudotų savoms reikmėms, atliekų sutvarkymo užduotį (atsižvelgiant į sunaudotą savoms reikmėms pakuočių kiekį), užtikrinant, kad sutvarkytų savoms reikmėms sunaudotų pakuočių atliekų perdirbimo lygis bus ne mažesnis už nurodytą gaminių ir pakuočių atliekų naudojimo ir (ar) perdirbimo užduočių 6–1</w:t>
                          </w:r>
                          <w:r>
                            <w:rPr>
                              <w:lang w:val="en-US" w:eastAsia="lt-LT"/>
                            </w:rPr>
                            <w:t>6</w:t>
                          </w:r>
                          <w:r>
                            <w:rPr>
                              <w:lang w:eastAsia="lt-LT"/>
                            </w:rPr>
                            <w:t xml:space="preserve"> punktuose.</w:t>
                          </w:r>
                          <w:r>
                            <w:rPr>
                              <w:sz w:val="20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03b39abff3343c49f1c2b1fef9b58a7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  <w:tab/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  <w:tab/>
              </w:r>
            </w:p>
            <w:p>
              <w:pPr>
                <w:rPr>
                  <w:lang w:eastAsia="ar-SA"/>
                </w:rPr>
              </w:pPr>
            </w:p>
            <w:p>
              <w:pPr>
                <w:rPr>
                  <w:lang w:eastAsia="ar-SA"/>
                </w:rPr>
                <w:sectPr>
                  <w:headerReference w:type="even" r:id="rId8"/>
                  <w:headerReference w:type="default" r:id="rId9"/>
                  <w:footerReference w:type="even" r:id="rId10"/>
                  <w:footerReference w:type="default" r:id="rId11"/>
                  <w:headerReference w:type="first" r:id="rId12"/>
                  <w:footerReference w:type="first" r:id="rId13"/>
                  <w:type w:val="continuous"/>
                  <w:pgSz w:w="11906" w:h="16838" w:code="9"/>
                  <w:pgMar w:top="1134" w:right="1134" w:bottom="1134" w:left="1701" w:header="1134" w:footer="567" w:gutter="0"/>
                  <w:pgNumType w:start="1"/>
                  <w:cols w:space="1296"/>
                  <w:titlePg/>
                  <w:docGrid w:linePitch="326"/>
                </w:sectPr>
              </w:pPr>
            </w:p>
            <w:p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rPr>
                  <w:lang w:eastAsia="ar-SA"/>
                </w:rPr>
              </w:pPr>
            </w:p>
          </w:sdtContent>
        </w:sdt>
      </w:sdtContent>
    </w:sdt>
    <w:sdt>
      <w:sdtPr>
        <w:alias w:val="patvirtinta"/>
        <w:tag w:val="part_d95b80b74c2e4ebfa7b866df19479b29"/>
        <w:lock w:val="sdtLocked"/>
        <w:richText/>
      </w:sdtPr>
      <w:sdtContent>
        <w:p>
          <w:pPr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</w:r>
        </w:p>
        <w:p>
          <w:pPr>
            <w:ind w:left="4820"/>
            <w:rPr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  <w:r>
            <w:rPr>
              <w:lang w:eastAsia="ar-SA"/>
            </w:rPr>
            <w:br/>
          </w:r>
          <w:r>
            <w:rPr>
              <w:szCs w:val="24"/>
              <w:lang w:eastAsia="lt-LT"/>
            </w:rPr>
            <w:t>2006 m. lapkričio 24 d. nutarimu Nr. 1168</w:t>
          </w:r>
          <w:r>
            <w:rPr>
              <w:lang w:eastAsia="ar-SA"/>
            </w:rPr>
            <w:br/>
            <w:t>(Lietuvos Respublikos Vyriausybės</w:t>
            <w:br/>
          </w:r>
          <w:r>
            <w:rPr>
              <w:lang w:eastAsia="lt-LT"/>
            </w:rPr>
            <w:t xml:space="preserve">2021 m.  ...................d.</w:t>
          </w:r>
          <w:r>
            <w:rPr>
              <w:lang w:eastAsia="ar-SA"/>
            </w:rPr>
            <w:t xml:space="preserve"> nutarimo Nr. .........</w:t>
          </w:r>
          <w:r>
            <w:rPr>
              <w:lang w:eastAsia="lt-LT"/>
            </w:rPr>
            <w:br/>
            <w:t>redakcija)</w:t>
          </w:r>
        </w:p>
        <w:p>
          <w:pPr>
            <w:ind w:firstLine="720"/>
            <w:jc w:val="center"/>
            <w:rPr>
              <w:b/>
              <w:bCs/>
              <w:sz w:val="22"/>
              <w:szCs w:val="22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ind w:firstLine="720"/>
            <w:jc w:val="center"/>
            <w:rPr>
              <w:b/>
              <w:bCs/>
              <w:sz w:val="22"/>
              <w:szCs w:val="22"/>
              <w:lang w:eastAsia="lt-LT"/>
            </w:rPr>
          </w:pPr>
          <w:sdt>
            <w:sdtPr>
              <w:alias w:val="Pavadinimas"/>
              <w:tag w:val="title_d95b80b74c2e4ebfa7b866df19479b29"/>
              <w:lock w:val="sdtLocked"/>
              <w:richText/>
            </w:sdtPr>
            <w:sdtContent>
              <w:r>
                <w:rPr>
                  <w:b/>
                  <w:bCs/>
                  <w:sz w:val="22"/>
                  <w:szCs w:val="22"/>
                  <w:lang w:eastAsia="lt-LT"/>
                </w:rPr>
                <w:t>GAMINIŲ IR PAKUOČIŲ ATLIEKŲ NAUDOJIMO IR (AR) PERDIRBIMO UŽDUOTYS</w:t>
              </w:r>
            </w:sdtContent>
          </w:sdt>
        </w:p>
        <w:p>
          <w:pPr>
            <w:rPr>
              <w:sz w:val="10"/>
              <w:szCs w:val="10"/>
            </w:rPr>
          </w:pPr>
        </w:p>
        <w:p>
          <w:pPr>
            <w:rPr>
              <w:sz w:val="22"/>
              <w:szCs w:val="22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9745" w:type="dxa"/>
            <w:tblInd w:w="5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563"/>
            <w:gridCol w:w="1138"/>
            <w:gridCol w:w="2552"/>
            <w:gridCol w:w="2551"/>
            <w:gridCol w:w="2941"/>
          </w:tblGrid>
          <w:tr>
            <w:trPr>
              <w:trHeight w:val="1600"/>
              <w:tblHeader/>
            </w:trPr>
            <w:tc>
              <w:tcPr>
                <w:tcW w:w="563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Eil. Nr.</w:t>
                </w:r>
              </w:p>
            </w:tc>
            <w:tc>
              <w:tcPr>
                <w:tcW w:w="1138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Metai</w:t>
                </w:r>
              </w:p>
            </w:tc>
            <w:tc>
              <w:tcPr>
                <w:tcW w:w="2552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Gaminių ir pakuočių atliekų pavadinimas</w:t>
                </w:r>
              </w:p>
            </w:tc>
            <w:tc>
              <w:tcPr>
                <w:tcW w:w="255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Naudojimas ir (ar) perdirbimas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(Gaminių ir pakuočių atliekų naudojimas ir (ar) perdirbimas Atliekų tvarkymo taisyklių, patvirtintų Lietuvos Respublikos aplinkos ministro įsakymu 2 priede nurodytais R1, R3–R5 būdais Lietuvos Respublikos arba kitos valstybės narės teritorijoje)</w:t>
                </w: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Užduotis (procentais), atsižvelgiant į tiektų Lietuvos Respublikos vidaus rinkai gaminių ir vienkartinių pakuočių kiekį</w:t>
                </w:r>
              </w:p>
            </w:tc>
          </w:tr>
          <w:tr>
            <w:tc>
              <w:tcPr>
                <w:tcW w:w="9745" w:type="dxa"/>
                <w:gridSpan w:val="5"/>
              </w:tcPr>
              <w:p>
                <w:pPr>
                  <w:snapToGrid w:val="0"/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I. GAMINIŲ ATLIEKŲ NAUDOJIMO IR (AR) PERDIRBIMO UŽDUOTYS</w:t>
                </w:r>
              </w:p>
            </w:tc>
          </w:tr>
          <w:tr>
            <w:trPr>
              <w:trHeight w:val="266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1.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motociklų ir lengvųjų automobilių padangos, autobusų, krovininių automobilių, žemės ūkio, miško ūkio, orlaivių, statybos ir pramonės paskirties transporto priemonių padangos ir kitos padangos, sveriančios daugiau kaip 3 kg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perdirbimas ar kitoks naudojimas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80</w:t>
                </w:r>
              </w:p>
            </w:tc>
          </w:tr>
          <w:tr>
            <w:trPr>
              <w:trHeight w:val="286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ind w:right="2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ind w:right="2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85</w:t>
                </w:r>
              </w:p>
            </w:tc>
          </w:tr>
          <w:tr>
            <w:trPr>
              <w:trHeight w:val="828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ind w:right="2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ind w:right="2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90</w:t>
                </w:r>
              </w:p>
            </w:tc>
          </w:tr>
          <w:tr>
            <w:trPr>
              <w:trHeight w:val="828"/>
            </w:trPr>
            <w:tc>
              <w:tcPr>
                <w:tcW w:w="563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ind w:right="2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ind w:right="2"/>
                  <w:rPr>
                    <w:lang w:eastAsia="lt-LT"/>
                  </w:rPr>
                </w:pPr>
                <w:r>
                  <w:rPr>
                    <w:lang w:eastAsia="lt-LT"/>
                  </w:rPr>
                  <w:t>baterijos (galvaniniai elementai) ir akumuliatoriai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45</w:t>
                </w:r>
              </w:p>
            </w:tc>
          </w:tr>
          <w:tr>
            <w:trPr>
              <w:trHeight w:val="1104"/>
            </w:trPr>
            <w:tc>
              <w:tcPr>
                <w:tcW w:w="563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3.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vidaus degimo variklių degalų ir (ar) tepalų filtrai, jų dalys ir komponentai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perdirbimas ar kitoks naudojimas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80</w:t>
                </w:r>
              </w:p>
            </w:tc>
          </w:tr>
          <w:tr>
            <w:trPr>
              <w:trHeight w:val="828"/>
            </w:trPr>
            <w:tc>
              <w:tcPr>
                <w:tcW w:w="563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4.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vidaus degimo variklių įsiurbiamo oro filtrai, jų dalys ir komponentai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perdirbimas ar kitoks naudojimas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80</w:t>
                </w:r>
              </w:p>
            </w:tc>
          </w:tr>
          <w:tr>
            <w:tc>
              <w:tcPr>
                <w:tcW w:w="563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5.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autotransporto priemonių amortizatoriai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perdirbimas ar kitoks naudojimas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80</w:t>
                </w:r>
              </w:p>
            </w:tc>
          </w:tr>
          <w:tr>
            <w:tc>
              <w:tcPr>
                <w:tcW w:w="9745" w:type="dxa"/>
                <w:gridSpan w:val="5"/>
              </w:tcPr>
              <w:p>
                <w:pPr>
                  <w:snapToGrid w:val="0"/>
                  <w:jc w:val="center"/>
                  <w:rPr>
                    <w:b/>
                    <w:bCs/>
                    <w:lang w:val="en-US" w:eastAsia="lt-LT"/>
                  </w:rPr>
                </w:pPr>
                <w:r>
                  <w:rPr>
                    <w:b/>
                    <w:bCs/>
                    <w:lang w:eastAsia="lt-LT"/>
                  </w:rPr>
                  <w:t>II. PAKUOČIŲ ATLIEKŲ NAUDOJIMO IR (AR) PERDIRBIMO UŽDUOTYS</w:t>
                </w:r>
              </w:p>
            </w:tc>
          </w:tr>
          <w:tr>
            <w:trPr>
              <w:trHeight w:val="312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6.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stiklinė pakuotė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65</w:t>
                </w:r>
              </w:p>
            </w:tc>
          </w:tr>
          <w:tr>
            <w:trPr>
              <w:trHeight w:val="312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2022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67</w:t>
                </w:r>
              </w:p>
            </w:tc>
          </w:tr>
          <w:tr>
            <w:trPr>
              <w:trHeight w:val="312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2023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70</w:t>
                </w:r>
              </w:p>
            </w:tc>
          </w:tr>
          <w:tr>
            <w:trPr>
              <w:trHeight w:val="312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2024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70</w:t>
                </w:r>
              </w:p>
            </w:tc>
          </w:tr>
          <w:tr>
            <w:trPr>
              <w:trHeight w:val="305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val="en-GB" w:eastAsia="lt-LT"/>
                  </w:rPr>
                </w:pPr>
                <w:r>
                  <w:rPr>
                    <w:lang w:eastAsia="lt-LT"/>
                  </w:rPr>
                  <w:t xml:space="preserve">nuo </w:t>
                </w:r>
                <w:r>
                  <w:rPr>
                    <w:lang w:val="en-GB" w:eastAsia="lt-LT"/>
                  </w:rPr>
                  <w:t>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70</w:t>
                </w:r>
              </w:p>
            </w:tc>
          </w:tr>
          <w:tr>
            <w:trPr>
              <w:trHeight w:val="187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nuo </w:t>
                </w:r>
                <w:r>
                  <w:rPr>
                    <w:lang w:val="en-GB" w:eastAsia="lt-LT"/>
                  </w:rPr>
                  <w:t>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75</w:t>
                </w:r>
              </w:p>
            </w:tc>
          </w:tr>
          <w:tr>
            <w:trPr>
              <w:trHeight w:val="514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plastikinė pakuotė</w:t>
                </w:r>
              </w:p>
              <w:p>
                <w:pPr>
                  <w:snapToGrid w:val="0"/>
                  <w:spacing w:line="20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PET pakuotė 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naudojimas,</w:t>
                </w:r>
              </w:p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iš jo 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val="en-US" w:eastAsia="lt-LT"/>
                  </w:rPr>
                  <w:t>50</w:t>
                </w:r>
              </w:p>
              <w:p>
                <w:pPr>
                  <w:snapToGrid w:val="0"/>
                  <w:jc w:val="center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val="en-US" w:eastAsia="lt-LT"/>
                  </w:rPr>
                  <w:t>37</w:t>
                </w:r>
              </w:p>
            </w:tc>
          </w:tr>
          <w:tr>
            <w:trPr>
              <w:trHeight w:val="514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 2022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val="en-US" w:eastAsia="lt-LT"/>
                  </w:rPr>
                  <w:t>70</w:t>
                </w:r>
              </w:p>
              <w:p>
                <w:pPr>
                  <w:snapToGrid w:val="0"/>
                  <w:jc w:val="center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val="en-US" w:eastAsia="lt-LT"/>
                  </w:rPr>
                  <w:t>60</w:t>
                </w:r>
              </w:p>
            </w:tc>
          </w:tr>
          <w:tr>
            <w:trPr>
              <w:trHeight w:val="258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 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65</w:t>
                </w:r>
              </w:p>
            </w:tc>
          </w:tr>
          <w:tr>
            <w:trPr>
              <w:trHeight w:val="141"/>
            </w:trPr>
            <w:tc>
              <w:tcPr>
                <w:tcW w:w="563" w:type="dxa"/>
                <w:vMerge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8" w:type="dxa"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 2030</w:t>
                </w:r>
              </w:p>
            </w:tc>
            <w:tc>
              <w:tcPr>
                <w:tcW w:w="2552" w:type="dxa"/>
                <w:vMerge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551" w:type="dxa"/>
                <w:vMerge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tcBorders>
                  <w:bottom w:val="single" w:sz="4" w:space="0" w:color="auto"/>
                </w:tcBorders>
              </w:tcPr>
              <w:p>
                <w:pPr>
                  <w:snapToGrid w:val="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70</w:t>
                </w:r>
              </w:p>
            </w:tc>
          </w:tr>
          <w:tr>
            <w:trPr>
              <w:trHeight w:val="596"/>
            </w:trPr>
            <w:tc>
              <w:tcPr>
                <w:tcW w:w="563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kombinuota pakuotė (vyraujanti medžiaga – popierius ir kartonas)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naudojimas, iš jo</w:t>
                </w:r>
              </w:p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</w:t>
                </w:r>
              </w:p>
              <w:p>
                <w:pPr>
                  <w:snapToGrid w:val="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</w:t>
                </w:r>
              </w:p>
            </w:tc>
          </w:tr>
          <w:tr>
            <w:tc>
              <w:tcPr>
                <w:tcW w:w="563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kombinuota pakuotė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perdirbimas ar kitoks naudojimas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</w:t>
                </w:r>
              </w:p>
            </w:tc>
          </w:tr>
          <w:t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10. 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2022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kombinuota pakuotė 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 xml:space="preserve">naudojimas, </w:t>
                </w:r>
              </w:p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iš jo 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30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25</w:t>
                </w:r>
              </w:p>
            </w:tc>
          </w:tr>
          <w:tr>
            <w:trPr>
              <w:trHeight w:val="226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30</w:t>
                </w:r>
              </w:p>
            </w:tc>
          </w:tr>
          <w:t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nuo </w:t>
                </w:r>
                <w:r>
                  <w:rPr>
                    <w:lang w:val="en-GB" w:eastAsia="lt-LT"/>
                  </w:rPr>
                  <w:t>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35</w:t>
                </w:r>
              </w:p>
            </w:tc>
          </w:tr>
          <w:tr>
            <w:trPr>
              <w:trHeight w:val="208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11.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metalinė (</w:t>
                </w:r>
                <w:r>
                  <w:rPr>
                    <w:color w:val="000000"/>
                    <w:lang w:eastAsia="lt-LT"/>
                  </w:rPr>
                  <w:t xml:space="preserve">įskaitant aliuminio) </w:t>
                </w:r>
                <w:r>
                  <w:rPr>
                    <w:lang w:eastAsia="lt-LT"/>
                  </w:rPr>
                  <w:t>pakuotė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  <w:vMerge w:val="restart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54</w:t>
                </w:r>
              </w:p>
            </w:tc>
          </w:tr>
          <w:t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2022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Merge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2023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Merge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>
            <w:trPr>
              <w:trHeight w:val="158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2024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Merge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>
            <w:trPr>
              <w:trHeight w:val="308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val="en-US" w:eastAsia="lt-LT"/>
                  </w:rPr>
                  <w:t>12.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</w:t>
                </w:r>
                <w:r>
                  <w:rPr>
                    <w:lang w:val="en-GB" w:eastAsia="lt-LT"/>
                  </w:rPr>
                  <w:t xml:space="preserve"> 2025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metalinė (juodųjų metalų) pakuotė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75</w:t>
                </w:r>
              </w:p>
            </w:tc>
          </w:tr>
          <w:t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nuo </w:t>
                </w:r>
                <w:r>
                  <w:rPr>
                    <w:lang w:val="en-GB" w:eastAsia="lt-LT"/>
                  </w:rPr>
                  <w:t>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85</w:t>
                </w:r>
              </w:p>
            </w:tc>
          </w:tr>
          <w:tr>
            <w:trPr>
              <w:trHeight w:val="141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val="en-US" w:eastAsia="lt-LT"/>
                  </w:rPr>
                </w:pPr>
                <w:r>
                  <w:rPr>
                    <w:lang w:eastAsia="lt-LT"/>
                  </w:rPr>
                  <w:t>13.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2025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metalinė (aliuminio) pakuotė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55</w:t>
                </w:r>
              </w:p>
            </w:tc>
          </w:tr>
          <w:tr>
            <w:trPr>
              <w:trHeight w:val="253"/>
            </w:trPr>
            <w:tc>
              <w:tcPr>
                <w:tcW w:w="563" w:type="dxa"/>
                <w:vMerge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2030</w:t>
                </w:r>
              </w:p>
            </w:tc>
            <w:tc>
              <w:tcPr>
                <w:tcW w:w="2552" w:type="dxa"/>
                <w:vMerge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  <w:tcBorders>
                  <w:bottom w:val="single" w:sz="4" w:space="0" w:color="auto"/>
                </w:tcBorders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65</w:t>
                </w:r>
              </w:p>
            </w:tc>
          </w:tr>
          <w:tr>
            <w:trPr>
              <w:trHeight w:val="334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14.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popierinė ir kartoninė pakuotė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 xml:space="preserve">naudojimas, </w:t>
                </w:r>
              </w:p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iš jo 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80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76</w:t>
                </w:r>
              </w:p>
            </w:tc>
          </w:tr>
          <w:tr>
            <w:trPr>
              <w:trHeight w:val="334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2022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85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80</w:t>
                </w:r>
              </w:p>
            </w:tc>
          </w:tr>
          <w:tr>
            <w:trPr>
              <w:trHeight w:val="187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83</w:t>
                </w:r>
              </w:p>
            </w:tc>
          </w:tr>
          <w:tr>
            <w:trPr>
              <w:trHeight w:val="113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85</w:t>
                </w:r>
              </w:p>
            </w:tc>
          </w:tr>
          <w:tr>
            <w:trPr>
              <w:trHeight w:val="550"/>
            </w:trP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15.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medinė pakuotė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 xml:space="preserve">naudojimas, </w:t>
                </w:r>
              </w:p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iš jo 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45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35</w:t>
                </w:r>
              </w:p>
            </w:tc>
          </w:tr>
          <w:tr>
            <w:trPr>
              <w:trHeight w:val="444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2022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45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35</w:t>
                </w:r>
              </w:p>
            </w:tc>
          </w:tr>
          <w:tr>
            <w:trPr>
              <w:trHeight w:val="283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</w:t>
                </w:r>
                <w:r>
                  <w:rPr>
                    <w:lang w:val="en-GB" w:eastAsia="lt-LT"/>
                  </w:rPr>
                  <w:t xml:space="preserve"> 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35</w:t>
                </w:r>
              </w:p>
            </w:tc>
          </w:tr>
          <w:tr>
            <w:trPr>
              <w:trHeight w:val="167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nuo </w:t>
                </w:r>
                <w:r>
                  <w:rPr>
                    <w:lang w:val="en-GB" w:eastAsia="lt-LT"/>
                  </w:rPr>
                  <w:t>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37</w:t>
                </w:r>
              </w:p>
            </w:tc>
          </w:tr>
          <w:tr>
            <w:tc>
              <w:tcPr>
                <w:tcW w:w="563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16.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2021</w:t>
                </w:r>
              </w:p>
            </w:tc>
            <w:tc>
              <w:tcPr>
                <w:tcW w:w="2552" w:type="dxa"/>
                <w:vMerge w:val="restart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kita pakuotė </w:t>
                </w: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 xml:space="preserve">naudojimas, </w:t>
                </w:r>
              </w:p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iš jo 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45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22</w:t>
                </w:r>
              </w:p>
            </w:tc>
          </w:tr>
          <w:t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2022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45</w:t>
                </w:r>
              </w:p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22</w:t>
                </w:r>
              </w:p>
            </w:tc>
          </w:tr>
          <w:tr>
            <w:trPr>
              <w:trHeight w:val="132"/>
            </w:trP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2025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 w:val="restart"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25</w:t>
                </w:r>
              </w:p>
            </w:tc>
          </w:tr>
          <w:tr>
            <w:tc>
              <w:tcPr>
                <w:tcW w:w="563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1138" w:type="dxa"/>
              </w:tcPr>
              <w:p>
                <w:pPr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2030</w:t>
                </w:r>
              </w:p>
            </w:tc>
            <w:tc>
              <w:tcPr>
                <w:tcW w:w="2552" w:type="dxa"/>
                <w:vMerge/>
              </w:tcPr>
              <w:p>
                <w:pPr>
                  <w:snapToGrid w:val="0"/>
                  <w:rPr>
                    <w:lang w:eastAsia="lt-LT"/>
                  </w:rPr>
                </w:pPr>
              </w:p>
            </w:tc>
            <w:tc>
              <w:tcPr>
                <w:tcW w:w="2551" w:type="dxa"/>
                <w:vMerge/>
              </w:tcPr>
              <w:p>
                <w:pPr>
                  <w:snapToGrid w:val="0"/>
                  <w:rPr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941" w:type="dxa"/>
              </w:tcPr>
              <w:p>
                <w:pPr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27</w:t>
                </w:r>
              </w:p>
            </w:tc>
          </w:tr>
          <w:tr>
            <w:tc>
              <w:tcPr>
                <w:tcW w:w="9745" w:type="dxa"/>
                <w:gridSpan w:val="5"/>
              </w:tcPr>
              <w:p>
                <w:pPr>
                  <w:snapToGrid w:val="0"/>
                  <w:spacing w:line="200" w:lineRule="atLeast"/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III. PAKUOČIŲ, KURIOMS TAIKOMA UŽSTATO UŽ VIENKARTINES PAKUOTES SISTEMA, ATLIEKŲ SURINKIMO IR PERDIRBIMO UŽDUOTYS</w:t>
                </w:r>
              </w:p>
            </w:tc>
          </w:tr>
          <w:tr>
            <w:trPr>
              <w:trHeight w:val="1104"/>
            </w:trPr>
            <w:tc>
              <w:tcPr>
                <w:tcW w:w="563" w:type="dxa"/>
              </w:tcPr>
              <w:p>
                <w:pPr>
                  <w:snapToGrid w:val="0"/>
                  <w:spacing w:line="200" w:lineRule="atLeast"/>
                  <w:rPr>
                    <w:lang w:eastAsia="lt-LT"/>
                  </w:rPr>
                </w:pPr>
                <w:r>
                  <w:rPr>
                    <w:lang w:eastAsia="lt-LT"/>
                  </w:rPr>
                  <w:t>17.</w:t>
                </w:r>
              </w:p>
            </w:tc>
            <w:tc>
              <w:tcPr>
                <w:tcW w:w="1138" w:type="dxa"/>
              </w:tcPr>
              <w:p>
                <w:pPr>
                  <w:snapToGrid w:val="0"/>
                  <w:spacing w:line="200" w:lineRule="atLeast"/>
                  <w:rPr>
                    <w:lang w:eastAsia="lt-LT"/>
                  </w:rPr>
                </w:pPr>
                <w:r>
                  <w:rPr>
                    <w:lang w:eastAsia="lt-LT"/>
                  </w:rPr>
                  <w:t>nuo 2021</w:t>
                </w:r>
              </w:p>
            </w:tc>
            <w:tc>
              <w:tcPr>
                <w:tcW w:w="2552" w:type="dxa"/>
              </w:tcPr>
              <w:p>
                <w:pPr>
                  <w:snapToGrid w:val="0"/>
                  <w:spacing w:line="200" w:lineRule="atLeast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stiklinė pakuotė </w:t>
                </w:r>
              </w:p>
              <w:p>
                <w:pPr>
                  <w:snapToGrid w:val="0"/>
                  <w:spacing w:line="200" w:lineRule="atLeast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PET pakuotė </w:t>
                </w:r>
              </w:p>
              <w:p>
                <w:pPr>
                  <w:snapToGrid w:val="0"/>
                  <w:spacing w:line="200" w:lineRule="atLeast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metalinė (įskaitant aliuminio) pakuotė</w:t>
                </w:r>
              </w:p>
            </w:tc>
            <w:tc>
              <w:tcPr>
                <w:tcW w:w="2551" w:type="dxa"/>
              </w:tcPr>
              <w:p>
                <w:pPr>
                  <w:snapToGrid w:val="0"/>
                  <w:spacing w:line="200" w:lineRule="atLeast"/>
                  <w:rPr>
                    <w:shd w:val="clear" w:color="auto" w:fill="FFFFFF"/>
                    <w:lang w:eastAsia="lt-LT"/>
                  </w:rPr>
                </w:pPr>
                <w:r>
                  <w:rPr>
                    <w:shd w:val="clear" w:color="auto" w:fill="FFFFFF"/>
                    <w:lang w:eastAsia="lt-LT"/>
                  </w:rPr>
                  <w:t>surinkimas ir perdirbimas</w:t>
                </w:r>
              </w:p>
            </w:tc>
            <w:tc>
              <w:tcPr>
                <w:tcW w:w="2941" w:type="dxa"/>
              </w:tcPr>
              <w:p>
                <w:pPr>
                  <w:snapToGrid w:val="0"/>
                  <w:spacing w:line="200" w:lineRule="atLeast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90</w:t>
                </w:r>
              </w:p>
            </w:tc>
          </w:tr>
        </w:tbl>
        <w:p>
          <w:pPr>
            <w:ind w:right="-375"/>
            <w:jc w:val="both"/>
            <w:rPr>
              <w:sz w:val="20"/>
              <w:lang w:val="en-US" w:eastAsia="lt-LT"/>
            </w:rPr>
          </w:pPr>
          <w:r>
            <w:rPr>
              <w:sz w:val="20"/>
              <w:lang w:val="en-US" w:eastAsia="lt-LT"/>
            </w:rPr>
            <w:t>___________________</w:t>
          </w:r>
        </w:p>
        <w:p>
          <w:pPr>
            <w:ind w:firstLine="720"/>
            <w:jc w:val="both"/>
            <w:rPr>
              <w:sz w:val="20"/>
              <w:lang w:eastAsia="lt-LT"/>
            </w:rPr>
          </w:pPr>
        </w:p>
        <w:p>
          <w:pPr>
            <w:tabs>
              <w:tab w:val="left" w:pos="6237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bd8b10f9591d4170aaefaf84934376d5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>
      <w:headerReference w:type="first" r:id="rId14"/>
      <w:pgSz w:w="11906" w:h="16838" w:code="9"/>
      <w:pgMar w:top="1134" w:right="1134" w:bottom="1134" w:left="1701" w:header="1134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  <w:p>
      <w:pPr>
        <w:rPr>
          <w:lang w:eastAsia="lt-LT"/>
        </w:rPr>
      </w:pPr>
    </w:p>
    <w:p>
      <w:pPr>
        <w:rPr>
          <w:lang w:eastAsia="lt-LT"/>
        </w:rPr>
      </w:pP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  <w:p>
      <w:pPr>
        <w:rPr>
          <w:lang w:eastAsia="lt-LT"/>
        </w:rPr>
      </w:pPr>
    </w:p>
    <w:p>
      <w:pPr>
        <w:rPr>
          <w:lang w:eastAsia="lt-LT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  <w:p>
      <w:pPr>
        <w:rPr>
          <w:lang w:eastAsia="lt-LT"/>
        </w:rPr>
      </w:pPr>
    </w:p>
    <w:p>
      <w:pPr>
        <w:rPr>
          <w:lang w:eastAsia="lt-LT"/>
        </w:rPr>
      </w:pP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  <w:p>
      <w:pPr>
        <w:rPr>
          <w:lang w:eastAsia="lt-LT"/>
        </w:rPr>
      </w:pPr>
    </w:p>
    <w:p>
      <w:pPr>
        <w:rPr>
          <w:lang w:eastAsia="lt-LT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spacing w:after="200" w:line="276" w:lineRule="auto"/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header" Target="header4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54585d2618242c78121ca5cf525960a" PartId="fa469949ce094a0d8d19ff184db93209">
    <Part Type="preambule" DocPartId="8869c1b3ebda4cb1a4aceabfed1c1a20" PartId="cdbc1c75618a4cb493672dc77b2fbbed"/>
    <Part Type="pastraipa" DocPartId="cbd50c5a191d4c979be7a7f748403a39" PartId="8450231c3db749bc8321331abc928e16">
      <Part Type="citata" DocPartId="0a220e5918694436b28adde4145a8842" PartId="edf5b0b5075a4bf99655a803186c1042">
        <Part Type="pagrindine" DocPartId="33bf5d0aa4454bf7ae6a2d3a3654644b" PartId="2d7dcbc7ca9f44eaa9f008621df2f6cc">
          <Part Type="preambule" DocPartId="93517cba2e984b859f99a7011ee391d1" PartId="1c526d73cfa048b0a0e851f06eeb41e3"/>
          <Part Type="punktas" Nr="1" Abbr="1 p." DocPartId="31e591ab6ddd4d27bda6a2172f40b00c" PartId="95f2f948d176450eb9b5c8ffd7ff6192"/>
          <Part Type="punktas" Nr="2" Abbr="2 p." DocPartId="058ddb18a638466586d6d175b5f0257f" PartId="ad78050cfb4a4b7185f940cf19741496"/>
        </Part>
      </Part>
    </Part>
    <Part Type="signatura" DocPartId="990070fae75c4a278172393986a07e00" PartId="803b39abff3343c49f1c2b1fef9b58a7"/>
  </Part>
  <Part Type="patvirtinta" Title="GAMINIŲ IR PAKUOČIŲ ATLIEKŲ NAUDOJIMO IR (AR) PERDIRBIMO UŽDUOTYS" DocPartId="b0be7ef96c02489e8786b7a97b75285e" PartId="d95b80b74c2e4ebfa7b866df19479b29">
    <Part Type="pabaiga" DocPartId="44f2cec7dd4f4f91a19be5743ddf9d4b" PartId="bd8b10f9591d4170aaefaf84934376d5"/>
  </Part>
</Parts>
</file>

<file path=customXml/itemProps1.xml><?xml version="1.0" encoding="utf-8"?>
<ds:datastoreItem xmlns:ds="http://schemas.openxmlformats.org/officeDocument/2006/customXml" ds:itemID="{BD0E444F-C34A-4A25-A895-A3B88DB5C9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9154B0-E6DC-47D9-A4C7-039EB23D06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737</Words>
  <Characters>4564</Characters>
  <Application>Microsoft Office Word</Application>
  <DocSecurity>4</DocSecurity>
  <Lines>380</Lines>
  <Paragraphs>220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5081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2021-04-01T13:50:00Z</dcterms:created>
  <dc:creator>Ieva Kazulytė</dc:creator>
  <lastModifiedBy>adlibuser</lastModifiedBy>
  <lastPrinted>2017-12-22T09:00:00Z</lastPrinted>
  <dcterms:modified xsi:type="dcterms:W3CDTF">2021-04-01T13:50:00Z</dcterms:modified>
  <revision>2</revision>
</coreProperties>
</file>