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f1d750b0fa14c52b75218fe30456b65"/>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2024-</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ef406af683794e158120b581e82d1c2a"/>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derinti Lietuvos Respublikos aplinkos ministro įsakymo „Dėl Lietuvos Respublikos aplinkos ministro 2002 m. gruodžio 10 d. įsakymo Nr. 631 „Dėl Apvaliosios medienos bei nenukirsto miško matavimo ir tūrio nustatymo taisyklių patvirtinimo“ pakeitimo“ projektą (toliau – Projektas).</w:t>
          </w:r>
        </w:p>
        <w:sdt>
          <w:sdtPr>
            <w:alias w:val="1 p."/>
            <w:tag w:val="part_80e18d9d06284e79858452fe7165d772"/>
            <w:lock w:val="sdtLocked"/>
            <w:richText/>
          </w:sdtPr>
          <w:sdtContent>
            <w:p>
              <w:pPr>
                <w:ind w:firstLine="567"/>
                <w:jc w:val="both"/>
                <w:rPr>
                  <w:rFonts w:eastAsia="Andale Sans UI"/>
                  <w:szCs w:val="24"/>
                  <w:lang w:bidi="en-US"/>
                </w:rPr>
              </w:pPr>
              <w:sdt>
                <w:sdtPr>
                  <w:alias w:val="Numeris"/>
                  <w:tag w:val="nr_80e18d9d06284e79858452fe7165d772"/>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Projektas rengiamas siekiant aiškiau išdėstyti teisės akto nuostatas, spręsti medienos pirkėjų, VĮ Valstybinių miškų urėdijos (toliau – urėdija), Valstybinės miškų tarnybos, Nepriklausomų medienos matuotojų asociacijos keliamas praktinio teisės akto taikymo problemas dėl medienos matavimų vykdymo, fotogrametrinio apvaliosios medienos matavimo būdo taikymo, apvaliosios medienos sortimentų tūrio kontrolinių patikrinimų, sukrovimo kokybės nustatymo ir kt.</w:t>
              </w:r>
            </w:p>
            <w:p>
              <w:pPr>
                <w:ind w:firstLine="567"/>
                <w:jc w:val="both"/>
                <w:rPr>
                  <w:rFonts w:eastAsia="Andale Sans UI"/>
                  <w:szCs w:val="24"/>
                  <w:lang w:bidi="en-US"/>
                </w:rPr>
              </w:pPr>
              <w:r>
                <w:rPr>
                  <w:rFonts w:eastAsia="Andale Sans UI"/>
                  <w:szCs w:val="24"/>
                  <w:lang w:bidi="en-US"/>
                </w:rPr>
                <w:t>Atsižvelgiant į Aštuonioliktosios Lietuvos Respublikos Vyriausybės programos, kuriai pritarta Lietuvos Respublikos Seimo 2020 m. gruodžio 11 d. nutarimu Nr. XIV-72 „Dėl Aštuonioliktosios Lietuvos Respublikos Vyriausybės programos“, 162.2 papunktyje numatytą iniciatyvą efektyvinti urėdijos veiklą ir siekiant užtikrinti apvaliosios medienos, pagamintos urėdijos patikėjimo teise valdomuose valstybiniuose miškuose, matavimo ir apskaitos tikslumą, sumažinti korupcijos pasireiškimo galimybes šioje veiklos srityje bei didinti įmonės vykdomos miškų ūkio veiklos ir atskirų jos procesų skaitmenizavimą, urėdijos direktoriui Lietuvos Respublikos aplinkos ministro 2021-07-22 pavedimo Nr. D18-15 „Dėl apvaliosios medienos matavimo ir apskaitos bei įmonės veiklos skaitmenizavimo“, 2 punktu pavesta parengti detalų fotogrametrinio apvaliosios medienos matavimo būdo naudojimo urėdijos veikloje praktinio įdiegimo ir taikymo planą, numatantį grupinio medienos matavimo taikant glaudumo koeficientus apimčių mažinimą, bei, prireikus, pateikti su tuo susijusius siūlymus dėl medienos matavimą ir apskaitą reglamentuojančių teisės aktų tobulinimo. Vykdydama pavedimą urėdija pateikė atitinkamus pasiūlymus, kurie išdėstyti Projekte.</w:t>
              </w:r>
            </w:p>
            <w:p>
              <w:pPr>
                <w:ind w:firstLine="567"/>
                <w:jc w:val="both"/>
                <w:rPr>
                  <w:rFonts w:eastAsia="Andale Sans UI"/>
                  <w:szCs w:val="24"/>
                  <w:lang w:bidi="en-US"/>
                </w:rPr>
              </w:pPr>
              <w:r>
                <w:rPr>
                  <w:szCs w:val="24"/>
                </w:rPr>
                <w:t>Projektu prisidedama prie urėdijos 2024–2028 m. veiklos strategijoje iškeltų tikslų dėl veiklos procesų skaitmenizavimo ir aplinkos ministro 2022 m. rugsėjo 12 d. rašte urėdijai Nr. D8(E)-4860 „Dėl valstybės siekiamų tikslų ir keliamų lūkesčių, susijusių su valstybės įmone Valstybinių miškų urėdija“ iškeltų lūkesčių, kuriuose numatyta, kad urėdija savo veikloje pradėtų naudoti fotogrametrinio apvaliosios medienos matavimo būdą</w:t>
              </w:r>
              <w:r>
                <w:rPr>
                  <w:rFonts w:eastAsia="Andale Sans UI"/>
                  <w:szCs w:val="24"/>
                  <w:lang w:bidi="en-US"/>
                </w:rPr>
                <w:t>.</w:t>
              </w:r>
            </w:p>
            <w:p>
              <w:pPr>
                <w:ind w:firstLine="567"/>
                <w:jc w:val="both"/>
                <w:rPr>
                  <w:rFonts w:eastAsia="Andale Sans UI"/>
                  <w:szCs w:val="24"/>
                  <w:lang w:val="en-GB" w:bidi="en-US"/>
                </w:rPr>
              </w:pPr>
              <w:r>
                <w:rPr>
                  <w:rFonts w:eastAsia="Andale Sans UI"/>
                  <w:szCs w:val="24"/>
                  <w:lang w:bidi="en-US"/>
                </w:rPr>
                <w:t>Fotogrametrinio apvaliosios medienos matavimo būdo naudojimas – tai svarbus žingsnis siekiant efektyvinti medienos apskaitą, pardavimą ir logistiką. Šis medienos matavimo būdas naudojamas tiek Europoje, tiek Skandinavijos šalyse ir yra objektyvus būdas matuoti medieną išvengiant žmogiškojo faktoriaus: medieną matuojantis darbuotojas negali koreguoti duomenų, jie tampa skaitmeniniais, duomenų papildomai nereikia įvesti rankiniu būdu, todėl medienos matavimo procese užtikrinamas maksimalus skaidrumas. Svarbu ir tai, kad pamatuotos medienos duomenys ir nuotraukos išsaugomos duomenų analizei, užtikrinti skaidrumo, vidaus kontrolės principai, bus galima pertikrinti seniau perduotos medienos duomenis, jų teisingumą, atliktų matavimų tikslumą, tolimesnį medienos kelią pirkėjui.</w:t>
              </w:r>
            </w:p>
            <w:p>
              <w:pPr>
                <w:ind w:firstLine="567"/>
                <w:jc w:val="both"/>
                <w:rPr>
                  <w:rFonts w:eastAsia="Andale Sans UI"/>
                  <w:szCs w:val="24"/>
                  <w:lang w:bidi="en-US"/>
                </w:rPr>
              </w:pPr>
              <w:r>
                <w:rPr>
                  <w:rFonts w:eastAsia="Andale Sans UI"/>
                  <w:szCs w:val="24"/>
                  <w:lang w:bidi="en-US"/>
                </w:rPr>
                <w:t>Nors urėdija teiks pirmenybę medienos matavimui fotogrametriniu apvaliosios medienos matavimo būdu, tačiau ir kiti medienos matavimo būdai liks aktualūs, nes ne visais atvejais bus tinkamos sąlygos naudoti fotogrametrinio matavimo būdą.</w:t>
              </w:r>
            </w:p>
          </w:sdtContent>
        </w:sdt>
        <w:sdt>
          <w:sdtPr>
            <w:alias w:val="2 p."/>
            <w:tag w:val="part_e48d72b22c47474a8b2fe55791fe85dd"/>
            <w:lock w:val="sdtLocked"/>
            <w:richText/>
          </w:sdtPr>
          <w:sdtContent>
            <w:p>
              <w:pPr>
                <w:ind w:firstLine="567"/>
                <w:jc w:val="both"/>
                <w:rPr>
                  <w:rFonts w:eastAsia="Andale Sans UI"/>
                  <w:szCs w:val="24"/>
                  <w:lang w:bidi="en-US"/>
                </w:rPr>
              </w:pPr>
              <w:sdt>
                <w:sdtPr>
                  <w:alias w:val="Numeris"/>
                  <w:tag w:val="nr_e48d72b22c47474a8b2fe55791fe85dd"/>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Siekiant spręsti teisės akto praktinio taikymo problemas, Projektu siūloma aiškiau išdėstyti nuostatas dėl medienos su kliuviniu matavimo, apvaliosios medienos sortimentų tūrio kontrolinių patikrinimų vykdymo, fotogrametrinio apvaliosios medienos matavimo būdo taikymo, sukrovimo kokybės nustatymo.</w:t>
              </w:r>
            </w:p>
            <w:p>
              <w:pPr>
                <w:ind w:firstLine="567"/>
                <w:jc w:val="both"/>
                <w:rPr>
                  <w:rFonts w:eastAsia="Andale Sans UI"/>
                  <w:szCs w:val="24"/>
                  <w:lang w:bidi="en-US"/>
                </w:rPr>
              </w:pPr>
              <w:r>
                <w:rPr>
                  <w:rFonts w:eastAsia="Andale Sans UI" w:cs="Tahoma"/>
                  <w:szCs w:val="24"/>
                  <w:lang w:bidi="en-US"/>
                </w:rPr>
                <w:t>Valstybinės miškų tarnybos siūlymu, siekiant harmonizuoti medienos tūrio įvertinimui naudojamų normatyvų teisinę bazę, projektu keičiamas medienos sortimentinės struktūros įvertinimui pušynuose taikomas modelis (Projekto 2 priedo 14 skirsnio 14 lentelė).</w:t>
              </w:r>
              <w:r>
                <w:rPr>
                  <w:szCs w:val="24"/>
                </w:rPr>
                <w:t xml:space="preserve"> Šis modelis taikomas įvairiose miškų inventorizacijos sistemose (sklypinėje miškų inventorizacijoje (SMI), nacionalinėje miškų inventorizacijoje), miškų našumo modelyje, naudojamame medienos tūrio prieaugio kiekviename sklype SMI įvertinimui, ir kt. Siūlomas modelis yra harmonizuotas su formrodžio modeliu, naudotu 1966 – 1993 m. miškų inventorizacijose ir miškų apskaitose, taip užtikrinant informacijos apie Lietuvos miškus tęstinumą jau šeštą dešimtmetį. Taip pat jis naudojamas ne tik aukščiau išvardintose srityse, bet ir medynų formavimui, ugdomųjų kirtimų projektavimui skirtame normatyve – standartinio tūrio modelyje. Pažymėtina, kad galiojančiose</w:t>
              </w:r>
              <w:r>
                <w:rPr>
                  <w:rFonts w:eastAsia="Andale Sans UI" w:cs="Tahoma"/>
                  <w:szCs w:val="24"/>
                  <w:lang w:bidi="en-US"/>
                </w:rPr>
                <w:t xml:space="preserve"> </w:t>
              </w:r>
              <w:r>
                <w:rPr>
                  <w:szCs w:val="24"/>
                </w:rPr>
                <w:t>Apvaliosios medienos bei nenukirsto miško matavimo ir tūrio nustatymo taisyklėse (toliau – Taisyklės) nustatytas pušies stiebų formrodžių modelis yra naudojamas įvertinant medienos sortimentinę struktūrą, o skirtumai tarp tūrių, nustatytų panaudojant šiuo metu taikomą ir Projektu siūlomą modelį, neviršija 1,7 %, t. y. šio tipo modeliams leistinose ribose.</w:t>
              </w:r>
            </w:p>
          </w:sdtContent>
        </w:sdt>
        <w:sdt>
          <w:sdtPr>
            <w:alias w:val="3 p."/>
            <w:tag w:val="part_13ccf9b6bf444a35a50ab600ab4deefc"/>
            <w:lock w:val="sdtLocked"/>
            <w:richText/>
          </w:sdtPr>
          <w:sdtContent>
            <w:p>
              <w:pPr>
                <w:ind w:firstLine="567"/>
                <w:jc w:val="both"/>
                <w:rPr>
                  <w:rFonts w:eastAsia="Andale Sans UI"/>
                  <w:b/>
                  <w:bCs/>
                  <w:szCs w:val="24"/>
                  <w:lang w:bidi="en-US"/>
                </w:rPr>
              </w:pPr>
              <w:sdt>
                <w:sdtPr>
                  <w:alias w:val="Numeris"/>
                  <w:tag w:val="nr_13ccf9b6bf444a35a50ab600ab4deefc"/>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ind w:firstLine="567"/>
                <w:jc w:val="both"/>
                <w:textAlignment w:val="center"/>
                <w:rPr>
                  <w:rFonts w:eastAsia="Andale Sans UI"/>
                  <w:iCs/>
                  <w:szCs w:val="24"/>
                  <w:lang w:bidi="en-US"/>
                </w:rPr>
              </w:pPr>
              <w:r>
                <w:rPr>
                  <w:rFonts w:eastAsia="Andale Sans UI"/>
                  <w:iCs/>
                  <w:szCs w:val="24"/>
                  <w:lang w:bidi="en-US"/>
                </w:rPr>
                <w:t>Projekto pakeitimai prisidės prie aiškesnio medienos matavimo reglamentavimo, padės išvengti konfliktinių situacijų, sumažins žmogiškojo faktoriaus klaidų tikimybę ir padidins medienos matavimo objektyvumą ir skaidrumą.</w:t>
              </w:r>
            </w:p>
            <w:p>
              <w:pPr>
                <w:shd w:val="clear" w:color="auto" w:fill="FFFFFF"/>
                <w:ind w:firstLine="567"/>
                <w:jc w:val="both"/>
                <w:textAlignment w:val="center"/>
                <w:rPr>
                  <w:rFonts w:eastAsia="Andale Sans UI"/>
                  <w:iCs/>
                  <w:szCs w:val="24"/>
                  <w:lang w:bidi="en-US"/>
                </w:rPr>
              </w:pPr>
              <w:r>
                <w:rPr>
                  <w:rFonts w:eastAsia="Andale Sans UI"/>
                  <w:szCs w:val="24"/>
                  <w:lang w:bidi="en-US"/>
                </w:rPr>
                <w:t>Taisyklės</w:t>
              </w:r>
              <w:r>
                <w:rPr>
                  <w:rFonts w:eastAsia="Andale Sans UI"/>
                  <w:iCs/>
                  <w:szCs w:val="24"/>
                  <w:lang w:bidi="en-US"/>
                </w:rPr>
                <w:t xml:space="preserve"> privalomos miškų savininkams, valdytojams, nepriklausomiems medienos matuotojams, pardavėjams ir pirkėjams. Projekto nuostatos iš esmės nekeičia vykdomos veiklos, todėl jų įgyvendinimas papildomai nekainuos.</w:t>
              </w:r>
            </w:p>
          </w:sdtContent>
        </w:sdt>
        <w:sdt>
          <w:sdtPr>
            <w:alias w:val="4 p."/>
            <w:tag w:val="part_2c867158e1f440e09be3301edbac44cb"/>
            <w:lock w:val="sdtLocked"/>
            <w:richText/>
          </w:sdtPr>
          <w:sdtContent>
            <w:p>
              <w:pPr>
                <w:ind w:firstLine="567"/>
                <w:jc w:val="both"/>
                <w:rPr>
                  <w:b/>
                  <w:bCs/>
                  <w:szCs w:val="24"/>
                  <w:lang w:eastAsia="lt-LT" w:bidi="en-US"/>
                </w:rPr>
              </w:pPr>
              <w:sdt>
                <w:sdtPr>
                  <w:alias w:val="Numeris"/>
                  <w:tag w:val="nr_2c867158e1f440e09be3301edbac44cb"/>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162.2 papunktyje nurodyta priemonė kiek tai susiję su urėdijos darbo efektyvumo didinimu.</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3237f6106fab4912ba10ad5048ccab51"/>
            <w:lock w:val="sdtLocked"/>
            <w:richText/>
          </w:sdtPr>
          <w:sdtContent>
            <w:p>
              <w:pPr>
                <w:ind w:firstLine="567"/>
                <w:jc w:val="both"/>
                <w:rPr>
                  <w:rFonts w:eastAsia="Andale Sans UI" w:cs="Tahoma"/>
                  <w:szCs w:val="24"/>
                  <w:lang w:bidi="en-US"/>
                </w:rPr>
              </w:pPr>
              <w:sdt>
                <w:sdtPr>
                  <w:alias w:val="Numeris"/>
                  <w:tag w:val="nr_3237f6106fab4912ba10ad5048ccab51"/>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9c37b4b81f0a4f0cb4057b539094562a"/>
            <w:lock w:val="sdtLocked"/>
            <w:richText/>
          </w:sdtPr>
          <w:sdtContent>
            <w:p>
              <w:pPr>
                <w:ind w:firstLine="567"/>
                <w:jc w:val="both"/>
                <w:rPr>
                  <w:rFonts w:eastAsia="Andale Sans UI" w:cs="Tahoma"/>
                  <w:szCs w:val="24"/>
                  <w:lang w:bidi="en-US"/>
                </w:rPr>
              </w:pPr>
              <w:sdt>
                <w:sdtPr>
                  <w:alias w:val="Numeris"/>
                  <w:tag w:val="nr_9c37b4b81f0a4f0cb4057b539094562a"/>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387bbdccb8004d239cd71cf2f7cd3980"/>
            <w:lock w:val="sdtLocked"/>
            <w:richText/>
          </w:sdtPr>
          <w:sdtContent>
            <w:p>
              <w:pPr>
                <w:ind w:firstLine="567"/>
                <w:jc w:val="both"/>
                <w:rPr>
                  <w:rFonts w:eastAsia="Andale Sans UI" w:cs="Tahoma"/>
                  <w:szCs w:val="24"/>
                  <w:lang w:bidi="en-US"/>
                </w:rPr>
              </w:pPr>
              <w:sdt>
                <w:sdtPr>
                  <w:alias w:val="Numeris"/>
                  <w:tag w:val="nr_387bbdccb8004d239cd71cf2f7cd3980"/>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a0e6097ebd9d44778764c5293bd277e9"/>
            <w:lock w:val="sdtLocked"/>
            <w:richText/>
          </w:sdtPr>
          <w:sdtContent>
            <w:p>
              <w:pPr>
                <w:ind w:firstLine="567"/>
                <w:jc w:val="both"/>
                <w:rPr>
                  <w:rFonts w:eastAsia="Andale Sans UI" w:cs="Tahoma"/>
                  <w:color w:val="000000"/>
                  <w:szCs w:val="24"/>
                  <w:lang w:bidi="en-US"/>
                </w:rPr>
              </w:pPr>
              <w:sdt>
                <w:sdtPr>
                  <w:alias w:val="Numeris"/>
                  <w:tag w:val="nr_a0e6097ebd9d44778764c5293bd277e9"/>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b21aca3207bb446faa84aef1c55107d6"/>
            <w:lock w:val="sdtLocked"/>
            <w:richText/>
          </w:sdtPr>
          <w:sdtContent>
            <w:p>
              <w:pPr>
                <w:ind w:firstLine="567"/>
                <w:jc w:val="both"/>
                <w:rPr>
                  <w:rFonts w:eastAsia="Andale Sans UI"/>
                  <w:b/>
                  <w:bCs/>
                  <w:szCs w:val="24"/>
                  <w:lang w:bidi="en-US"/>
                </w:rPr>
              </w:pPr>
              <w:sdt>
                <w:sdtPr>
                  <w:alias w:val="Numeris"/>
                  <w:tag w:val="nr_b21aca3207bb446faa84aef1c55107d6"/>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a9b51ae4f0bc496f8b603411fcd980b1"/>
            <w:lock w:val="sdtLocked"/>
            <w:richText/>
          </w:sdtPr>
          <w:sdtContent>
            <w:p>
              <w:pPr>
                <w:ind w:firstLine="567"/>
                <w:jc w:val="both"/>
                <w:rPr>
                  <w:rFonts w:eastAsia="Andale Sans UI"/>
                  <w:b/>
                  <w:bCs/>
                  <w:szCs w:val="24"/>
                  <w:lang w:bidi="en-US"/>
                </w:rPr>
              </w:pPr>
              <w:sdt>
                <w:sdtPr>
                  <w:alias w:val="Numeris"/>
                  <w:tag w:val="nr_a9b51ae4f0bc496f8b603411fcd980b1"/>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derinamos Lietuvos Respublikos terminų banko įstatymo ir jo įgyvendinamųjų teisės aktų nustatyta tvarka.</w:t>
              </w:r>
            </w:p>
          </w:sdtContent>
        </w:sdt>
        <w:sdt>
          <w:sdtPr>
            <w:alias w:val="11 p."/>
            <w:tag w:val="part_96c971c4bb7e4128bb0ffe03ae7f2a2e"/>
            <w:lock w:val="sdtLocked"/>
            <w:richText/>
          </w:sdtPr>
          <w:sdtContent>
            <w:p>
              <w:pPr>
                <w:ind w:firstLine="567"/>
                <w:jc w:val="both"/>
                <w:rPr>
                  <w:rFonts w:eastAsia="Andale Sans UI"/>
                  <w:b/>
                  <w:bCs/>
                  <w:szCs w:val="24"/>
                  <w:lang w:bidi="en-US"/>
                </w:rPr>
              </w:pPr>
              <w:sdt>
                <w:sdtPr>
                  <w:alias w:val="Numeris"/>
                  <w:tag w:val="nr_96c971c4bb7e4128bb0ffe03ae7f2a2e"/>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color w:val="000000"/>
                  <w:szCs w:val="24"/>
                  <w:lang w:bidi="en-US"/>
                </w:rPr>
                <w:t>rojekte nereglamentuojamas asmens duomenų naudojimas.</w:t>
              </w:r>
            </w:p>
            <w:p>
              <w:pPr>
                <w:ind w:firstLine="567"/>
                <w:jc w:val="both"/>
                <w:rPr>
                  <w:rFonts w:eastAsia="Andale Sans UI"/>
                  <w:b/>
                  <w:bCs/>
                  <w:szCs w:val="24"/>
                  <w:lang w:bidi="en-US"/>
                </w:rPr>
              </w:pPr>
              <w:r>
                <w:rPr>
                  <w:color w:val="000000"/>
                  <w:szCs w:val="24"/>
                  <w:lang w:eastAsia="lt-LT" w:bidi="en-US"/>
                </w:rPr>
                <w:t>Rengiant Projektą dalyvavo VĮ Valstybinių miškų urėdija, Valstybinė miškų tarnyba, Nepriklausomų medienos matuotojų asociacija, Medienos perdirbimo asociacija</w:t>
              </w:r>
              <w:r>
                <w:rPr>
                  <w:iCs/>
                  <w:color w:val="000000"/>
                  <w:szCs w:val="24"/>
                  <w:lang w:eastAsia="lt-LT" w:bidi="en-US"/>
                </w:rPr>
                <w:t>.</w:t>
              </w:r>
            </w:p>
            <w:p>
              <w:pPr>
                <w:ind w:firstLine="567"/>
                <w:jc w:val="both"/>
                <w:rPr>
                  <w:rFonts w:eastAsia="Andale Sans UI"/>
                  <w:b/>
                  <w:bCs/>
                  <w:szCs w:val="24"/>
                  <w:lang w:bidi="en-US"/>
                </w:rPr>
              </w:pPr>
              <w:r>
                <w:rPr>
                  <w:rFonts w:eastAsia="Andale Sans UI"/>
                  <w:szCs w:val="24"/>
                  <w:lang w:bidi="en-US"/>
                </w:rPr>
                <w:t>(</w:t>
              </w:r>
              <w:r>
                <w:rPr>
                  <w:rFonts w:eastAsia="Andale Sans UI"/>
                  <w:i/>
                  <w:szCs w:val="24"/>
                  <w:lang w:bidi="en-US"/>
                </w:rPr>
                <w:t>Pateikiama kita, rengėjų nuomone, reikalinga informacija.</w:t>
              </w:r>
              <w:r>
                <w:rPr>
                  <w:rFonts w:eastAsia="Andale Sans UI"/>
                  <w:szCs w:val="24"/>
                  <w:lang w:bidi="en-US"/>
                </w:rPr>
                <w:t>)</w:t>
              </w:r>
            </w:p>
          </w:sdtContent>
        </w:sdt>
        <w:sdt>
          <w:sdtPr>
            <w:alias w:val="12 p."/>
            <w:tag w:val="part_17209e0b271e479ab9fc47940f6fdac8"/>
            <w:lock w:val="sdtLocked"/>
            <w:richText/>
          </w:sdtPr>
          <w:sdtContent>
            <w:p>
              <w:pPr>
                <w:ind w:firstLine="567"/>
                <w:jc w:val="both"/>
                <w:rPr>
                  <w:rFonts w:eastAsia="Andale Sans UI"/>
                  <w:b/>
                  <w:bCs/>
                  <w:i/>
                  <w:color w:val="000000"/>
                  <w:szCs w:val="24"/>
                  <w:lang w:bidi="en-US"/>
                </w:rPr>
              </w:pPr>
              <w:sdt>
                <w:sdtPr>
                  <w:alias w:val="Numeris"/>
                  <w:tag w:val="nr_17209e0b271e479ab9fc47940f6fdac8"/>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578a7fd6ed1e40eab80612b671753f4e"/>
            <w:lock w:val="sdtLocked"/>
            <w:richText/>
          </w:sdtPr>
          <w:sdtContent>
            <w:p>
              <w:pPr>
                <w:ind w:firstLine="567"/>
                <w:jc w:val="both"/>
                <w:rPr>
                  <w:rFonts w:eastAsia="Andale Sans UI"/>
                  <w:b/>
                  <w:bCs/>
                  <w:szCs w:val="24"/>
                  <w:lang w:bidi="en-US"/>
                </w:rPr>
              </w:pPr>
              <w:sdt>
                <w:sdtPr>
                  <w:alias w:val="Numeris"/>
                  <w:tag w:val="nr_578a7fd6ed1e40eab80612b671753f4e"/>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cd1fb9e2998d455b803b3e072fa586af"/>
            <w:lock w:val="sdtLocked"/>
            <w:richText/>
          </w:sdtPr>
          <w:sdtContent>
            <w:p>
              <w:pPr>
                <w:ind w:firstLine="567"/>
                <w:jc w:val="both"/>
                <w:rPr>
                  <w:rFonts w:eastAsia="Andale Sans UI"/>
                  <w:b/>
                  <w:bCs/>
                  <w:szCs w:val="24"/>
                  <w:lang w:bidi="en-US"/>
                </w:rPr>
              </w:pPr>
              <w:sdt>
                <w:sdtPr>
                  <w:alias w:val="Numeris"/>
                  <w:tag w:val="nr_cd1fb9e2998d455b803b3e072fa586af"/>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b/>
                  <w:bCs/>
                  <w:szCs w:val="24"/>
                  <w:lang w:bidi="en-US"/>
                </w:rPr>
              </w:pPr>
              <w:r>
                <w:rPr>
                  <w:rFonts w:eastAsia="Andale Sans UI"/>
                  <w:szCs w:val="24"/>
                  <w:lang w:bidi="en-US"/>
                </w:rPr>
                <w:t>Projektą parengė Aplinkos ministerijos Miškų politikos grupės (vadovas – Aurimas Saladžius, tel. +370 696 59 321, el. p. aurimas.saladzius</w:t>
              </w:r>
              <w:r>
                <w:rPr>
                  <w:rFonts w:eastAsia="Andale Sans UI"/>
                  <w:szCs w:val="24"/>
                  <w:lang w:val="en-US" w:bidi="en-US"/>
                </w:rPr>
                <w:t>@am.lt</w:t>
              </w:r>
              <w:r>
                <w:rPr>
                  <w:rFonts w:eastAsia="Andale Sans UI"/>
                  <w:szCs w:val="24"/>
                  <w:lang w:bidi="en-US"/>
                </w:rPr>
                <w:t>) vyresnysis patarėjas Donatas Vaikasas, tel. +370 696 49 889, el. p. donatas.vaikasas</w:t>
              </w:r>
              <w:r>
                <w:rPr>
                  <w:rFonts w:eastAsia="Andale Sans UI"/>
                  <w:szCs w:val="24"/>
                  <w:lang w:val="en-US" w:bidi="en-US"/>
                </w:rPr>
                <w:t>@am.lt</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17ab7247ef9547e19febaf68872dcc55"/>
            <w:lock w:val="sdtLocked"/>
            <w:richText/>
          </w:sdtPr>
          <w:sdtContent>
            <w:p>
              <w:pPr>
                <w:ind w:firstLine="567"/>
                <w:jc w:val="both"/>
                <w:rPr>
                  <w:color w:val="000000"/>
                  <w:szCs w:val="24"/>
                  <w:lang w:eastAsia="lt-LT" w:bidi="en-US"/>
                </w:rPr>
              </w:pPr>
              <w:sdt>
                <w:sdtPr>
                  <w:alias w:val="Numeris"/>
                  <w:tag w:val="nr_17ab7247ef9547e19febaf68872dcc55"/>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178 lapai.</w:t>
              </w:r>
            </w:p>
          </w:sdtContent>
        </w:sdt>
        <w:sdt>
          <w:sdtPr>
            <w:alias w:val="2 p."/>
            <w:tag w:val="part_e643795c6b894d3e8dbe3baa120c32f9"/>
            <w:lock w:val="sdtLocked"/>
            <w:richText/>
          </w:sdtPr>
          <w:sdtContent>
            <w:p>
              <w:pPr>
                <w:ind w:firstLine="567"/>
                <w:jc w:val="both"/>
                <w:rPr>
                  <w:color w:val="000000"/>
                  <w:szCs w:val="24"/>
                  <w:lang w:eastAsia="lt-LT" w:bidi="en-US"/>
                </w:rPr>
              </w:pPr>
              <w:sdt>
                <w:sdtPr>
                  <w:alias w:val="Numeris"/>
                  <w:tag w:val="nr_e643795c6b894d3e8dbe3baa120c32f9"/>
                  <w:lock w:val="sdtLocked"/>
                  <w:richText/>
                </w:sdtPr>
                <w:sdtContent>
                  <w:r>
                    <w:rPr>
                      <w:color w:val="000000"/>
                      <w:szCs w:val="24"/>
                      <w:lang w:eastAsia="lt-LT" w:bidi="en-US"/>
                    </w:rPr>
                    <w:t>2</w:t>
                  </w:r>
                </w:sdtContent>
              </w:sdt>
              <w:r>
                <w:rPr>
                  <w:color w:val="000000"/>
                  <w:szCs w:val="24"/>
                  <w:lang w:eastAsia="lt-LT" w:bidi="en-US"/>
                </w:rPr>
                <w:t>. Antikorupcinio vertinimo pažyma, 6 lapai.</w:t>
              </w:r>
            </w:p>
            <w:p>
              <w:pPr>
                <w:suppressLineNumbers/>
                <w:spacing w:line="276" w:lineRule="auto"/>
                <w:jc w:val="both"/>
                <w:rPr>
                  <w:color w:val="000000"/>
                  <w:szCs w:val="24"/>
                  <w:lang w:eastAsia="lt-LT" w:bidi="en-US"/>
                </w:rPr>
              </w:pP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Kęstutis Šetkus</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r>
                      <w:rPr>
                        <w:rFonts w:eastAsia="Andale Sans UI"/>
                        <w:szCs w:val="24"/>
                        <w:lang w:bidi="en-US"/>
                      </w:rPr>
                      <w:t>D. Vaikasas, tel. +370 696 49 889, el. p. donatas.vaikasas@am.lt</w:t>
                    </w:r>
                  </w:p>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2b5a1a89b2b94ee8b4d4b6f866e97c08"/>
            <w:lock w:val="sdtLocked"/>
            <w:richText/>
          </w:sdtPr>
          <w:sdtContent>
            <w:p>
              <w:pPr>
                <w:suppressLineNumbers/>
                <w:jc w:val="both"/>
                <w:rPr>
                  <w:rFonts w:eastAsia="Andale Sans UI"/>
                  <w:spacing w:val="10"/>
                  <w:szCs w:val="24"/>
                  <w:lang w:bidi="en-US"/>
                </w:rPr>
              </w:pPr>
              <w:r>
                <w:rPr>
                  <w:rFonts w:eastAsia="Andale Sans UI"/>
                  <w:spacing w:val="10"/>
                  <w:szCs w:val="24"/>
                  <w:lang w:bidi="en-US"/>
                </w:rPr>
                <w:t>Ekonomikos ir inovacijų ministerija</w:t>
              </w:r>
            </w:p>
            <w:p>
              <w:pPr>
                <w:suppressLineNumbers/>
                <w:jc w:val="both"/>
                <w:rPr>
                  <w:rFonts w:eastAsia="Andale Sans UI"/>
                  <w:spacing w:val="10"/>
                  <w:szCs w:val="24"/>
                  <w:lang w:bidi="en-US"/>
                </w:rPr>
              </w:pPr>
              <w:r>
                <w:rPr>
                  <w:rFonts w:eastAsia="Andale Sans UI"/>
                  <w:spacing w:val="10"/>
                  <w:szCs w:val="24"/>
                  <w:lang w:bidi="en-US"/>
                </w:rPr>
                <w:t>Konkurencijos taryba</w:t>
              </w:r>
            </w:p>
            <w:p>
              <w:pPr>
                <w:suppressLineNumbers/>
                <w:jc w:val="both"/>
                <w:rPr>
                  <w:rFonts w:eastAsia="Andale Sans UI"/>
                  <w:spacing w:val="10"/>
                  <w:szCs w:val="24"/>
                  <w:lang w:bidi="en-US"/>
                </w:rPr>
              </w:pPr>
              <w:r>
                <w:rPr>
                  <w:rFonts w:eastAsia="Andale Sans UI"/>
                  <w:spacing w:val="10"/>
                  <w:szCs w:val="24"/>
                  <w:lang w:bidi="en-US"/>
                </w:rPr>
                <w:t>Specialiųjų tyrimų tarnyba</w:t>
              </w:r>
            </w:p>
            <w:p>
              <w:pPr>
                <w:suppressLineNumbers/>
                <w:jc w:val="both"/>
                <w:rPr>
                  <w:rFonts w:eastAsia="Calibri"/>
                  <w:szCs w:val="24"/>
                </w:rPr>
              </w:pPr>
              <w:r>
                <w:rPr>
                  <w:rFonts w:eastAsia="Andale Sans UI"/>
                  <w:szCs w:val="24"/>
                  <w:lang w:bidi="en-US"/>
                </w:rPr>
                <w:t>Valstybinė miškų tarnyba</w:t>
              </w:r>
            </w:p>
            <w:p>
              <w:pPr>
                <w:suppressLineNumbers/>
                <w:jc w:val="both"/>
                <w:rPr>
                  <w:rFonts w:eastAsia="Calibri"/>
                  <w:szCs w:val="24"/>
                </w:rPr>
              </w:pPr>
              <w:r>
                <w:rPr>
                  <w:rFonts w:eastAsia="Calibri"/>
                  <w:szCs w:val="24"/>
                </w:rPr>
                <w:t>Lietuvos standartizacijos departamentas</w:t>
              </w:r>
            </w:p>
            <w:p>
              <w:pPr>
                <w:suppressLineNumbers/>
                <w:jc w:val="both"/>
                <w:rPr>
                  <w:rFonts w:eastAsia="Calibri"/>
                  <w:szCs w:val="24"/>
                  <w:lang w:val="en-GB"/>
                </w:rPr>
              </w:pPr>
              <w:r>
                <w:rPr>
                  <w:rFonts w:eastAsia="Calibri"/>
                  <w:szCs w:val="24"/>
                </w:rPr>
                <w:t>Lietuvos metrologijos inspekcija</w:t>
              </w:r>
            </w:p>
            <w:p>
              <w:pPr>
                <w:suppressLineNumbers/>
                <w:jc w:val="both"/>
                <w:rPr>
                  <w:rFonts w:eastAsia="Andale Sans UI"/>
                  <w:szCs w:val="24"/>
                  <w:lang w:bidi="en-US"/>
                </w:rPr>
              </w:pPr>
              <w:r>
                <w:rPr>
                  <w:rFonts w:eastAsia="Andale Sans UI"/>
                  <w:szCs w:val="24"/>
                  <w:lang w:bidi="en-US"/>
                </w:rPr>
                <w:t>VĮ Valstybinių miškų urėdija</w:t>
              </w:r>
            </w:p>
            <w:p>
              <w:pPr>
                <w:suppressLineNumbers/>
                <w:jc w:val="both"/>
                <w:rPr>
                  <w:rFonts w:eastAsia="Andale Sans UI"/>
                  <w:szCs w:val="24"/>
                  <w:lang w:bidi="en-US"/>
                </w:rPr>
              </w:pPr>
              <w:r>
                <w:rPr>
                  <w:rFonts w:eastAsia="Andale Sans UI"/>
                  <w:szCs w:val="24"/>
                  <w:lang w:bidi="en-US"/>
                </w:rPr>
                <w:t>Nepriklausomų medienos matuotojų asociacija</w:t>
              </w:r>
            </w:p>
            <w:p>
              <w:pPr>
                <w:suppressLineNumbers/>
                <w:jc w:val="both"/>
                <w:rPr>
                  <w:rFonts w:eastAsia="Andale Sans UI"/>
                  <w:szCs w:val="24"/>
                  <w:lang w:bidi="en-US"/>
                </w:rPr>
              </w:pPr>
              <w:r>
                <w:rPr>
                  <w:rFonts w:eastAsia="Calibri"/>
                  <w:szCs w:val="24"/>
                </w:rPr>
                <w:t>Vakarų Lietuvos medienos perdirbėjų ir eksportuotojų asociacija</w:t>
              </w:r>
            </w:p>
            <w:p>
              <w:pPr>
                <w:suppressLineNumbers/>
                <w:jc w:val="both"/>
                <w:rPr>
                  <w:rFonts w:eastAsia="Andale Sans UI"/>
                  <w:szCs w:val="24"/>
                  <w:lang w:bidi="en-US"/>
                </w:rPr>
              </w:pPr>
              <w:r>
                <w:rPr>
                  <w:rFonts w:eastAsia="Andale Sans UI"/>
                  <w:szCs w:val="24"/>
                  <w:lang w:bidi="en-US"/>
                </w:rPr>
                <w:t>Lietuvos medienos pramonės įmonių asociacija „Lietuvos mediena“</w:t>
              </w:r>
            </w:p>
            <w:p>
              <w:pPr>
                <w:suppressLineNumbers/>
                <w:jc w:val="both"/>
                <w:rPr>
                  <w:rFonts w:eastAsia="Andale Sans UI"/>
                  <w:szCs w:val="24"/>
                  <w:lang w:bidi="en-US"/>
                </w:rPr>
              </w:pPr>
              <w:r>
                <w:rPr>
                  <w:rFonts w:eastAsia="Calibri"/>
                  <w:szCs w:val="24"/>
                </w:rPr>
                <w:t>Medienos perdirbimo asociacija</w:t>
              </w:r>
            </w:p>
            <w:p>
              <w:pPr>
                <w:suppressLineNumbers/>
                <w:jc w:val="both"/>
                <w:rPr>
                  <w:rFonts w:eastAsia="Calibri"/>
                  <w:szCs w:val="24"/>
                </w:rPr>
              </w:pPr>
              <w:r>
                <w:rPr>
                  <w:rFonts w:eastAsia="Calibri"/>
                  <w:szCs w:val="24"/>
                </w:rPr>
                <w:t>Lietuvos biomasės energetikos asociacija „Litbioma“</w:t>
              </w:r>
            </w:p>
            <w:p>
              <w:pPr>
                <w:suppressLineNumbers/>
                <w:jc w:val="both"/>
                <w:rPr>
                  <w:rFonts w:eastAsia="Andale Sans UI"/>
                  <w:spacing w:val="10"/>
                  <w:szCs w:val="24"/>
                  <w:lang w:bidi="en-US"/>
                </w:rPr>
              </w:pPr>
              <w:r>
                <w:rPr>
                  <w:rFonts w:eastAsia="Andale Sans UI"/>
                  <w:spacing w:val="10"/>
                  <w:szCs w:val="24"/>
                  <w:lang w:bidi="en-US"/>
                </w:rPr>
                <w:t>Medienos prekybos asociacija</w:t>
              </w:r>
            </w:p>
            <w:p>
              <w:pPr>
                <w:suppressLineNumbers/>
                <w:jc w:val="both"/>
                <w:rPr>
                  <w:rFonts w:eastAsia="Calibri"/>
                  <w:szCs w:val="24"/>
                </w:rPr>
              </w:pPr>
              <w:r>
                <w:rPr>
                  <w:rFonts w:eastAsia="Calibri"/>
                  <w:szCs w:val="24"/>
                </w:rPr>
                <w:t>Medinės taros gamintojų asociacija</w:t>
              </w:r>
            </w:p>
            <w:p>
              <w:pPr>
                <w:suppressLineNumbers/>
                <w:jc w:val="both"/>
                <w:rPr>
                  <w:rFonts w:eastAsia="Calibri"/>
                  <w:szCs w:val="24"/>
                </w:rPr>
              </w:pPr>
              <w:r>
                <w:rPr>
                  <w:rFonts w:eastAsia="Calibri"/>
                  <w:szCs w:val="24"/>
                </w:rPr>
                <w:t>Lietuvos miško ir žemės savininkų asociacija</w:t>
              </w:r>
            </w:p>
            <w:p>
              <w:pPr>
                <w:suppressLineNumbers/>
                <w:jc w:val="both"/>
                <w:rPr>
                  <w:rFonts w:eastAsia="Calibri"/>
                  <w:szCs w:val="24"/>
                </w:rPr>
              </w:pPr>
              <w:r>
                <w:rPr>
                  <w:rFonts w:eastAsia="Calibri"/>
                  <w:szCs w:val="24"/>
                </w:rPr>
                <w:t>Privačių miškų savininkų asociacija</w:t>
              </w:r>
            </w:p>
            <w:p>
              <w:pPr>
                <w:suppressLineNumbers/>
                <w:jc w:val="both"/>
                <w:rPr>
                  <w:rFonts w:eastAsia="Andale Sans UI" w:cs="Tahoma"/>
                  <w:spacing w:val="10"/>
                  <w:szCs w:val="24"/>
                  <w:lang w:val="en-GB" w:bidi="en-US"/>
                </w:rPr>
              </w:pPr>
            </w:p>
            <w:p>
              <w:pPr>
                <w:textAlignment w:val="baseline"/>
                <w:rPr>
                  <w:rFonts w:ascii="Segoe UI" w:hAnsi="Segoe UI" w:cs="Segoe UI"/>
                  <w:szCs w:val="24"/>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6"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 w:val="20"/>
          <w:lang w:eastAsia="lt-LT"/>
        </w:rPr>
      </w:pPr>
      <w:r>
        <w:rPr>
          <w:rFonts w:eastAsia="Andale Sans UI"/>
          <w:sz w:val="20"/>
          <w:vertAlign w:val="superscript"/>
        </w:rPr>
        <w:footnoteRef/>
        <w:t xml:space="preserve"> </w:t>
      </w:r>
      <w:hyperlink r:id="rId8"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C2BA916-A9A8-4392-86AB-004DF48B56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19621182">
      <w:bodyDiv w:val="1"/>
      <w:marLeft w:val="0"/>
      <w:marRight w:val="0"/>
      <w:marTop w:val="0"/>
      <w:marBottom w:val="0"/>
      <w:divBdr>
        <w:top w:val="none" w:sz="0" w:space="0" w:color="auto"/>
        <w:left w:val="none" w:sz="0" w:space="0" w:color="auto"/>
        <w:bottom w:val="none" w:sz="0" w:space="0" w:color="auto"/>
        <w:right w:val="none" w:sz="0" w:space="0" w:color="auto"/>
      </w:divBdr>
      <w:divsChild>
        <w:div w:id="727656599">
          <w:marLeft w:val="446"/>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530030413">
      <w:bodyDiv w:val="1"/>
      <w:marLeft w:val="0"/>
      <w:marRight w:val="0"/>
      <w:marTop w:val="0"/>
      <w:marBottom w:val="0"/>
      <w:divBdr>
        <w:top w:val="none" w:sz="0" w:space="0" w:color="auto"/>
        <w:left w:val="none" w:sz="0" w:space="0" w:color="auto"/>
        <w:bottom w:val="none" w:sz="0" w:space="0" w:color="auto"/>
        <w:right w:val="none" w:sz="0" w:space="0" w:color="auto"/>
      </w:divBdr>
      <w:divsChild>
        <w:div w:id="158834759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6" Type="http://schemas.openxmlformats.org/officeDocument/2006/relationships/hyperlink" TargetMode="External" Target="https://www.e-tar.lt/portal/lt/legalAct/TAR.DB68BCA9E3A0/asr"/>
  <Relationship Id="rId7" Type="http://schemas.openxmlformats.org/officeDocument/2006/relationships/hyperlink" TargetMode="External" Target="https://www.e-tar.lt/portal/lt/legalAct/TAR.EDD5FD371B32/asr"/>
  <Relationship Id="rId8"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eb23373026b410ab3a151538e554d09" PartId="ff1d750b0fa14c52b75218fe30456b65"/>
  <Part Type="pastraipa" DocPartId="38315d441f0c4ca3a94fe73101a04cc2" PartId="ef406af683794e158120b581e82d1c2a">
    <Part Type="punktas" Nr="1" Abbr="1 p." DocPartId="bbb831dc4b534d6dbc77b669ebaad5ce" PartId="80e18d9d06284e79858452fe7165d772"/>
    <Part Type="punktas" Nr="2" Abbr="2 p." DocPartId="1bd6f1510ce74304952cbf8e69f0493d" PartId="e48d72b22c47474a8b2fe55791fe85dd"/>
    <Part Type="punktas" Nr="3" Abbr="3 p." DocPartId="f164af919a0d48b2a399f677c8d157a4" PartId="13ccf9b6bf444a35a50ab600ab4deefc"/>
    <Part Type="punktas" Nr="4" Abbr="4 p." DocPartId="a19028c717064a4e96df488dbd9e4d64" PartId="2c867158e1f440e09be3301edbac44cb"/>
    <Part Type="punktas" Nr="5" Abbr="5 p." DocPartId="459ec7d02217405f8ae6115acc7fefd8" PartId="3237f6106fab4912ba10ad5048ccab51"/>
    <Part Type="punktas" Nr="6" Abbr="6 p." DocPartId="fb78b50e722b44daa84c0933360cfa2a" PartId="9c37b4b81f0a4f0cb4057b539094562a"/>
    <Part Type="punktas" Nr="7" Abbr="7 p." DocPartId="c529eb3815f24a23b4e95a9c9157d240" PartId="387bbdccb8004d239cd71cf2f7cd3980"/>
    <Part Type="punktas" Nr="8" Abbr="8 p." DocPartId="97b578c46549469d91a423c7ef01464f" PartId="a0e6097ebd9d44778764c5293bd277e9"/>
    <Part Type="punktas" Nr="9" Abbr="9 p." DocPartId="2f224facc97440219b1950e152962bb5" PartId="b21aca3207bb446faa84aef1c55107d6"/>
    <Part Type="punktas" Nr="10" Abbr="10 p." DocPartId="3aa9ab1904fb49f5b23bbe992283c781" PartId="a9b51ae4f0bc496f8b603411fcd980b1"/>
    <Part Type="punktas" Nr="11" Abbr="11 p." DocPartId="320449fc58514d00b1db8cfe6b361255" PartId="96c971c4bb7e4128bb0ffe03ae7f2a2e"/>
    <Part Type="punktas" Nr="12" Abbr="12 p." DocPartId="cac6193a087945f68949cdf94e934841" PartId="17209e0b271e479ab9fc47940f6fdac8"/>
    <Part Type="punktas" Nr="13" Abbr="13 p." DocPartId="0ccdf217428345ab9612d073f27afc33" PartId="578a7fd6ed1e40eab80612b671753f4e"/>
    <Part Type="punktas" Nr="14" Abbr="14 p." DocPartId="20ea894379b446e0a7e67ade2143b8e4" PartId="cd1fb9e2998d455b803b3e072fa586af"/>
    <Part Type="punktas" Nr="1" Abbr="1 p." Notes="Numeris ne iš eilės. Trūksta dalių? [DocDalys]" DocPartId="fe0a07c65e5b4ac6842b62132074a267" PartId="17ab7247ef9547e19febaf68872dcc55"/>
    <Part Type="punktas" Nr="2" Abbr="2 p." DocPartId="9533d2c3e43c4d85b00bb06a257708a8" PartId="e643795c6b894d3e8dbe3baa120c32f9"/>
    <Part Type="signatura" DocPartId="5fb6b338acb84b188b066e240551436a" PartId="2b5a1a89b2b94ee8b4d4b6f866e97c08"/>
  </Part>
</Parts>
</file>

<file path=customXml/itemProps1.xml><?xml version="1.0" encoding="utf-8"?>
<ds:datastoreItem xmlns:ds="http://schemas.openxmlformats.org/officeDocument/2006/customXml" ds:itemID="{8885EE3C-46C9-4C90-9165-2B4A9EE993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F6AA2447-4379-46EF-8B29-D7D8E4806420}">
  <ds:schemaRefs>
    <ds:schemaRef ds:uri="http://schemas.openxmlformats.org/officeDocument/2006/bibliography"/>
  </ds:schemaRefs>
</ds:datastoreItem>
</file>

<file path=customXml/itemProps5.xml><?xml version="1.0" encoding="utf-8"?>
<ds:datastoreItem xmlns:ds="http://schemas.openxmlformats.org/officeDocument/2006/customXml" ds:itemID="{AC3DBD2A-D4A9-43ED-9C72-A5C00156F5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1440</Words>
  <Characters>10803</Characters>
  <Application>Microsoft Office Word</Application>
  <DocSecurity>4</DocSecurity>
  <Lines>211</Lines>
  <Paragraphs>92</Paragraphs>
  <ScaleCrop>false</ScaleCrop>
  <Company/>
  <LinksUpToDate>false</LinksUpToDate>
  <CharactersWithSpaces>12151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2024-12-06T07:07:00Z</dcterms:created>
  <dc:creator>Donatas Vaikasas</dc:creator>
  <lastModifiedBy>adlibuser</lastModifiedBy>
  <dcterms:modified xsi:type="dcterms:W3CDTF">2024-12-06T07:07:00Z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