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Next/>
        <w:jc w:val="center"/>
        <w:rPr>
          <w:b/>
          <w:caps/>
          <w:szCs w:val="24"/>
          <w:lang w:eastAsia="lt-LT"/>
        </w:rPr>
      </w:pPr>
      <w:r>
        <w:rPr>
          <w:b/>
          <w:caps/>
          <w:szCs w:val="24"/>
          <w:lang w:eastAsia="lt-LT"/>
        </w:rPr>
        <w:t xml:space="preserve">vALSTYBINĖ </w:t>
      </w:r>
      <w:r>
        <w:rPr>
          <w:b/>
          <w:szCs w:val="24"/>
          <w:lang w:eastAsia="lt-LT"/>
        </w:rPr>
        <w:t>ENERGETIKOS REGULIAVIMO TARYBA</w:t>
      </w:r>
    </w:p>
    <w:p>
      <w:pPr>
        <w:spacing w:line="259" w:lineRule="auto"/>
        <w:jc w:val="center"/>
        <w:rPr>
          <w:b/>
          <w:caps/>
          <w:szCs w:val="24"/>
        </w:rPr>
      </w:pPr>
    </w:p>
    <w:p>
      <w:pPr>
        <w:spacing w:line="259" w:lineRule="auto"/>
        <w:jc w:val="center"/>
        <w:rPr>
          <w:b/>
          <w:caps/>
          <w:szCs w:val="24"/>
        </w:rPr>
      </w:pPr>
      <w:r>
        <w:rPr>
          <w:b/>
          <w:caps/>
          <w:szCs w:val="24"/>
        </w:rPr>
        <w:t>NUTARIMAS</w:t>
      </w:r>
    </w:p>
    <w:p>
      <w:pPr>
        <w:keepLines/>
        <w:widowControl w:val="0"/>
        <w:suppressAutoHyphens/>
        <w:spacing w:line="259" w:lineRule="auto"/>
        <w:jc w:val="center"/>
        <w:rPr>
          <w:b/>
          <w:caps/>
          <w:szCs w:val="24"/>
        </w:rPr>
      </w:pPr>
      <w:r>
        <w:rPr>
          <w:b/>
          <w:caps/>
          <w:szCs w:val="24"/>
        </w:rPr>
        <w:t xml:space="preserve">DĖL VALSTYBINĖS </w:t>
      </w:r>
      <w:r>
        <w:rPr>
          <w:b/>
          <w:bCs/>
          <w:caps/>
          <w:szCs w:val="24"/>
        </w:rPr>
        <w:t xml:space="preserve">ENERGETIKOS reguliavimo tarybos </w:t>
      </w:r>
      <w:r>
        <w:rPr>
          <w:b/>
          <w:caps/>
          <w:szCs w:val="24"/>
        </w:rPr>
        <w:t>2013 m. rugsėjo 13 d. nutarimo Nr. O3-367 „DĖL VALSTYBĖS REGULIUOJAMŲ KAINŲ GAMTINIŲ DUJŲ SEKTORIUJE NUSTATYMO METODIKOS PATVIRTINIMO</w:t>
      </w:r>
      <w:r>
        <w:rPr>
          <w:b/>
          <w:szCs w:val="24"/>
        </w:rPr>
        <w:t xml:space="preserve">“ PAKEITIMO </w:t>
      </w:r>
    </w:p>
    <w:p>
      <w:pPr>
        <w:spacing w:line="259" w:lineRule="auto"/>
        <w:jc w:val="center"/>
        <w:rPr>
          <w:b/>
          <w:caps/>
          <w:szCs w:val="24"/>
        </w:rPr>
      </w:pPr>
    </w:p>
    <w:p>
      <w:pPr>
        <w:spacing w:line="259" w:lineRule="auto"/>
        <w:jc w:val="center"/>
        <w:rPr>
          <w:szCs w:val="24"/>
        </w:rPr>
      </w:pPr>
      <w:r>
        <w:rPr>
          <w:szCs w:val="24"/>
        </w:rPr>
        <w:t xml:space="preserve">2020 m.                          d. Nr. O3E-</w:t>
      </w:r>
    </w:p>
    <w:p>
      <w:pPr>
        <w:spacing w:line="259" w:lineRule="auto"/>
        <w:jc w:val="center"/>
        <w:rPr>
          <w:szCs w:val="24"/>
        </w:rPr>
      </w:pPr>
      <w:r>
        <w:rPr>
          <w:szCs w:val="24"/>
        </w:rPr>
        <w:t>Vilnius</w:t>
      </w:r>
    </w:p>
    <w:p>
      <w:pPr>
        <w:spacing w:line="259" w:lineRule="auto"/>
        <w:rPr>
          <w:szCs w:val="24"/>
        </w:rPr>
      </w:pPr>
    </w:p>
    <w:p>
      <w:pPr>
        <w:widowControl w:val="0"/>
        <w:spacing w:line="259" w:lineRule="auto"/>
        <w:ind w:firstLine="720"/>
        <w:jc w:val="both"/>
        <w:rPr>
          <w:szCs w:val="24"/>
        </w:rPr>
      </w:pPr>
      <w:r>
        <w:rPr>
          <w:szCs w:val="24"/>
        </w:rPr>
        <w:t xml:space="preserve">Vadovaudamasi Lietuvos Respublikos energetikos įstatymo 8 straipsnio 11 dalies 2 punktu, Lietuvos </w:t>
      </w:r>
      <w:r>
        <w:rPr>
          <w:spacing w:val="8"/>
          <w:szCs w:val="24"/>
        </w:rPr>
        <w:t xml:space="preserve">Respublikos gamtinių dujų įstatymo </w:t>
      </w:r>
      <w:r>
        <w:rPr>
          <w:szCs w:val="24"/>
        </w:rPr>
        <w:t xml:space="preserve">7 straipsnio 2 dalies 1 punktu, 9 straipsnio 1, 2, 3 ir 6 dalimis, Lietuvos Respublikos suskystintų gamtinių dujų terminalo įstatymo 5 straipsnio 2 ir 5 dalimis bei atsižvelgdama į Valstybinės energetikos reguliavimo tarybos (toliau – Taryba) </w:t>
      </w:r>
      <w:r>
        <w:rPr>
          <w:spacing w:val="-2"/>
          <w:szCs w:val="24"/>
        </w:rPr>
        <w:t xml:space="preserve">Dujų </w:t>
      </w:r>
      <w:r>
        <w:rPr>
          <w:spacing w:val="-3"/>
          <w:szCs w:val="24"/>
        </w:rPr>
        <w:t xml:space="preserve">ir elektros departamento Dujų skyriaus 2020 m.               d. pažymą Nr. O5E- </w:t>
      </w:r>
      <w:r>
        <w:rPr>
          <w:spacing w:val="-2"/>
          <w:szCs w:val="24"/>
        </w:rPr>
        <w:t xml:space="preserve"> „Dėl Valstybės energetikos reguliavimo tarybos 2013 m. rugsėjo 13 d. nutarimo Nr. O3-367 „Dėl valstybės reguliuojamų kainų gamtinių dujų sektoriuje nustatymo metodikos patvirtinimo“ pakeitimo“, Taryba n u t a r i a: </w:t>
      </w:r>
    </w:p>
    <w:p>
      <w:pPr>
        <w:widowControl w:val="0"/>
        <w:tabs>
          <w:tab w:val="right" w:pos="9071"/>
        </w:tabs>
        <w:suppressAutoHyphens/>
        <w:spacing w:line="259" w:lineRule="auto"/>
        <w:ind w:firstLine="720"/>
        <w:jc w:val="both"/>
        <w:rPr>
          <w:szCs w:val="24"/>
        </w:rPr>
      </w:pPr>
      <w:r>
        <w:rPr>
          <w:szCs w:val="24"/>
        </w:rPr>
        <w:t>Pakeisti Valstybės reguliuojamų kainų gamtinių dujų sektoriuje nustatymo metodiką, patvirtintą Tarybos 2013 m. rugsėjo 13 d. nutarimu Nr. O3-367 „Dėl Valstybės reguliuojamų kainų gamtinių dujų sektoriuje nustatymo metodikos patvirtinimo“ (toliau – Metodika):</w:t>
      </w:r>
    </w:p>
    <w:p>
      <w:pPr>
        <w:ind w:left="1080" w:hanging="360"/>
        <w:jc w:val="both"/>
        <w:textAlignment w:val="baseline"/>
        <w:rPr>
          <w:szCs w:val="24"/>
          <w:lang w:eastAsia="lt-LT"/>
        </w:rPr>
      </w:pPr>
      <w:r>
        <w:rPr>
          <w:szCs w:val="24"/>
          <w:lang w:eastAsia="lt-LT"/>
        </w:rPr>
        <w:t>1</w:t>
      </w:r>
      <w:r>
        <w:rPr>
          <w:szCs w:val="24"/>
          <w:lang w:eastAsia="lt-LT"/>
        </w:rPr>
        <w:t>.</w:t>
        <w:tab/>
        <w:t>Pakeisti Metodikos 17 punktą ir jį išdėstyti taip:</w:t>
      </w:r>
    </w:p>
    <w:p>
      <w:pPr>
        <w:widowControl w:val="0"/>
        <w:tabs>
          <w:tab w:val="left" w:pos="1134"/>
        </w:tabs>
        <w:spacing w:line="259" w:lineRule="auto"/>
        <w:ind w:firstLine="720"/>
        <w:jc w:val="both"/>
        <w:rPr>
          <w:szCs w:val="24"/>
          <w:lang w:eastAsia="lt-LT"/>
        </w:rPr>
      </w:pPr>
      <w:r>
        <w:rPr>
          <w:szCs w:val="24"/>
          <w:lang w:eastAsia="lt-LT"/>
        </w:rPr>
        <w:t>„</w:t>
      </w:r>
      <w:r>
        <w:rPr>
          <w:szCs w:val="24"/>
          <w:lang w:eastAsia="lt-LT"/>
        </w:rPr>
        <w:t>17</w:t>
      </w:r>
      <w:r>
        <w:rPr>
          <w:szCs w:val="24"/>
          <w:lang w:eastAsia="lt-LT"/>
        </w:rPr>
        <w:t>. SGD terminalo operatorius, vadovaudamasis Lietuvos Respublikos suskystintų gamtinių dujų terminalo įstatymo (toliau – SGDT įstatymas) 9 straipsnio 6 dalimi, ne vėliau kaip iki 2024 m. gruodžio 31 d. nuosavybės teise įsigyja plaukiojančiąją SGD saugyklą ir tampa jos valdytoju. SGD terminalo operatorius taiko priemones, mažinančias saugumo dedamąją dar iki plaukiojančiosios SGD saugyklos įsigijimo, paskirstydamas SGD terminalo pastoviųjų sąnaudų dalį per SGD terminalo veiklos laikotarpį, t. y. iki 2044 m. gruodžio 31 d. SGD pakartotinio dujinimo paslaugos pajamų viršutinė riba (P</w:t>
      </w:r>
      <w:r>
        <w:rPr>
          <w:szCs w:val="24"/>
          <w:vertAlign w:val="subscript"/>
          <w:lang w:eastAsia="lt-LT"/>
        </w:rPr>
        <w:t>d</w:t>
      </w:r>
      <w:r>
        <w:rPr>
          <w:szCs w:val="24"/>
          <w:lang w:eastAsia="lt-LT"/>
        </w:rPr>
        <w:t xml:space="preserve">) skaičiuojama pagal (11) formulę: </w:t>
      </w:r>
    </w:p>
    <w:p>
      <w:pPr>
        <w:suppressAutoHyphens/>
        <w:spacing w:line="259" w:lineRule="auto"/>
        <w:jc w:val="both"/>
        <w:textAlignment w:val="baseline"/>
        <w:rPr>
          <w:szCs w:val="24"/>
          <w:lang w:eastAsia="lt-LT"/>
        </w:rPr>
      </w:pPr>
      <w:r>
        <w:rPr>
          <w:szCs w:val="24"/>
          <w:lang w:val="en-US"/>
        </w:rPr>
        <w:drawing>
          <wp:inline distT="0" distB="0" distL="0" distR="0" wp14:anchorId="4986040D" wp14:editId="355631F4">
            <wp:extent cx="61150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00050"/>
                    </a:xfrm>
                    <a:prstGeom prst="rect">
                      <a:avLst/>
                    </a:prstGeom>
                    <a:noFill/>
                    <a:ln>
                      <a:noFill/>
                    </a:ln>
                  </pic:spPr>
                </pic:pic>
              </a:graphicData>
            </a:graphic>
          </wp:inline>
        </w:drawing>
      </w:r>
    </w:p>
    <w:p>
      <w:pPr>
        <w:suppressAutoHyphens/>
        <w:spacing w:line="259" w:lineRule="auto"/>
        <w:ind w:firstLine="720"/>
        <w:jc w:val="both"/>
        <w:textAlignment w:val="baseline"/>
        <w:rPr>
          <w:i/>
          <w:szCs w:val="24"/>
          <w:lang w:eastAsia="lt-LT"/>
        </w:rPr>
      </w:pPr>
      <w:r>
        <w:rPr>
          <w:i/>
          <w:szCs w:val="24"/>
          <w:lang w:eastAsia="lt-LT"/>
        </w:rPr>
        <w:t>čia:</w:t>
      </w:r>
    </w:p>
    <w:p>
      <w:pPr>
        <w:suppressAutoHyphens/>
        <w:spacing w:line="259" w:lineRule="auto"/>
        <w:ind w:firstLine="720"/>
        <w:jc w:val="both"/>
        <w:textAlignment w:val="baseline"/>
        <w:rPr>
          <w:szCs w:val="24"/>
          <w:lang w:eastAsia="lt-LT"/>
        </w:rPr>
      </w:pPr>
      <w:r>
        <w:rPr>
          <w:szCs w:val="24"/>
          <w:lang w:eastAsia="lt-LT"/>
        </w:rPr>
        <w:t>S</w:t>
      </w:r>
      <w:r>
        <w:rPr>
          <w:szCs w:val="24"/>
          <w:vertAlign w:val="subscript"/>
          <w:lang w:eastAsia="lt-LT"/>
        </w:rPr>
        <w:t>SGDT</w:t>
      </w:r>
      <w:r>
        <w:rPr>
          <w:szCs w:val="24"/>
          <w:lang w:eastAsia="lt-LT"/>
        </w:rPr>
        <w:t xml:space="preserve"> – SGD terminalo, jo infrastruktūros ir jungties metinės eksploatavimo bazinės sąnaudos skaičiuojamos pagal (12) formulę:</w:t>
      </w:r>
    </w:p>
    <w:p>
      <w:pPr>
        <w:suppressAutoHyphens/>
        <w:spacing w:line="259" w:lineRule="auto"/>
        <w:jc w:val="both"/>
        <w:textAlignment w:val="baseline"/>
        <w:rPr>
          <w:szCs w:val="24"/>
          <w:lang w:eastAsia="lt-LT"/>
        </w:rPr>
      </w:pPr>
      <w:r>
        <w:rPr>
          <w:szCs w:val="24"/>
          <w:lang w:eastAsia="lt-LT"/>
        </w:rPr>
        <w:t>S</w:t>
      </w:r>
      <w:r>
        <w:rPr>
          <w:szCs w:val="24"/>
          <w:vertAlign w:val="subscript"/>
          <w:lang w:eastAsia="lt-LT"/>
        </w:rPr>
        <w:t>SGDT</w:t>
      </w:r>
      <w:r>
        <w:rPr>
          <w:szCs w:val="24"/>
          <w:lang w:eastAsia="lt-LT"/>
        </w:rPr>
        <w:t xml:space="preserve"> = OPEX</w:t>
      </w:r>
      <w:r>
        <w:rPr>
          <w:szCs w:val="24"/>
          <w:vertAlign w:val="subscript"/>
          <w:lang w:eastAsia="lt-LT"/>
        </w:rPr>
        <w:t xml:space="preserve">SGDT(be DU) </w:t>
      </w:r>
      <w:r>
        <w:rPr>
          <w:szCs w:val="24"/>
          <w:lang w:eastAsia="lt-LT"/>
        </w:rPr>
        <w:t>+ C</w:t>
      </w:r>
      <w:r>
        <w:rPr>
          <w:szCs w:val="24"/>
          <w:vertAlign w:val="subscript"/>
          <w:lang w:eastAsia="lt-LT"/>
        </w:rPr>
        <w:t xml:space="preserve">DA </w:t>
      </w:r>
      <w:r>
        <w:rPr>
          <w:szCs w:val="24"/>
          <w:lang w:eastAsia="lt-LT"/>
        </w:rPr>
        <w:t>+ OPEX</w:t>
      </w:r>
      <w:r>
        <w:rPr>
          <w:szCs w:val="24"/>
          <w:vertAlign w:val="subscript"/>
          <w:lang w:eastAsia="lt-LT"/>
        </w:rPr>
        <w:t>SGDT(DU)</w:t>
      </w:r>
      <w:r>
        <w:rPr>
          <w:szCs w:val="24"/>
          <w:lang w:eastAsia="lt-LT"/>
        </w:rPr>
        <w:t xml:space="preserve"> + C</w:t>
      </w:r>
      <w:r>
        <w:rPr>
          <w:szCs w:val="24"/>
          <w:vertAlign w:val="subscript"/>
          <w:lang w:eastAsia="lt-LT"/>
        </w:rPr>
        <w:t>T</w:t>
      </w:r>
      <w:r>
        <w:rPr>
          <w:szCs w:val="24"/>
          <w:lang w:eastAsia="lt-LT"/>
        </w:rPr>
        <w:t xml:space="preserve"> + C</w:t>
      </w:r>
      <w:r>
        <w:rPr>
          <w:szCs w:val="24"/>
          <w:vertAlign w:val="subscript"/>
          <w:lang w:eastAsia="lt-LT"/>
        </w:rPr>
        <w:t>PS</w:t>
      </w:r>
      <w:r>
        <w:rPr>
          <w:szCs w:val="24"/>
          <w:lang w:eastAsia="lt-LT"/>
        </w:rPr>
        <w:t xml:space="preserve"> + P</w:t>
      </w:r>
      <w:r>
        <w:rPr>
          <w:szCs w:val="24"/>
          <w:vertAlign w:val="subscript"/>
          <w:lang w:eastAsia="lt-LT"/>
        </w:rPr>
        <w:t>Q</w:t>
      </w:r>
      <w:r>
        <w:rPr>
          <w:szCs w:val="24"/>
          <w:lang w:eastAsia="lt-LT"/>
        </w:rPr>
        <w:t xml:space="preserve"> + C</w:t>
      </w:r>
      <w:r>
        <w:rPr>
          <w:szCs w:val="24"/>
          <w:vertAlign w:val="subscript"/>
          <w:lang w:eastAsia="lt-LT"/>
        </w:rPr>
        <w:t xml:space="preserve">X </w:t>
      </w:r>
      <w:r>
        <w:rPr>
          <w:szCs w:val="24"/>
          <w:lang w:eastAsia="lt-LT"/>
        </w:rPr>
        <w:t>− C</w:t>
      </w:r>
      <w:r>
        <w:rPr>
          <w:szCs w:val="24"/>
          <w:vertAlign w:val="subscript"/>
          <w:lang w:eastAsia="lt-LT"/>
        </w:rPr>
        <w:t xml:space="preserve">F </w:t>
      </w:r>
      <w:r>
        <w:rPr>
          <w:szCs w:val="24"/>
          <w:lang w:eastAsia="lt-LT"/>
        </w:rPr>
        <w:t>– P</w:t>
      </w:r>
      <w:r>
        <w:rPr>
          <w:szCs w:val="24"/>
          <w:vertAlign w:val="subscript"/>
          <w:lang w:eastAsia="lt-LT"/>
        </w:rPr>
        <w:t>perk</w:t>
      </w:r>
      <w:r>
        <w:rPr>
          <w:szCs w:val="24"/>
          <w:lang w:eastAsia="lt-LT"/>
        </w:rPr>
        <w:t xml:space="preserve">; (Eur)  (12)</w:t>
      </w:r>
    </w:p>
    <w:p>
      <w:pPr>
        <w:suppressAutoHyphens/>
        <w:spacing w:line="259" w:lineRule="auto"/>
        <w:ind w:firstLine="720"/>
        <w:jc w:val="both"/>
        <w:textAlignment w:val="baseline"/>
        <w:rPr>
          <w:i/>
          <w:szCs w:val="24"/>
          <w:lang w:eastAsia="lt-LT"/>
        </w:rPr>
      </w:pPr>
      <w:r>
        <w:rPr>
          <w:i/>
          <w:szCs w:val="24"/>
          <w:lang w:eastAsia="lt-LT"/>
        </w:rPr>
        <w:t>čia:</w:t>
      </w:r>
    </w:p>
    <w:p>
      <w:pPr>
        <w:suppressAutoHyphens/>
        <w:spacing w:line="259" w:lineRule="auto"/>
        <w:ind w:firstLine="720"/>
        <w:jc w:val="both"/>
        <w:textAlignment w:val="baseline"/>
        <w:rPr>
          <w:i/>
          <w:szCs w:val="24"/>
          <w:lang w:eastAsia="lt-LT"/>
        </w:rPr>
      </w:pPr>
      <w:r>
        <w:rPr>
          <w:szCs w:val="24"/>
          <w:lang w:eastAsia="lt-LT"/>
        </w:rPr>
        <w:t>OPEX</w:t>
      </w:r>
      <w:r>
        <w:rPr>
          <w:szCs w:val="24"/>
          <w:vertAlign w:val="subscript"/>
          <w:lang w:eastAsia="lt-LT"/>
        </w:rPr>
        <w:t>SGDT(be DU)</w:t>
      </w:r>
      <w:r>
        <w:rPr>
          <w:szCs w:val="24"/>
          <w:lang w:eastAsia="lt-LT"/>
        </w:rPr>
        <w:t xml:space="preserve"> – SGD terminalo išlaikymo operacinės sąnaudos, skaičiuojamos pagal Metodikos 12.3 papunktį. Po plaukiojančiosios SGD saugyklos įsigijimo į OPEX</w:t>
      </w:r>
      <w:r>
        <w:rPr>
          <w:szCs w:val="24"/>
          <w:vertAlign w:val="subscript"/>
          <w:lang w:eastAsia="lt-LT"/>
        </w:rPr>
        <w:t xml:space="preserve">SGDT(be DU) </w:t>
      </w:r>
      <w:r>
        <w:rPr>
          <w:szCs w:val="24"/>
          <w:lang w:eastAsia="lt-LT"/>
        </w:rPr>
        <w:t>taip pat</w:t>
      </w:r>
      <w:r>
        <w:rPr>
          <w:szCs w:val="24"/>
          <w:vertAlign w:val="subscript"/>
          <w:lang w:eastAsia="lt-LT"/>
        </w:rPr>
        <w:t xml:space="preserve"> </w:t>
      </w:r>
      <w:r>
        <w:rPr>
          <w:szCs w:val="24"/>
          <w:lang w:eastAsia="lt-LT"/>
        </w:rPr>
        <w:t>įskaičiuojamos ir išpirktos plaukiojančiosios SGD saugyklos operacinės sąnaudos,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DA</w:t>
      </w:r>
      <w:r>
        <w:rPr>
          <w:szCs w:val="24"/>
          <w:lang w:eastAsia="lt-LT"/>
        </w:rPr>
        <w:t xml:space="preserve"> – nusidėvėjimo (amortizacijos) sąnaudos, skaičiuojamos pagal Metodikos 12.2 papunktį. Po plaukiojančiosios SGD saugyklos įsigijimo į C</w:t>
      </w:r>
      <w:r>
        <w:rPr>
          <w:szCs w:val="24"/>
          <w:vertAlign w:val="subscript"/>
          <w:lang w:eastAsia="lt-LT"/>
        </w:rPr>
        <w:t>DA</w:t>
      </w:r>
      <w:r>
        <w:rPr>
          <w:szCs w:val="24"/>
          <w:lang w:eastAsia="lt-LT"/>
        </w:rPr>
        <w:t xml:space="preserve"> taip pat įskaičiuojamos ir išpirktos plaukiojančiosios SGD saugyklos nusidėvėjimo sąnaudos, Eur;</w:t>
      </w:r>
    </w:p>
    <w:p>
      <w:pPr>
        <w:suppressAutoHyphens/>
        <w:spacing w:line="259" w:lineRule="auto"/>
        <w:ind w:firstLine="720"/>
        <w:jc w:val="both"/>
        <w:textAlignment w:val="baseline"/>
        <w:rPr>
          <w:szCs w:val="24"/>
          <w:lang w:eastAsia="lt-LT"/>
        </w:rPr>
      </w:pPr>
      <w:r>
        <w:rPr>
          <w:szCs w:val="24"/>
          <w:lang w:eastAsia="lt-LT"/>
        </w:rPr>
        <w:t>OPEX</w:t>
      </w:r>
      <w:r>
        <w:rPr>
          <w:szCs w:val="24"/>
          <w:vertAlign w:val="subscript"/>
          <w:lang w:eastAsia="lt-LT"/>
        </w:rPr>
        <w:t>SGDT (DU)</w:t>
      </w:r>
      <w:r>
        <w:rPr>
          <w:szCs w:val="24"/>
          <w:lang w:eastAsia="lt-LT"/>
        </w:rPr>
        <w:t xml:space="preserve"> – darbo užmokesčio, socialinio draudimo ir įmokų į garantinį fondą sąnaudos, skaičiuojamos pagal Metodikos 12.4 papunktį. Po plaukiojančiosios SGD saugyklos įsigijimo į OPEX</w:t>
      </w:r>
      <w:r>
        <w:rPr>
          <w:szCs w:val="24"/>
          <w:vertAlign w:val="subscript"/>
          <w:lang w:eastAsia="lt-LT"/>
        </w:rPr>
        <w:t>SGDT(DU)</w:t>
      </w:r>
      <w:r>
        <w:rPr>
          <w:szCs w:val="24"/>
          <w:lang w:eastAsia="lt-LT"/>
        </w:rPr>
        <w:t xml:space="preserve"> taip pat įskaičiuojamos ir išpirktos plaukiojančiosios SGD saugyklos</w:t>
      </w:r>
      <w:r>
        <w:rPr>
          <w:szCs w:val="24"/>
          <w:vertAlign w:val="subscript"/>
          <w:lang w:eastAsia="lt-LT"/>
        </w:rPr>
        <w:t xml:space="preserve"> </w:t>
      </w:r>
      <w:r>
        <w:rPr>
          <w:szCs w:val="24"/>
          <w:lang w:eastAsia="lt-LT"/>
        </w:rPr>
        <w:t>įgulos</w:t>
      </w:r>
      <w:r>
        <w:rPr>
          <w:szCs w:val="24"/>
          <w:vertAlign w:val="subscript"/>
          <w:lang w:eastAsia="lt-LT"/>
        </w:rPr>
        <w:t xml:space="preserve"> </w:t>
      </w:r>
      <w:r>
        <w:rPr>
          <w:szCs w:val="24"/>
          <w:lang w:eastAsia="lt-LT"/>
        </w:rPr>
        <w:t>išlaikymo</w:t>
      </w:r>
      <w:r>
        <w:rPr>
          <w:szCs w:val="24"/>
          <w:vertAlign w:val="subscript"/>
          <w:lang w:eastAsia="lt-LT"/>
        </w:rPr>
        <w:t xml:space="preserve"> </w:t>
      </w:r>
      <w:r>
        <w:rPr>
          <w:szCs w:val="24"/>
          <w:lang w:eastAsia="lt-LT"/>
        </w:rPr>
        <w:t>sąnaudos,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T</w:t>
      </w:r>
      <w:r>
        <w:rPr>
          <w:szCs w:val="24"/>
          <w:lang w:eastAsia="lt-LT"/>
        </w:rPr>
        <w:t xml:space="preserve"> – mokesčių sąnaudos, skaičiuojamos pagal Metodikos 12.5 papunktį,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 xml:space="preserve">PS </w:t>
      </w:r>
      <w:r>
        <w:rPr>
          <w:szCs w:val="24"/>
          <w:lang w:eastAsia="lt-LT"/>
        </w:rPr>
        <w:t>–</w:t>
      </w:r>
      <w:r>
        <w:rPr>
          <w:szCs w:val="24"/>
          <w:vertAlign w:val="subscript"/>
          <w:lang w:eastAsia="lt-LT"/>
        </w:rPr>
        <w:t xml:space="preserve"> </w:t>
      </w:r>
      <w:r>
        <w:rPr>
          <w:szCs w:val="24"/>
          <w:lang w:eastAsia="lt-LT"/>
        </w:rPr>
        <w:t xml:space="preserve">dalis SGD terminalo pastoviųjų sąnaudų, išdėstytų per SGD terminalo veiklos laikotarpį, kuris, vadovaujantis SGDT įstatymo 5 straipsnio 4 dalimi, trunka ne trumpiau, kaip iki 2044 m. gruodžio 31 d. </w:t>
      </w:r>
    </w:p>
    <w:p>
      <w:pPr>
        <w:suppressAutoHyphens/>
        <w:spacing w:line="259" w:lineRule="auto"/>
        <w:ind w:firstLine="720"/>
        <w:jc w:val="both"/>
        <w:textAlignment w:val="baseline"/>
        <w:rPr>
          <w:szCs w:val="24"/>
          <w:lang w:eastAsia="lt-LT"/>
        </w:rPr>
      </w:pPr>
      <w:r>
        <w:rPr>
          <w:szCs w:val="24"/>
          <w:lang w:eastAsia="lt-LT"/>
        </w:rPr>
        <w:t>Nuo 2019 m. iki plaukiojančiosios SGD saugyklos įsigijimo pagal SGDT įstatymą C</w:t>
      </w:r>
      <w:r>
        <w:rPr>
          <w:szCs w:val="24"/>
          <w:vertAlign w:val="subscript"/>
          <w:lang w:eastAsia="lt-LT"/>
        </w:rPr>
        <w:t xml:space="preserve">PS </w:t>
      </w:r>
      <w:r>
        <w:rPr>
          <w:szCs w:val="24"/>
          <w:lang w:eastAsia="lt-LT"/>
        </w:rPr>
        <w:t>sąnaudos</w:t>
      </w:r>
      <w:r>
        <w:rPr>
          <w:szCs w:val="24"/>
          <w:vertAlign w:val="subscript"/>
          <w:lang w:eastAsia="lt-LT"/>
        </w:rPr>
        <w:t xml:space="preserve"> </w:t>
      </w:r>
      <w:r>
        <w:rPr>
          <w:szCs w:val="24"/>
          <w:lang w:eastAsia="lt-LT"/>
        </w:rPr>
        <w:t>skaičiuojamos pagal (12</w:t>
      </w:r>
      <w:r>
        <w:rPr>
          <w:szCs w:val="24"/>
          <w:vertAlign w:val="superscript"/>
          <w:lang w:eastAsia="lt-LT"/>
        </w:rPr>
        <w:t>1</w:t>
      </w:r>
      <w:r>
        <w:rPr>
          <w:szCs w:val="24"/>
          <w:lang w:eastAsia="lt-LT"/>
        </w:rPr>
        <w:t>) formulę:</w:t>
      </w:r>
    </w:p>
    <w:p>
      <w:pPr>
        <w:suppressAutoHyphens/>
        <w:spacing w:line="259" w:lineRule="auto"/>
        <w:ind w:firstLine="720"/>
        <w:jc w:val="both"/>
        <w:textAlignment w:val="baseline"/>
        <w:rPr>
          <w:szCs w:val="24"/>
          <w:lang w:eastAsia="lt-LT"/>
        </w:rPr>
      </w:pP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 xml:space="preserve">PS </w:t>
      </w:r>
      <w:r>
        <w:rPr>
          <w:szCs w:val="24"/>
          <w:lang w:eastAsia="lt-LT"/>
        </w:rPr>
        <w:t>= C</w:t>
      </w:r>
      <w:r>
        <w:rPr>
          <w:szCs w:val="24"/>
          <w:vertAlign w:val="subscript"/>
          <w:lang w:eastAsia="lt-LT"/>
        </w:rPr>
        <w:t xml:space="preserve">NS1 </w:t>
      </w:r>
      <w:r>
        <w:rPr>
          <w:szCs w:val="24"/>
          <w:lang w:eastAsia="lt-LT"/>
        </w:rPr>
        <w:t>– C</w:t>
      </w:r>
      <w:r>
        <w:rPr>
          <w:szCs w:val="24"/>
          <w:vertAlign w:val="subscript"/>
          <w:lang w:eastAsia="lt-LT"/>
        </w:rPr>
        <w:t xml:space="preserve">L1 </w:t>
      </w:r>
      <w:r>
        <w:rPr>
          <w:szCs w:val="24"/>
          <w:lang w:eastAsia="lt-LT"/>
        </w:rPr>
        <w:t>+ C</w:t>
      </w:r>
      <w:r>
        <w:rPr>
          <w:szCs w:val="24"/>
          <w:vertAlign w:val="subscript"/>
          <w:lang w:eastAsia="lt-LT"/>
        </w:rPr>
        <w:t xml:space="preserve">I1 </w:t>
      </w:r>
      <w:r>
        <w:rPr>
          <w:szCs w:val="24"/>
          <w:lang w:eastAsia="lt-LT"/>
        </w:rPr>
        <w:t>+ C</w:t>
      </w:r>
      <w:r>
        <w:rPr>
          <w:szCs w:val="24"/>
          <w:vertAlign w:val="subscript"/>
          <w:lang w:eastAsia="lt-LT"/>
        </w:rPr>
        <w:t>BG1</w:t>
      </w:r>
      <w:r>
        <w:rPr>
          <w:szCs w:val="24"/>
          <w:lang w:eastAsia="lt-LT"/>
        </w:rPr>
        <w:t>+ C</w:t>
      </w:r>
      <w:r>
        <w:rPr>
          <w:szCs w:val="24"/>
          <w:vertAlign w:val="subscript"/>
          <w:lang w:eastAsia="lt-LT"/>
        </w:rPr>
        <w:t>BG2</w:t>
      </w:r>
      <w:r>
        <w:rPr>
          <w:szCs w:val="24"/>
          <w:lang w:eastAsia="lt-LT"/>
        </w:rPr>
        <w:t>+C</w:t>
      </w:r>
      <w:r>
        <w:rPr>
          <w:szCs w:val="24"/>
          <w:vertAlign w:val="subscript"/>
          <w:lang w:eastAsia="lt-LT"/>
        </w:rPr>
        <w:t>ĮK</w:t>
      </w:r>
      <w:r>
        <w:rPr>
          <w:szCs w:val="24"/>
          <w:lang w:eastAsia="lt-LT"/>
        </w:rPr>
        <w:t xml:space="preserve">; </w:t>
      </w:r>
      <w:r>
        <w:rPr>
          <w:szCs w:val="24"/>
          <w:vertAlign w:val="subscript"/>
          <w:lang w:eastAsia="lt-LT"/>
        </w:rPr>
        <w:t xml:space="preserve"> </w:t>
      </w:r>
      <w:r>
        <w:rPr>
          <w:szCs w:val="24"/>
          <w:lang w:eastAsia="lt-LT"/>
        </w:rPr>
        <w:t xml:space="preserve">(Eur) </w:t>
        <w:tab/>
        <w:tab/>
        <w:tab/>
        <w:t xml:space="preserve"> (12</w:t>
      </w:r>
      <w:r>
        <w:rPr>
          <w:szCs w:val="24"/>
          <w:vertAlign w:val="superscript"/>
          <w:lang w:eastAsia="lt-LT"/>
        </w:rPr>
        <w:t>1</w:t>
      </w:r>
      <w:r>
        <w:rPr>
          <w:szCs w:val="24"/>
          <w:lang w:eastAsia="lt-LT"/>
        </w:rPr>
        <w:t>)</w:t>
      </w:r>
    </w:p>
    <w:p>
      <w:pPr>
        <w:suppressAutoHyphens/>
        <w:spacing w:line="259" w:lineRule="auto"/>
        <w:ind w:firstLine="844"/>
        <w:jc w:val="both"/>
        <w:textAlignment w:val="baseline"/>
        <w:rPr>
          <w:szCs w:val="24"/>
          <w:lang w:eastAsia="lt-LT"/>
        </w:rPr>
      </w:pPr>
    </w:p>
    <w:p>
      <w:pPr>
        <w:suppressAutoHyphens/>
        <w:spacing w:line="259" w:lineRule="auto"/>
        <w:ind w:firstLine="720"/>
        <w:jc w:val="both"/>
        <w:textAlignment w:val="baseline"/>
        <w:rPr>
          <w:strike/>
          <w:szCs w:val="24"/>
          <w:lang w:eastAsia="lt-LT"/>
        </w:rPr>
      </w:pPr>
      <w:r>
        <w:rPr>
          <w:i/>
          <w:szCs w:val="24"/>
          <w:lang w:eastAsia="lt-LT"/>
        </w:rPr>
        <w:t>čia:</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 xml:space="preserve">NS1 </w:t>
      </w:r>
      <w:r>
        <w:rPr>
          <w:szCs w:val="24"/>
          <w:lang w:eastAsia="lt-LT"/>
        </w:rPr>
        <w:t xml:space="preserve">– SGD terminalo sąnaudos, numatytos ilgalaikėmis sutartimis: plaukiojančiosios SGD saugyklos nuoma, eksploatavimo sąnaudos, nuomos garantijos, SGD terminalo krantinės nuoma, kitos su SGD pakartotinio dujinimo veikla susijusios ilgalaikių sutarčių sąnaudos, atsižvelgiant į SGD terminalo operatoriaus pateiktą  aktualių valiutų santykio prognozę arba išankstinius sandorius, jeigu ilgalaikės sutartys yra draudžiamos naudojant finansines išvestines priemones, Eur. Taryba dėl SGD terminalo operatorius sprendimo dėl t+1 metams ilgalaikių sutarčių draudimo naudojant finansines išvestines priemones pagrįstumo priima, įvertinusi SGD terminalo operatoriaus pateiktą sprendimo ekonominį pagrindimą. Nustatytos SGD terminalo sąnaudos, numatytos ilgalaikėmis sutartimis, visais kitais metais, einančiais po pirmųjų naujojo reguliavimo periodo metų, yra koreguojamos atsižvelgiant į praėjusių metų faktinį SGD operatoriaus pagrįstą SGD terminalo sąnaudų, numatytų ilgalaikėmis sutartimis, dydį;</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 xml:space="preserve">L1 </w:t>
      </w:r>
      <w:r>
        <w:rPr>
          <w:szCs w:val="24"/>
          <w:lang w:eastAsia="lt-LT"/>
        </w:rPr>
        <w:t>–</w:t>
      </w:r>
      <w:r>
        <w:rPr>
          <w:szCs w:val="24"/>
          <w:vertAlign w:val="subscript"/>
          <w:lang w:eastAsia="lt-LT"/>
        </w:rPr>
        <w:t xml:space="preserve"> </w:t>
      </w:r>
      <w:r>
        <w:rPr>
          <w:szCs w:val="24"/>
          <w:lang w:eastAsia="lt-LT"/>
        </w:rPr>
        <w:t>SGDT operatoriaus paskolos, skirtos finansuoti plaukiojančiosios SGD saugyklos nuomos kaštus laikotarpiu nuo 2019 m. iki 2024 m., dalis ir susiję administraciniai mokesčiai paskolas suteikusiai institucijai,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 xml:space="preserve">I1 </w:t>
      </w:r>
      <w:r>
        <w:rPr>
          <w:szCs w:val="24"/>
          <w:lang w:eastAsia="lt-LT"/>
        </w:rPr>
        <w:t>– paskolos, skirtos finansuoti plaukiojančiosios SGD saugyklos nuomos kaštus laikotarpiu nuo 2019 m. iki 2024 m. siekiant restruktūrizuoti plaukiojančiosios SGD saugyklos nuomos kaštus laikotarpiu nuo 2019 m. iki 2044 m., palūkanos, įtraukiamos į SGD terminalo, jo infrastruktūros ir jungties metines eksploatavimo bazines sąnaudas, vadovaujantis SGDT įstatymo 5 straipsnio 5 dalimi,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 xml:space="preserve">BG1 </w:t>
      </w:r>
      <w:r>
        <w:rPr>
          <w:szCs w:val="24"/>
          <w:lang w:eastAsia="lt-LT"/>
        </w:rPr>
        <w:t>– bankinės garantijos, skirtos plaukiojančiosios SGD saugyklos savininkui, įgyvendinant plaukiojančiosios SGD saugyklos nuomos refinansavimą, sąnaudos ir susiję administraciniai mokesčiai bankinę garantiją suteikusiai institucijai, Eur;</w:t>
      </w:r>
    </w:p>
    <w:p>
      <w:pPr>
        <w:spacing w:line="259" w:lineRule="auto"/>
        <w:ind w:firstLine="720"/>
        <w:jc w:val="both"/>
        <w:rPr>
          <w:szCs w:val="24"/>
          <w:lang w:eastAsia="lt-LT"/>
        </w:rPr>
      </w:pPr>
      <w:r>
        <w:rPr>
          <w:szCs w:val="24"/>
          <w:lang w:eastAsia="lt-LT"/>
        </w:rPr>
        <w:t>C</w:t>
      </w:r>
      <w:r>
        <w:rPr>
          <w:szCs w:val="24"/>
          <w:vertAlign w:val="subscript"/>
          <w:lang w:eastAsia="lt-LT"/>
        </w:rPr>
        <w:t xml:space="preserve">BG2 </w:t>
      </w:r>
      <w:r>
        <w:rPr>
          <w:szCs w:val="24"/>
          <w:lang w:eastAsia="lt-LT"/>
        </w:rPr>
        <w:t>–</w:t>
      </w:r>
      <w:r>
        <w:rPr>
          <w:szCs w:val="24"/>
          <w:vertAlign w:val="superscript"/>
          <w:lang w:eastAsia="lt-LT"/>
        </w:rPr>
        <w:t xml:space="preserve"> </w:t>
      </w:r>
      <w:r>
        <w:rPr>
          <w:szCs w:val="24"/>
          <w:lang w:eastAsia="lt-LT"/>
        </w:rPr>
        <w:t>bankinės garantijos, skirtos užtikrinti valstybės garantijos suteikimą, sąnaudos ir susiję administraciniai mokesčiai bankinę garantiją suteikusiai institucijai, Eur;</w:t>
      </w:r>
    </w:p>
    <w:p>
      <w:pPr>
        <w:spacing w:line="259" w:lineRule="auto"/>
        <w:ind w:firstLine="720"/>
        <w:jc w:val="both"/>
        <w:rPr>
          <w:szCs w:val="24"/>
          <w:lang w:eastAsia="lt-LT"/>
        </w:rPr>
      </w:pPr>
      <w:r>
        <w:rPr>
          <w:szCs w:val="24"/>
          <w:lang w:eastAsia="lt-LT"/>
        </w:rPr>
        <w:t>C</w:t>
      </w:r>
      <w:r>
        <w:rPr>
          <w:szCs w:val="24"/>
          <w:vertAlign w:val="subscript"/>
          <w:lang w:eastAsia="lt-LT"/>
        </w:rPr>
        <w:t>ĮK</w:t>
      </w:r>
      <w:r>
        <w:rPr>
          <w:szCs w:val="24"/>
          <w:lang w:eastAsia="lt-LT"/>
        </w:rPr>
        <w:t xml:space="preserve"> – SGD terminalo operatoriaus tiesioginės ir netiesioginės sąnaudos, patirtos dėl ilgalaikio turto, skirto užtikrinti valstybės garantijos suteikimą, įkeitimo, Eur.</w:t>
      </w:r>
    </w:p>
    <w:p>
      <w:pPr>
        <w:suppressAutoHyphens/>
        <w:spacing w:line="259" w:lineRule="auto"/>
        <w:ind w:firstLine="720"/>
        <w:jc w:val="both"/>
        <w:textAlignment w:val="baseline"/>
        <w:rPr>
          <w:szCs w:val="24"/>
          <w:lang w:eastAsia="lt-LT"/>
        </w:rPr>
      </w:pPr>
      <w:r>
        <w:rPr>
          <w:szCs w:val="24"/>
          <w:lang w:eastAsia="lt-LT"/>
        </w:rPr>
        <w:t>Nuo plaukiojančiosios SGD saugyklos įsigijimo pagal SGDT įstatymą iki 2044 m. gruodžio 31 d. C</w:t>
      </w:r>
      <w:r>
        <w:rPr>
          <w:szCs w:val="24"/>
          <w:vertAlign w:val="subscript"/>
          <w:lang w:eastAsia="lt-LT"/>
        </w:rPr>
        <w:t xml:space="preserve">PS </w:t>
      </w:r>
      <w:r>
        <w:rPr>
          <w:szCs w:val="24"/>
          <w:lang w:eastAsia="lt-LT"/>
        </w:rPr>
        <w:t>sąnaudos skaičiuojamos pagal (12</w:t>
      </w:r>
      <w:r>
        <w:rPr>
          <w:szCs w:val="24"/>
          <w:vertAlign w:val="superscript"/>
          <w:lang w:eastAsia="lt-LT"/>
        </w:rPr>
        <w:t>2</w:t>
      </w:r>
      <w:r>
        <w:rPr>
          <w:szCs w:val="24"/>
          <w:lang w:eastAsia="lt-LT"/>
        </w:rPr>
        <w:t>) formulę:</w:t>
      </w:r>
    </w:p>
    <w:p>
      <w:pPr>
        <w:suppressAutoHyphens/>
        <w:spacing w:line="259" w:lineRule="auto"/>
        <w:ind w:firstLine="720"/>
        <w:jc w:val="both"/>
        <w:textAlignment w:val="baseline"/>
        <w:rPr>
          <w:szCs w:val="24"/>
          <w:lang w:eastAsia="lt-LT"/>
        </w:rPr>
      </w:pP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 xml:space="preserve">PS </w:t>
      </w:r>
      <w:r>
        <w:rPr>
          <w:szCs w:val="24"/>
          <w:lang w:eastAsia="lt-LT"/>
        </w:rPr>
        <w:t>= C</w:t>
      </w:r>
      <w:r>
        <w:rPr>
          <w:szCs w:val="24"/>
          <w:vertAlign w:val="subscript"/>
          <w:lang w:eastAsia="lt-LT"/>
        </w:rPr>
        <w:t xml:space="preserve">NS2 </w:t>
      </w:r>
      <w:r>
        <w:rPr>
          <w:szCs w:val="24"/>
          <w:lang w:eastAsia="lt-LT"/>
        </w:rPr>
        <w:t>+ C</w:t>
      </w:r>
      <w:r>
        <w:rPr>
          <w:szCs w:val="24"/>
          <w:vertAlign w:val="subscript"/>
          <w:lang w:eastAsia="lt-LT"/>
        </w:rPr>
        <w:t>L2</w:t>
      </w:r>
      <w:r>
        <w:rPr>
          <w:szCs w:val="24"/>
          <w:lang w:eastAsia="lt-LT"/>
        </w:rPr>
        <w:t xml:space="preserve"> +C</w:t>
      </w:r>
      <w:r>
        <w:rPr>
          <w:szCs w:val="24"/>
          <w:vertAlign w:val="subscript"/>
          <w:lang w:eastAsia="lt-LT"/>
        </w:rPr>
        <w:t>I1</w:t>
      </w:r>
      <w:r>
        <w:rPr>
          <w:szCs w:val="24"/>
          <w:lang w:eastAsia="lt-LT"/>
        </w:rPr>
        <w:t>+ C</w:t>
      </w:r>
      <w:r>
        <w:rPr>
          <w:szCs w:val="24"/>
          <w:vertAlign w:val="subscript"/>
          <w:lang w:eastAsia="lt-LT"/>
        </w:rPr>
        <w:t>BG2</w:t>
      </w:r>
      <w:r>
        <w:rPr>
          <w:szCs w:val="24"/>
          <w:lang w:eastAsia="lt-LT"/>
        </w:rPr>
        <w:t>;</w:t>
      </w:r>
      <w:r>
        <w:rPr>
          <w:szCs w:val="24"/>
          <w:vertAlign w:val="subscript"/>
          <w:lang w:eastAsia="lt-LT"/>
        </w:rPr>
        <w:t xml:space="preserve">  </w:t>
      </w:r>
      <w:r>
        <w:rPr>
          <w:szCs w:val="24"/>
          <w:lang w:eastAsia="lt-LT"/>
        </w:rPr>
        <w:t>(Eur)</w:t>
        <w:tab/>
        <w:tab/>
        <w:tab/>
        <w:tab/>
        <w:t xml:space="preserve"> (12</w:t>
      </w:r>
      <w:r>
        <w:rPr>
          <w:szCs w:val="24"/>
          <w:vertAlign w:val="superscript"/>
          <w:lang w:eastAsia="lt-LT"/>
        </w:rPr>
        <w:t>2</w:t>
      </w:r>
      <w:r>
        <w:rPr>
          <w:szCs w:val="24"/>
          <w:lang w:eastAsia="lt-LT"/>
        </w:rPr>
        <w:t>)</w:t>
      </w:r>
    </w:p>
    <w:p>
      <w:pPr>
        <w:suppressAutoHyphens/>
        <w:spacing w:line="259" w:lineRule="auto"/>
        <w:ind w:firstLine="720"/>
        <w:jc w:val="both"/>
        <w:textAlignment w:val="baseline"/>
        <w:rPr>
          <w:szCs w:val="24"/>
          <w:lang w:eastAsia="lt-LT"/>
        </w:rPr>
      </w:pPr>
    </w:p>
    <w:p>
      <w:pPr>
        <w:suppressAutoHyphens/>
        <w:spacing w:line="259" w:lineRule="auto"/>
        <w:ind w:firstLine="720"/>
        <w:jc w:val="both"/>
        <w:textAlignment w:val="baseline"/>
        <w:rPr>
          <w:i/>
          <w:szCs w:val="24"/>
          <w:lang w:eastAsia="lt-LT"/>
        </w:rPr>
      </w:pPr>
      <w:r>
        <w:rPr>
          <w:i/>
          <w:szCs w:val="24"/>
          <w:lang w:eastAsia="lt-LT"/>
        </w:rPr>
        <w:t>čia:</w:t>
      </w:r>
    </w:p>
    <w:p>
      <w:pPr>
        <w:suppressAutoHyphens/>
        <w:spacing w:line="259" w:lineRule="auto"/>
        <w:ind w:firstLine="720"/>
        <w:jc w:val="both"/>
        <w:textAlignment w:val="baseline"/>
        <w:rPr>
          <w:strike/>
          <w:szCs w:val="24"/>
          <w:lang w:eastAsia="lt-LT"/>
        </w:rPr>
      </w:pPr>
      <w:r>
        <w:rPr>
          <w:szCs w:val="24"/>
          <w:lang w:eastAsia="lt-LT"/>
        </w:rPr>
        <w:t>C</w:t>
      </w:r>
      <w:r>
        <w:rPr>
          <w:szCs w:val="24"/>
          <w:vertAlign w:val="subscript"/>
          <w:lang w:eastAsia="lt-LT"/>
        </w:rPr>
        <w:t>NS2</w:t>
      </w:r>
      <w:r>
        <w:rPr>
          <w:i/>
          <w:szCs w:val="24"/>
          <w:lang w:eastAsia="lt-LT"/>
        </w:rPr>
        <w:t xml:space="preserve"> – </w:t>
      </w:r>
      <w:r>
        <w:rPr>
          <w:szCs w:val="24"/>
          <w:lang w:eastAsia="lt-LT"/>
        </w:rPr>
        <w:t>krantinės nuomos sąnaudos,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 xml:space="preserve">L2 </w:t>
      </w:r>
      <w:r>
        <w:rPr>
          <w:szCs w:val="24"/>
          <w:lang w:eastAsia="lt-LT"/>
        </w:rPr>
        <w:t>– grąžinamos paskolos, skirtos finansuoti plaukiojančiosios SGD saugyklos nuomos kaštus, dalis ir susiję administraciniai mokesčiai paskolas suteikusiai institucijai,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 xml:space="preserve">I1 </w:t>
      </w:r>
      <w:r>
        <w:rPr>
          <w:szCs w:val="24"/>
          <w:lang w:eastAsia="lt-LT"/>
        </w:rPr>
        <w:t>– paskolos, skirtos finansuoti plaukiojančiosios SGD saugyklos nuomos kaštus laikotarpiu nuo 2019 m. iki 2024 m. siekiant restruktūrizuoti plaukiojančiosios SGD saugyklos nuomos kaštus laikotarpiu nuo 2019 m. iki 2044 m., palūkanos, įtraukiamos į SGD terminalo, jo infrastruktūros ir jungties metines eksploatavimo bazines sąnaudas, vadovaujantis SGDT įstatymo 5 straipsnio 5 dalimi, ir susiję administraciniai mokesčiai paskolas suteikusiai institucijai, Eur;</w:t>
      </w:r>
    </w:p>
    <w:p>
      <w:pPr>
        <w:spacing w:line="259" w:lineRule="auto"/>
        <w:ind w:firstLine="720"/>
        <w:jc w:val="both"/>
        <w:rPr>
          <w:szCs w:val="24"/>
          <w:lang w:eastAsia="lt-LT"/>
        </w:rPr>
      </w:pPr>
      <w:r>
        <w:rPr>
          <w:szCs w:val="24"/>
          <w:lang w:eastAsia="lt-LT"/>
        </w:rPr>
        <w:t>C</w:t>
      </w:r>
      <w:r>
        <w:rPr>
          <w:szCs w:val="24"/>
          <w:vertAlign w:val="subscript"/>
          <w:lang w:eastAsia="lt-LT"/>
        </w:rPr>
        <w:t xml:space="preserve">BG2 </w:t>
      </w:r>
      <w:r>
        <w:rPr>
          <w:szCs w:val="24"/>
          <w:lang w:eastAsia="lt-LT"/>
        </w:rPr>
        <w:t>–</w:t>
      </w:r>
      <w:r>
        <w:rPr>
          <w:szCs w:val="24"/>
          <w:vertAlign w:val="superscript"/>
          <w:lang w:eastAsia="lt-LT"/>
        </w:rPr>
        <w:t xml:space="preserve"> </w:t>
      </w:r>
      <w:r>
        <w:rPr>
          <w:szCs w:val="24"/>
          <w:lang w:eastAsia="lt-LT"/>
        </w:rPr>
        <w:t>bankinės garantijos, skirtos užtikrinti valstybės garantijos suteikimą, sąnaudos ir susiję administraciniai mokesčiai bankinę garantiją suteikusiai institucijai, Eur;</w:t>
      </w:r>
    </w:p>
    <w:p>
      <w:pPr>
        <w:suppressAutoHyphens/>
        <w:spacing w:line="259" w:lineRule="auto"/>
        <w:ind w:firstLine="720"/>
        <w:jc w:val="both"/>
        <w:textAlignment w:val="baseline"/>
        <w:rPr>
          <w:szCs w:val="24"/>
          <w:lang w:eastAsia="lt-LT"/>
        </w:rPr>
      </w:pPr>
      <w:r>
        <w:rPr>
          <w:szCs w:val="24"/>
          <w:lang w:eastAsia="lt-LT"/>
        </w:rPr>
        <w:t>P</w:t>
      </w:r>
      <w:r>
        <w:rPr>
          <w:szCs w:val="24"/>
          <w:vertAlign w:val="subscript"/>
          <w:lang w:eastAsia="lt-LT"/>
        </w:rPr>
        <w:t>Q</w:t>
      </w:r>
      <w:r>
        <w:rPr>
          <w:szCs w:val="24"/>
          <w:lang w:eastAsia="lt-LT"/>
        </w:rPr>
        <w:t xml:space="preserve"> – pajamų nuokrypis dėl prognozuotų ir faktinių vartojimo pajėgumų skirtumo pasibaigusiais reguliavimo periodo (t-1) metais, Eur;</w:t>
      </w:r>
    </w:p>
    <w:p>
      <w:pPr>
        <w:suppressAutoHyphens/>
        <w:spacing w:line="259" w:lineRule="auto"/>
        <w:ind w:firstLine="720"/>
        <w:jc w:val="both"/>
        <w:textAlignment w:val="baseline"/>
        <w:rPr>
          <w:szCs w:val="24"/>
          <w:lang w:eastAsia="lt-LT"/>
        </w:rPr>
      </w:pPr>
      <w:r>
        <w:rPr>
          <w:szCs w:val="24"/>
          <w:lang w:eastAsia="lt-LT"/>
        </w:rPr>
        <w:t xml:space="preserve">Cx – kiti sąnaudų / pajamų nuokrypiai, pagrįsti Tarybai, kurie turi įtakos Įmonės veiklai, bei kiti dėl nuo Įmonės nepriklausančių veiksnių kylantys sąnaudų /pajamų nuokrypiai, įskaitant ir dėl veiklą reglamentuojančių teisės aktų reikalavimų, Eur. </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F</w:t>
      </w:r>
      <w:r>
        <w:rPr>
          <w:szCs w:val="24"/>
          <w:lang w:eastAsia="lt-LT"/>
        </w:rPr>
        <w:t xml:space="preserve"> – Įmonės pagrįstas investicijų, skirtų įgyvendinti Lietuvos Respublikos suskystintų gamtinių dujų terminalo įstatymo 9 straipsnio 6 dalyje numatytą įpareigojimą, projekto akumuliuotas pinigų srautų rezultatas, kuris gali būti įvertinamas motyvuotu Tarybos sprendimu, siekiant subalansuoti šio projekto pinigų srautus jo atsipirkimo laikotarpiu, Eur. C</w:t>
      </w:r>
      <w:r>
        <w:rPr>
          <w:szCs w:val="24"/>
          <w:vertAlign w:val="subscript"/>
          <w:lang w:eastAsia="lt-LT"/>
        </w:rPr>
        <w:t>F</w:t>
      </w:r>
      <w:r>
        <w:rPr>
          <w:szCs w:val="24"/>
          <w:lang w:eastAsia="lt-LT"/>
        </w:rPr>
        <w:t xml:space="preserve"> yra vertinamas tiems metams, kai prognozuojamas neigiamas pinigų srautas yra didesnis nei teigiamas akumuliuotas pinigų srautas, įvertinant pinigų kainą.</w:t>
      </w:r>
    </w:p>
    <w:p>
      <w:pPr>
        <w:suppressAutoHyphens/>
        <w:spacing w:line="259" w:lineRule="auto"/>
        <w:ind w:firstLine="720"/>
        <w:jc w:val="both"/>
        <w:textAlignment w:val="baseline"/>
        <w:rPr>
          <w:szCs w:val="24"/>
          <w:lang w:eastAsia="lt-LT"/>
        </w:rPr>
      </w:pPr>
      <w:r>
        <w:rPr>
          <w:szCs w:val="24"/>
          <w:lang w:eastAsia="lt-LT"/>
        </w:rPr>
        <w:t>P</w:t>
      </w:r>
      <w:r>
        <w:rPr>
          <w:szCs w:val="24"/>
          <w:vertAlign w:val="subscript"/>
          <w:lang w:eastAsia="lt-LT"/>
        </w:rPr>
        <w:t xml:space="preserve">perk </w:t>
      </w:r>
      <w:r>
        <w:rPr>
          <w:szCs w:val="24"/>
          <w:lang w:eastAsia="lt-LT"/>
        </w:rPr>
        <w:t>– pajamos, gautos už perkrovą pasibaigusiais reguliavimo periodo (t-1) metais, Eur;</w:t>
      </w:r>
    </w:p>
    <w:p>
      <w:pPr>
        <w:suppressAutoHyphens/>
        <w:spacing w:line="259" w:lineRule="auto"/>
        <w:ind w:firstLine="720"/>
        <w:jc w:val="both"/>
        <w:textAlignment w:val="baseline"/>
        <w:rPr>
          <w:szCs w:val="24"/>
          <w:lang w:eastAsia="lt-LT"/>
        </w:rPr>
      </w:pPr>
    </w:p>
    <w:p>
      <w:pPr>
        <w:suppressAutoHyphens/>
        <w:spacing w:line="259" w:lineRule="auto"/>
        <w:jc w:val="both"/>
        <w:textAlignment w:val="baseline"/>
        <w:rPr>
          <w:szCs w:val="24"/>
          <w:lang w:eastAsia="lt-LT"/>
        </w:rPr>
      </w:pPr>
      <w:r>
        <w:rPr>
          <w:szCs w:val="24"/>
          <w:lang w:val="en-US"/>
        </w:rPr>
        <w:drawing>
          <wp:inline distT="0" distB="0" distL="0" distR="0" wp14:anchorId="46C71F34" wp14:editId="6004E541">
            <wp:extent cx="61150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p>
      <w:pPr>
        <w:suppressAutoHyphens/>
        <w:spacing w:line="259" w:lineRule="auto"/>
        <w:ind w:firstLine="720"/>
        <w:jc w:val="both"/>
        <w:textAlignment w:val="baseline"/>
        <w:rPr>
          <w:i/>
          <w:szCs w:val="24"/>
          <w:lang w:eastAsia="lt-LT"/>
        </w:rPr>
      </w:pPr>
      <w:r>
        <w:rPr>
          <w:i/>
          <w:szCs w:val="24"/>
          <w:lang w:eastAsia="lt-LT"/>
        </w:rPr>
        <w:t>čia:</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M</w:t>
      </w:r>
      <w:r>
        <w:rPr>
          <w:szCs w:val="24"/>
          <w:lang w:eastAsia="lt-LT"/>
        </w:rPr>
        <w:t xml:space="preserve"> – remonto, techninės priežiūros ir eksploatavimo sąnaudos,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P</w:t>
      </w:r>
      <w:r>
        <w:rPr>
          <w:szCs w:val="24"/>
          <w:lang w:eastAsia="lt-LT"/>
        </w:rPr>
        <w:t xml:space="preserve"> – personalo sąnaudos be darbo užmokesčio sąnaudų,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A</w:t>
      </w:r>
      <w:r>
        <w:rPr>
          <w:szCs w:val="24"/>
          <w:lang w:eastAsia="lt-LT"/>
        </w:rPr>
        <w:t xml:space="preserve"> – administracinės sąnaudos,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S</w:t>
      </w:r>
      <w:r>
        <w:rPr>
          <w:szCs w:val="24"/>
          <w:lang w:eastAsia="lt-LT"/>
        </w:rPr>
        <w:t xml:space="preserve"> – rinkodaros ir pardavimų sąnaudos, Eur;</w:t>
      </w:r>
    </w:p>
    <w:p>
      <w:pPr>
        <w:suppressAutoHyphens/>
        <w:spacing w:line="259" w:lineRule="auto"/>
        <w:ind w:firstLine="720"/>
        <w:jc w:val="both"/>
        <w:textAlignment w:val="baseline"/>
        <w:rPr>
          <w:szCs w:val="24"/>
          <w:lang w:eastAsia="lt-LT"/>
        </w:rPr>
      </w:pPr>
      <w:r>
        <w:rPr>
          <w:szCs w:val="24"/>
          <w:lang w:eastAsia="lt-LT"/>
        </w:rPr>
        <w:t>C</w:t>
      </w:r>
      <w:r>
        <w:rPr>
          <w:szCs w:val="24"/>
          <w:vertAlign w:val="subscript"/>
          <w:lang w:eastAsia="lt-LT"/>
        </w:rPr>
        <w:t>O</w:t>
      </w:r>
      <w:r>
        <w:rPr>
          <w:szCs w:val="24"/>
          <w:lang w:eastAsia="lt-LT"/>
        </w:rPr>
        <w:t xml:space="preserve"> – kitos sąnaudos, Eur;</w:t>
      </w:r>
    </w:p>
    <w:p>
      <w:pPr>
        <w:suppressAutoHyphens/>
        <w:spacing w:line="259" w:lineRule="auto"/>
        <w:ind w:firstLine="720"/>
        <w:jc w:val="both"/>
        <w:textAlignment w:val="baseline"/>
        <w:rPr>
          <w:szCs w:val="24"/>
        </w:rPr>
      </w:pPr>
      <w:r>
        <w:rPr>
          <w:szCs w:val="24"/>
          <w:lang w:eastAsia="lt-LT"/>
        </w:rPr>
        <w:t>ROI</w:t>
      </w:r>
      <w:r>
        <w:rPr>
          <w:szCs w:val="24"/>
          <w:vertAlign w:val="subscript"/>
          <w:lang w:eastAsia="lt-LT"/>
        </w:rPr>
        <w:t>d</w:t>
      </w:r>
      <w:r>
        <w:rPr>
          <w:szCs w:val="24"/>
          <w:lang w:eastAsia="lt-LT"/>
        </w:rPr>
        <w:t xml:space="preserve"> – pagal Metodikos 12.6.1 papunktį suskaičiuota SGD terminalo infrastruktūrinės dalies investicijų (išskyrus investicijų, finansuotų dotacijų, subsidijų lėšomis) grąža, Eur.“</w:t>
      </w:r>
    </w:p>
    <w:p>
      <w:pPr>
        <w:ind w:left="1080"/>
        <w:jc w:val="both"/>
        <w:textAlignment w:val="baseline"/>
        <w:rPr>
          <w:szCs w:val="24"/>
          <w:lang w:eastAsia="lt-LT"/>
        </w:rPr>
      </w:pPr>
    </w:p>
    <w:p>
      <w:pPr>
        <w:ind w:left="1080" w:hanging="360"/>
        <w:jc w:val="both"/>
        <w:textAlignment w:val="baseline"/>
        <w:rPr>
          <w:szCs w:val="24"/>
          <w:lang w:eastAsia="lt-LT"/>
        </w:rPr>
      </w:pPr>
      <w:r>
        <w:rPr>
          <w:szCs w:val="24"/>
          <w:lang w:eastAsia="lt-LT"/>
        </w:rPr>
        <w:t>2</w:t>
      </w:r>
      <w:r>
        <w:rPr>
          <w:szCs w:val="24"/>
          <w:lang w:eastAsia="lt-LT"/>
        </w:rPr>
        <w:t>.</w:t>
        <w:tab/>
        <w:t>Pakeisti Metodikos 22 punktą ir jį išdėstyti taip:</w:t>
      </w:r>
    </w:p>
    <w:p>
      <w:pPr>
        <w:widowControl w:val="0"/>
        <w:tabs>
          <w:tab w:val="left" w:pos="1276"/>
          <w:tab w:val="left" w:pos="1418"/>
        </w:tabs>
        <w:suppressAutoHyphens/>
        <w:spacing w:line="259" w:lineRule="auto"/>
        <w:ind w:firstLine="720"/>
        <w:jc w:val="both"/>
        <w:textAlignment w:val="baseline"/>
        <w:rPr>
          <w:szCs w:val="24"/>
        </w:rPr>
      </w:pPr>
      <w:r>
        <w:rPr>
          <w:szCs w:val="24"/>
          <w:lang w:eastAsia="lt-LT"/>
        </w:rPr>
        <w:t>„</w:t>
      </w:r>
      <w:r>
        <w:rPr>
          <w:szCs w:val="24"/>
        </w:rPr>
        <w:t>22</w:t>
      </w:r>
      <w:r>
        <w:rPr>
          <w:szCs w:val="24"/>
        </w:rPr>
        <w:t>. SGD perkrovos paslaugos (T</w:t>
      </w:r>
      <w:r>
        <w:rPr>
          <w:szCs w:val="24"/>
          <w:vertAlign w:val="subscript"/>
        </w:rPr>
        <w:t>perk</w:t>
      </w:r>
      <w:r>
        <w:rPr>
          <w:szCs w:val="24"/>
        </w:rPr>
        <w:t>) kaina nustatoma metams ir yra skaičiuojama pagal (14) formulę:</w:t>
      </w:r>
    </w:p>
    <w:p>
      <w:pPr>
        <w:widowControl w:val="0"/>
        <w:tabs>
          <w:tab w:val="left" w:pos="1276"/>
          <w:tab w:val="left" w:pos="1418"/>
        </w:tabs>
        <w:suppressAutoHyphens/>
        <w:spacing w:line="259" w:lineRule="auto"/>
        <w:jc w:val="both"/>
        <w:textAlignment w:val="baseline"/>
        <w:rPr>
          <w:szCs w:val="24"/>
        </w:rPr>
      </w:pPr>
      <w:r>
        <w:rPr>
          <w:szCs w:val="24"/>
          <w:lang w:val="en-US"/>
        </w:rPr>
        <w:drawing>
          <wp:inline distT="0" distB="0" distL="0" distR="0" wp14:anchorId="0B012E27" wp14:editId="47543EA5">
            <wp:extent cx="6120130" cy="441887"/>
            <wp:effectExtent l="0" t="0" r="0" b="0"/>
            <wp:docPr id="6"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441887"/>
                    </a:xfrm>
                    <a:prstGeom prst="rect">
                      <a:avLst/>
                    </a:prstGeom>
                  </pic:spPr>
                </pic:pic>
              </a:graphicData>
            </a:graphic>
          </wp:inline>
        </w:drawing>
      </w:r>
    </w:p>
    <w:p>
      <w:pPr>
        <w:tabs>
          <w:tab w:val="left" w:pos="1134"/>
        </w:tabs>
        <w:suppressAutoHyphens/>
        <w:spacing w:line="259" w:lineRule="auto"/>
        <w:ind w:firstLine="720"/>
        <w:jc w:val="both"/>
        <w:textAlignment w:val="baseline"/>
        <w:rPr>
          <w:i/>
          <w:szCs w:val="24"/>
        </w:rPr>
      </w:pPr>
      <w:r>
        <w:rPr>
          <w:i/>
          <w:szCs w:val="24"/>
        </w:rPr>
        <w:t>čia:</w:t>
      </w:r>
    </w:p>
    <w:p>
      <w:pPr>
        <w:tabs>
          <w:tab w:val="left" w:pos="1134"/>
        </w:tabs>
        <w:suppressAutoHyphens/>
        <w:spacing w:line="259" w:lineRule="auto"/>
        <w:ind w:firstLine="720"/>
        <w:jc w:val="both"/>
        <w:textAlignment w:val="baseline"/>
        <w:rPr>
          <w:szCs w:val="24"/>
        </w:rPr>
      </w:pPr>
      <w:r>
        <w:rPr>
          <w:szCs w:val="24"/>
        </w:rPr>
        <w:t>T</w:t>
      </w:r>
      <w:r>
        <w:rPr>
          <w:szCs w:val="24"/>
          <w:vertAlign w:val="subscript"/>
        </w:rPr>
        <w:t>perk</w:t>
      </w:r>
      <w:r>
        <w:rPr>
          <w:szCs w:val="24"/>
        </w:rPr>
        <w:t xml:space="preserve"> – SGD perkrovos paslaugos kaina, Eur/MWh;</w:t>
      </w:r>
    </w:p>
    <w:p>
      <w:pPr>
        <w:tabs>
          <w:tab w:val="left" w:pos="1134"/>
        </w:tabs>
        <w:suppressAutoHyphens/>
        <w:spacing w:line="259" w:lineRule="auto"/>
        <w:ind w:firstLine="720"/>
        <w:jc w:val="both"/>
        <w:textAlignment w:val="baseline"/>
        <w:rPr>
          <w:szCs w:val="24"/>
        </w:rPr>
      </w:pPr>
      <w:r>
        <w:rPr>
          <w:szCs w:val="24"/>
        </w:rPr>
        <w:t>S</w:t>
      </w:r>
      <w:r>
        <w:rPr>
          <w:szCs w:val="24"/>
          <w:vertAlign w:val="subscript"/>
        </w:rPr>
        <w:t>SGDTp</w:t>
      </w:r>
      <w:r>
        <w:rPr>
          <w:szCs w:val="24"/>
        </w:rPr>
        <w:t xml:space="preserve"> – SGD terminalo, jo infrastruktūros, būtinos SGD perkrovos veiklai vykdyti, metinės eksploatavimo sąnaudos, skaičiuojamos pagal (15) formulę:</w:t>
      </w:r>
    </w:p>
    <w:p>
      <w:pPr>
        <w:tabs>
          <w:tab w:val="left" w:pos="1134"/>
        </w:tabs>
        <w:suppressAutoHyphens/>
        <w:spacing w:line="259" w:lineRule="auto"/>
        <w:ind w:firstLine="720"/>
        <w:jc w:val="both"/>
        <w:textAlignment w:val="baseline"/>
        <w:rPr>
          <w:szCs w:val="24"/>
        </w:rPr>
      </w:pPr>
    </w:p>
    <w:p>
      <w:pPr>
        <w:spacing w:line="259" w:lineRule="auto"/>
        <w:jc w:val="both"/>
        <w:rPr>
          <w:szCs w:val="24"/>
          <w:lang w:eastAsia="lt-LT"/>
        </w:rPr>
      </w:pPr>
      <w:r>
        <w:rPr>
          <w:szCs w:val="24"/>
          <w:lang w:eastAsia="lt-LT"/>
        </w:rPr>
        <w:t>S</w:t>
      </w:r>
      <w:r>
        <w:rPr>
          <w:szCs w:val="24"/>
          <w:vertAlign w:val="subscript"/>
          <w:lang w:eastAsia="lt-LT"/>
        </w:rPr>
        <w:t>SGDTp</w:t>
      </w:r>
      <w:r>
        <w:rPr>
          <w:szCs w:val="24"/>
          <w:lang w:eastAsia="lt-LT"/>
        </w:rPr>
        <w:t xml:space="preserve"> </w:t>
      </w:r>
      <w:r>
        <w:rPr>
          <w:szCs w:val="24"/>
          <w:lang w:val="en-US" w:eastAsia="lt-LT"/>
        </w:rPr>
        <w:t>=</w:t>
      </w:r>
      <w:r>
        <w:rPr>
          <w:szCs w:val="24"/>
          <w:lang w:eastAsia="lt-LT"/>
        </w:rPr>
        <w:t xml:space="preserve"> C</w:t>
      </w:r>
      <w:r>
        <w:rPr>
          <w:szCs w:val="24"/>
          <w:vertAlign w:val="subscript"/>
          <w:lang w:eastAsia="lt-LT"/>
        </w:rPr>
        <w:t>DAp</w:t>
      </w:r>
      <w:r>
        <w:rPr>
          <w:szCs w:val="24"/>
          <w:lang w:eastAsia="lt-LT"/>
        </w:rPr>
        <w:t xml:space="preserve"> + C</w:t>
      </w:r>
      <w:r>
        <w:rPr>
          <w:szCs w:val="24"/>
          <w:vertAlign w:val="subscript"/>
          <w:lang w:eastAsia="lt-LT"/>
        </w:rPr>
        <w:t>PS</w:t>
      </w:r>
      <w:r>
        <w:rPr>
          <w:szCs w:val="24"/>
          <w:lang w:eastAsia="lt-LT"/>
        </w:rPr>
        <w:t>; (Eur) (15)</w:t>
      </w:r>
    </w:p>
    <w:p>
      <w:pPr>
        <w:tabs>
          <w:tab w:val="left" w:pos="1134"/>
        </w:tabs>
        <w:suppressAutoHyphens/>
        <w:spacing w:line="259" w:lineRule="auto"/>
        <w:jc w:val="both"/>
        <w:textAlignment w:val="baseline"/>
        <w:rPr>
          <w:szCs w:val="24"/>
        </w:rPr>
      </w:pPr>
    </w:p>
    <w:p>
      <w:pPr>
        <w:suppressAutoHyphens/>
        <w:spacing w:line="259" w:lineRule="auto"/>
        <w:ind w:firstLine="720"/>
        <w:jc w:val="both"/>
        <w:textAlignment w:val="baseline"/>
        <w:rPr>
          <w:i/>
          <w:szCs w:val="24"/>
        </w:rPr>
      </w:pPr>
      <w:r>
        <w:rPr>
          <w:i/>
          <w:szCs w:val="24"/>
        </w:rPr>
        <w:t>čia:</w:t>
      </w:r>
    </w:p>
    <w:p>
      <w:pPr>
        <w:suppressAutoHyphens/>
        <w:spacing w:line="259" w:lineRule="auto"/>
        <w:ind w:firstLine="720"/>
        <w:jc w:val="both"/>
        <w:textAlignment w:val="baseline"/>
        <w:rPr>
          <w:szCs w:val="24"/>
          <w:vertAlign w:val="subscript"/>
        </w:rPr>
      </w:pPr>
      <w:r>
        <w:rPr>
          <w:szCs w:val="24"/>
        </w:rPr>
        <w:t>C</w:t>
      </w:r>
      <w:r>
        <w:rPr>
          <w:szCs w:val="24"/>
          <w:vertAlign w:val="subscript"/>
        </w:rPr>
        <w:t>DAp</w:t>
      </w:r>
      <w:r>
        <w:rPr>
          <w:szCs w:val="24"/>
        </w:rPr>
        <w:t xml:space="preserve"> – ilgalaikio turto, būtino perkrovos veiklai vykdyti, nusidėvėjimo (amortizacijos) sąnaudos, Eur;</w:t>
      </w:r>
    </w:p>
    <w:p>
      <w:pPr>
        <w:suppressAutoHyphens/>
        <w:spacing w:line="259" w:lineRule="auto"/>
        <w:ind w:firstLine="720"/>
        <w:jc w:val="both"/>
        <w:textAlignment w:val="baseline"/>
        <w:rPr>
          <w:szCs w:val="24"/>
        </w:rPr>
      </w:pPr>
      <w:r>
        <w:rPr>
          <w:szCs w:val="24"/>
        </w:rPr>
        <w:t>C</w:t>
      </w:r>
      <w:r>
        <w:rPr>
          <w:szCs w:val="24"/>
          <w:vertAlign w:val="subscript"/>
        </w:rPr>
        <w:t>PS</w:t>
      </w:r>
      <w:r>
        <w:rPr>
          <w:szCs w:val="24"/>
        </w:rPr>
        <w:t xml:space="preserve"> – skaičiuojama pagal Metodikos 12</w:t>
      </w:r>
      <w:r>
        <w:rPr>
          <w:szCs w:val="24"/>
          <w:vertAlign w:val="superscript"/>
        </w:rPr>
        <w:t>1</w:t>
      </w:r>
      <w:r>
        <w:rPr>
          <w:szCs w:val="24"/>
        </w:rPr>
        <w:t xml:space="preserve"> formulę;“</w:t>
      </w:r>
    </w:p>
    <w:p>
      <w:pPr>
        <w:ind w:left="1080" w:hanging="360"/>
        <w:jc w:val="both"/>
        <w:textAlignment w:val="baseline"/>
        <w:rPr>
          <w:szCs w:val="24"/>
          <w:lang w:eastAsia="lt-LT"/>
        </w:rPr>
      </w:pPr>
      <w:r>
        <w:rPr>
          <w:szCs w:val="24"/>
          <w:lang w:eastAsia="lt-LT"/>
        </w:rPr>
        <w:t>3</w:t>
      </w:r>
      <w:r>
        <w:rPr>
          <w:szCs w:val="24"/>
          <w:lang w:eastAsia="lt-LT"/>
        </w:rPr>
        <w:t>.</w:t>
        <w:tab/>
        <w:t>Papildyti Metodiką 22.</w:t>
      </w:r>
      <w:r>
        <w:rPr>
          <w:szCs w:val="24"/>
          <w:vertAlign w:val="superscript"/>
          <w:lang w:eastAsia="lt-LT"/>
        </w:rPr>
        <w:t>1</w:t>
      </w:r>
      <w:r>
        <w:rPr>
          <w:szCs w:val="24"/>
          <w:lang w:eastAsia="lt-LT"/>
        </w:rPr>
        <w:t xml:space="preserve"> punktu ir jį išdėstyti taip:</w:t>
      </w:r>
    </w:p>
    <w:p>
      <w:pPr>
        <w:suppressAutoHyphens/>
        <w:spacing w:line="259" w:lineRule="auto"/>
        <w:ind w:firstLine="709"/>
        <w:jc w:val="both"/>
        <w:textAlignment w:val="baseline"/>
        <w:rPr>
          <w:szCs w:val="24"/>
          <w:lang w:eastAsia="lt-LT"/>
        </w:rPr>
      </w:pPr>
      <w:r>
        <w:rPr>
          <w:b/>
          <w:bCs/>
          <w:szCs w:val="24"/>
          <w:lang w:eastAsia="lt-LT"/>
        </w:rPr>
        <w:t>„</w:t>
      </w:r>
      <w:r>
        <w:rPr>
          <w:szCs w:val="24"/>
          <w:lang w:eastAsia="lt-LT"/>
        </w:rPr>
        <w:t>22.</w:t>
      </w:r>
      <w:r>
        <w:rPr>
          <w:szCs w:val="24"/>
          <w:vertAlign w:val="superscript"/>
          <w:lang w:eastAsia="lt-LT"/>
        </w:rPr>
        <w:t>1</w:t>
      </w:r>
      <w:r>
        <w:rPr>
          <w:szCs w:val="24"/>
          <w:lang w:eastAsia="lt-LT"/>
        </w:rPr>
        <w:t xml:space="preserve"> Perkrovos paslaugos kaina gali būti diferencijuojama atsižvelgiant į perkraunamą SGD kiekį ar (ir) laivo dydį bei kitus Bendrovės Tarybai pagrįstus veiksnius.“</w:t>
      </w:r>
    </w:p>
    <w:p>
      <w:pPr>
        <w:ind w:left="1080" w:hanging="360"/>
        <w:jc w:val="both"/>
        <w:textAlignment w:val="baseline"/>
        <w:rPr>
          <w:szCs w:val="24"/>
          <w:lang w:eastAsia="lt-LT"/>
        </w:rPr>
      </w:pPr>
      <w:r>
        <w:rPr>
          <w:szCs w:val="24"/>
          <w:lang w:eastAsia="lt-LT"/>
        </w:rPr>
        <w:t>4</w:t>
      </w:r>
      <w:r>
        <w:rPr>
          <w:szCs w:val="24"/>
          <w:lang w:eastAsia="lt-LT"/>
        </w:rPr>
        <w:t>.</w:t>
        <w:tab/>
        <w:t xml:space="preserve">Pakeisti Metodikos </w:t>
      </w:r>
      <w:r>
        <w:rPr>
          <w:szCs w:val="24"/>
          <w:lang w:val="en-US" w:eastAsia="lt-LT"/>
        </w:rPr>
        <w:t>26</w:t>
      </w:r>
      <w:r>
        <w:rPr>
          <w:szCs w:val="24"/>
          <w:lang w:eastAsia="lt-LT"/>
        </w:rPr>
        <w:t> punktą ir išdėstyti jį taip:</w:t>
      </w:r>
    </w:p>
    <w:p>
      <w:pPr>
        <w:ind w:firstLine="720"/>
        <w:jc w:val="both"/>
        <w:textAlignment w:val="baseline"/>
        <w:rPr>
          <w:szCs w:val="24"/>
          <w:lang w:eastAsia="lt-LT"/>
        </w:rPr>
      </w:pPr>
      <w:r>
        <w:rPr>
          <w:szCs w:val="24"/>
          <w:lang w:eastAsia="lt-LT"/>
        </w:rPr>
        <w:t>„</w:t>
      </w:r>
      <w:r>
        <w:rPr>
          <w:szCs w:val="24"/>
          <w:lang w:eastAsia="lt-LT"/>
        </w:rPr>
        <w:t>26</w:t>
      </w:r>
      <w:r>
        <w:rPr>
          <w:szCs w:val="24"/>
          <w:lang w:eastAsia="lt-LT"/>
        </w:rPr>
        <w:t>. Gamtinių dujų Saugumo dedamoji, nurodyta šios Metodikos 24 punkte, skaičiuojama pagal (17) formulę:</w:t>
      </w:r>
    </w:p>
    <w:p>
      <w:pPr>
        <w:jc w:val="both"/>
        <w:rPr>
          <w:szCs w:val="24"/>
          <w:lang w:eastAsia="lt-LT"/>
        </w:rPr>
      </w:pPr>
      <w:r>
        <w:rPr>
          <w:szCs w:val="24"/>
          <w:lang w:val="en-US"/>
        </w:rPr>
        <w:drawing>
          <wp:inline distT="0" distB="0" distL="0" distR="0" wp14:anchorId="5320E288" wp14:editId="2D371269">
            <wp:extent cx="611505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06400"/>
                    </a:xfrm>
                    <a:prstGeom prst="rect">
                      <a:avLst/>
                    </a:prstGeom>
                    <a:noFill/>
                    <a:ln>
                      <a:noFill/>
                    </a:ln>
                  </pic:spPr>
                </pic:pic>
              </a:graphicData>
            </a:graphic>
          </wp:inline>
        </w:drawing>
      </w:r>
    </w:p>
    <w:p>
      <w:pPr>
        <w:ind w:firstLine="720"/>
        <w:jc w:val="both"/>
        <w:textAlignment w:val="baseline"/>
        <w:rPr>
          <w:szCs w:val="24"/>
          <w:lang w:eastAsia="lt-LT"/>
        </w:rPr>
      </w:pPr>
      <w:r>
        <w:rPr>
          <w:i/>
          <w:iCs/>
          <w:szCs w:val="24"/>
          <w:lang w:eastAsia="lt-LT"/>
        </w:rPr>
        <w:t>čia:</w:t>
      </w:r>
    </w:p>
    <w:p>
      <w:pPr>
        <w:ind w:firstLine="709"/>
        <w:jc w:val="both"/>
        <w:textAlignment w:val="baseline"/>
        <w:rPr>
          <w:szCs w:val="24"/>
          <w:lang w:eastAsia="lt-LT"/>
        </w:rPr>
      </w:pPr>
      <w:r>
        <w:rPr>
          <w:szCs w:val="24"/>
          <w:lang w:eastAsia="lt-LT"/>
        </w:rPr>
        <w:t>D</w:t>
      </w:r>
      <w:r>
        <w:rPr>
          <w:szCs w:val="24"/>
          <w:vertAlign w:val="subscript"/>
          <w:lang w:eastAsia="lt-LT"/>
        </w:rPr>
        <w:t>saug,t+1</w:t>
      </w:r>
      <w:r>
        <w:rPr>
          <w:szCs w:val="24"/>
          <w:lang w:eastAsia="lt-LT"/>
        </w:rPr>
        <w:t xml:space="preserve"> – ateinantiems (t+1) metams skaičiuojama Saugumo dedamoji, Eur/(MWh/parą/metus);</w:t>
      </w:r>
    </w:p>
    <w:p>
      <w:pPr>
        <w:ind w:firstLine="720"/>
        <w:jc w:val="both"/>
        <w:textAlignment w:val="center"/>
        <w:rPr>
          <w:szCs w:val="24"/>
          <w:lang w:eastAsia="lt-LT"/>
        </w:rPr>
      </w:pPr>
      <w:r>
        <w:rPr>
          <w:szCs w:val="24"/>
          <w:lang w:eastAsia="lt-LT"/>
        </w:rPr>
        <w:t>D</w:t>
      </w:r>
      <w:r>
        <w:rPr>
          <w:szCs w:val="24"/>
          <w:vertAlign w:val="subscript"/>
          <w:lang w:eastAsia="lt-LT"/>
        </w:rPr>
        <w:t>p,t+1</w:t>
      </w:r>
      <w:r>
        <w:rPr>
          <w:szCs w:val="24"/>
          <w:lang w:eastAsia="lt-LT"/>
        </w:rPr>
        <w:t xml:space="preserve"> – SGD pakartotinio dujinimo kainos pastovioji dalis, suskaičiuota ateinantiems metams pagal Metodikos 19.1 papunktį, Eur/</w:t>
      </w:r>
      <w:r>
        <w:rPr>
          <w:b/>
          <w:bCs/>
          <w:szCs w:val="24"/>
          <w:lang w:eastAsia="lt-LT"/>
        </w:rPr>
        <w:t>(</w:t>
      </w:r>
      <w:r>
        <w:rPr>
          <w:szCs w:val="24"/>
          <w:lang w:eastAsia="lt-LT"/>
        </w:rPr>
        <w:t>MWh/parą/metus</w:t>
      </w:r>
      <w:r>
        <w:rPr>
          <w:b/>
          <w:bCs/>
          <w:szCs w:val="24"/>
          <w:lang w:eastAsia="lt-LT"/>
        </w:rPr>
        <w:t>)</w:t>
      </w:r>
      <w:r>
        <w:rPr>
          <w:szCs w:val="24"/>
          <w:lang w:eastAsia="lt-LT"/>
        </w:rPr>
        <w:t>;</w:t>
      </w:r>
    </w:p>
    <w:p>
      <w:pPr>
        <w:ind w:firstLine="720"/>
        <w:jc w:val="both"/>
        <w:textAlignment w:val="center"/>
        <w:rPr>
          <w:szCs w:val="24"/>
          <w:lang w:eastAsia="lt-LT"/>
        </w:rPr>
      </w:pPr>
      <w:r>
        <w:rPr>
          <w:szCs w:val="24"/>
          <w:lang w:eastAsia="lt-LT"/>
        </w:rPr>
        <w:t>K</w:t>
      </w:r>
      <w:r>
        <w:rPr>
          <w:szCs w:val="24"/>
          <w:vertAlign w:val="subscript"/>
          <w:lang w:eastAsia="lt-LT"/>
        </w:rPr>
        <w:t xml:space="preserve">įsig.,n </w:t>
      </w:r>
      <w:r>
        <w:rPr>
          <w:szCs w:val="24"/>
          <w:lang w:eastAsia="lt-LT"/>
        </w:rPr>
        <w:t>– paskirtojo tiekėjo mokėtina faktinė kaina už per praėjusių keturių ketvirčių n-tąjį mėnesį įsigytą išdujinto ir (ar) perkrauto būtinojo kiekio dalį, Eur/MWh, kuri gali būti koreguojama atsižvelgiant į paskirtojo tiekėjo pateiktą pagrindimą kainų pokyčiui, susidariusiam dėl neįprastų veiklos sąlygų nuokrypių;</w:t>
      </w:r>
    </w:p>
    <w:p>
      <w:pPr>
        <w:ind w:firstLine="720"/>
        <w:jc w:val="both"/>
        <w:textAlignment w:val="center"/>
        <w:rPr>
          <w:szCs w:val="24"/>
          <w:lang w:eastAsia="lt-LT"/>
        </w:rPr>
      </w:pPr>
      <w:r>
        <w:rPr>
          <w:szCs w:val="24"/>
          <w:lang w:eastAsia="lt-LT"/>
        </w:rPr>
        <w:t>K</w:t>
      </w:r>
      <w:r>
        <w:rPr>
          <w:szCs w:val="24"/>
          <w:vertAlign w:val="subscript"/>
          <w:lang w:eastAsia="lt-LT"/>
        </w:rPr>
        <w:t xml:space="preserve">vid.,n </w:t>
      </w:r>
      <w:r>
        <w:rPr>
          <w:szCs w:val="24"/>
          <w:lang w:eastAsia="lt-LT"/>
        </w:rPr>
        <w:t xml:space="preserve">– praėjusių keturių ketvirčių n-tojo mėnesio Vidutinė importo kaina, Eur/MWh; </w:t>
      </w:r>
    </w:p>
    <w:p>
      <w:pPr>
        <w:ind w:firstLine="720"/>
        <w:jc w:val="both"/>
        <w:textAlignment w:val="center"/>
        <w:rPr>
          <w:szCs w:val="24"/>
          <w:lang w:eastAsia="lt-LT"/>
        </w:rPr>
      </w:pPr>
      <w:r>
        <w:rPr>
          <w:szCs w:val="24"/>
          <w:lang w:eastAsia="lt-LT"/>
        </w:rPr>
        <w:t>Q</w:t>
      </w:r>
      <w:r>
        <w:rPr>
          <w:szCs w:val="24"/>
          <w:vertAlign w:val="subscript"/>
          <w:lang w:eastAsia="lt-LT"/>
        </w:rPr>
        <w:t xml:space="preserve">n – </w:t>
      </w:r>
      <w:r>
        <w:rPr>
          <w:szCs w:val="24"/>
          <w:lang w:eastAsia="lt-LT"/>
        </w:rPr>
        <w:t>praėjusių keturių ketvirčių įsigyto ir per n-tąjį mėnesį išdujinto ir (ar) perkrauto būtinojo kiekio dalis, nevertinant dėl neįprastų veiklos sąlygų susidariusių nuokrypių, MWh;</w:t>
      </w:r>
    </w:p>
    <w:p>
      <w:pPr>
        <w:ind w:firstLine="720"/>
        <w:jc w:val="both"/>
        <w:textAlignment w:val="center"/>
        <w:rPr>
          <w:szCs w:val="24"/>
          <w:lang w:eastAsia="lt-LT"/>
        </w:rPr>
      </w:pPr>
      <w:r>
        <w:rPr>
          <w:szCs w:val="24"/>
          <w:lang w:eastAsia="lt-LT"/>
        </w:rPr>
        <w:t>S</w:t>
      </w:r>
      <w:r>
        <w:rPr>
          <w:szCs w:val="24"/>
          <w:vertAlign w:val="subscript"/>
          <w:lang w:eastAsia="lt-LT"/>
        </w:rPr>
        <w:t xml:space="preserve">TECH, t+1 </w:t>
      </w:r>
      <w:r>
        <w:rPr>
          <w:szCs w:val="24"/>
          <w:lang w:eastAsia="lt-LT"/>
        </w:rPr>
        <w:t xml:space="preserve">– ateinantiems (t+1) metams prognozuojamos paskirtojo tiekėjo sąnaudos technologinėms reikmėms, skaičiuojamos pagal (18) </w:t>
      </w:r>
      <w:r>
        <w:rPr>
          <w:szCs w:val="24"/>
          <w:vertAlign w:val="superscript"/>
          <w:lang w:eastAsia="lt-LT"/>
        </w:rPr>
        <w:t> </w:t>
      </w:r>
      <w:r>
        <w:rPr>
          <w:szCs w:val="24"/>
          <w:lang w:eastAsia="lt-LT"/>
        </w:rPr>
        <w:t>formulę, Eur;</w:t>
      </w:r>
    </w:p>
    <w:p>
      <w:pPr>
        <w:ind w:firstLine="720"/>
        <w:jc w:val="both"/>
        <w:textAlignment w:val="center"/>
        <w:rPr>
          <w:szCs w:val="24"/>
          <w:lang w:eastAsia="lt-LT"/>
        </w:rPr>
      </w:pPr>
      <w:r>
        <w:rPr>
          <w:szCs w:val="24"/>
          <w:lang w:eastAsia="lt-LT"/>
        </w:rPr>
        <w:t>S</w:t>
      </w:r>
      <w:r>
        <w:rPr>
          <w:szCs w:val="24"/>
          <w:vertAlign w:val="subscript"/>
          <w:lang w:eastAsia="lt-LT"/>
        </w:rPr>
        <w:t xml:space="preserve">FIN, t+1 – </w:t>
      </w:r>
      <w:r>
        <w:rPr>
          <w:szCs w:val="24"/>
          <w:lang w:eastAsia="lt-LT"/>
        </w:rPr>
        <w:t>ateinantiems (t+1) metams prognozuojamos būtinojo kiekio tiekimo ilgalaikės garantijos finansavimo</w:t>
      </w:r>
      <w:r>
        <w:rPr>
          <w:szCs w:val="24"/>
          <w:vertAlign w:val="subscript"/>
          <w:lang w:eastAsia="lt-LT"/>
        </w:rPr>
        <w:t xml:space="preserve"> </w:t>
      </w:r>
      <w:r>
        <w:rPr>
          <w:szCs w:val="24"/>
          <w:lang w:eastAsia="lt-LT"/>
        </w:rPr>
        <w:t>sąnaudos, Eur;</w:t>
      </w:r>
    </w:p>
    <w:p>
      <w:pPr>
        <w:ind w:firstLine="720"/>
        <w:jc w:val="both"/>
        <w:textAlignment w:val="baseline"/>
        <w:rPr>
          <w:szCs w:val="24"/>
          <w:lang w:eastAsia="lt-LT"/>
        </w:rPr>
      </w:pPr>
      <w:r>
        <w:rPr>
          <w:szCs w:val="24"/>
          <w:lang w:eastAsia="lt-LT"/>
        </w:rPr>
        <w:t>P∆</w:t>
      </w:r>
      <w:r>
        <w:rPr>
          <w:szCs w:val="24"/>
          <w:vertAlign w:val="subscript"/>
          <w:lang w:eastAsia="lt-LT"/>
        </w:rPr>
        <w:t>,t,x</w:t>
      </w:r>
      <w:r>
        <w:rPr>
          <w:szCs w:val="24"/>
          <w:lang w:eastAsia="lt-LT"/>
        </w:rPr>
        <w:t xml:space="preserve"> – paskirtojo tiekėjo pajamų nuokrypis, susidaręs dėl prognozuotų ir faktinių SGD įsigijimo kainų, kiekių, Vidutinės importo kainos, technologinių sąnaudų, vartojimo pajėgumų bei SGD terminalo būtinojo kiekio tiekimo ilgalaikės garantijos finansavimo sąnaudų skirtumo per praėjusius keturis ketvirčius, Eur. Jeigu apskaičiuota P∆</w:t>
      </w:r>
      <w:r>
        <w:rPr>
          <w:szCs w:val="24"/>
          <w:vertAlign w:val="subscript"/>
          <w:lang w:eastAsia="lt-LT"/>
        </w:rPr>
        <w:t xml:space="preserve">,t,x </w:t>
      </w:r>
      <w:r>
        <w:rPr>
          <w:szCs w:val="24"/>
          <w:lang w:eastAsia="lt-LT"/>
        </w:rPr>
        <w:t xml:space="preserve"> yra teigiama, susidaręs skirtumas gali būti išdėstomas per ilgesnį nei vienerių metų laikotarpį ir grąžinamas paskirtajam tiekėjui, kai paskirtasis tiekėjas pateikia motyvuotą prašymą Tarybai;</w:t>
      </w:r>
    </w:p>
    <w:p>
      <w:pPr>
        <w:ind w:firstLine="720"/>
        <w:jc w:val="both"/>
        <w:textAlignment w:val="baseline"/>
        <w:rPr>
          <w:szCs w:val="24"/>
          <w:lang w:eastAsia="lt-LT"/>
        </w:rPr>
      </w:pPr>
      <w:r>
        <w:rPr>
          <w:szCs w:val="24"/>
          <w:lang w:eastAsia="lt-LT"/>
        </w:rPr>
        <w:t>m – indeksas, nurodantis per praėjusius keturis ketvirčius vertinamų P∆</w:t>
      </w:r>
      <w:r>
        <w:rPr>
          <w:szCs w:val="24"/>
          <w:vertAlign w:val="subscript"/>
          <w:lang w:eastAsia="lt-LT"/>
        </w:rPr>
        <w:t xml:space="preserve">,t </w:t>
      </w:r>
      <w:r>
        <w:rPr>
          <w:szCs w:val="24"/>
          <w:lang w:eastAsia="lt-LT"/>
        </w:rPr>
        <w:t>dedamųjų skaičių.</w:t>
      </w:r>
    </w:p>
    <w:p>
      <w:pPr>
        <w:ind w:firstLine="720"/>
        <w:jc w:val="both"/>
        <w:textAlignment w:val="baseline"/>
        <w:rPr>
          <w:szCs w:val="24"/>
          <w:lang w:eastAsia="lt-LT"/>
        </w:rPr>
      </w:pPr>
      <w:r>
        <w:rPr>
          <w:szCs w:val="24"/>
          <w:lang w:eastAsia="lt-LT"/>
        </w:rPr>
        <w:t>Įsigaliojus Lietuvos Respublikos suskystintų gamtinių dujų terminalo įstatymo Nr. XI-2053 11 straipsnio pakeitimo įstatymui, skirtumas, susidaręs tarp paskirtojo tiekėjo faktinių ir prognozuotų SGD terminalo būtinojo kiekio tiekimo pagrįstų sąnaudų, patirtų iki šio įstatymo įsigaliojimo, taip pat kainų skirtumas už iš požeminės gamtinių dujų saugyklos išimamo SGD terminalo būtinojo kiekio likučio, kuris šio įstatymo įsigaliojimo metu buvo saugomas požeminėje gamtinių dujų saugykloje, įsigijimą mokėtos kainos ir Suskystintų gamtinių dujų terminalo įstatymo 11 straipsnio 4 dalies 1 punkte nurodytos vidutinės importo kainos, Tarybos nustatyta tvarka ir sąlygomis įvertinami nustatant gamtinių dujų tiekimo saugumo papildomą dedamąją prie gamtinių dujų perdavimo kainos.</w:t>
      </w:r>
    </w:p>
    <w:p>
      <w:pPr>
        <w:ind w:firstLine="709"/>
        <w:jc w:val="both"/>
        <w:textAlignment w:val="baseline"/>
        <w:rPr>
          <w:szCs w:val="24"/>
          <w:lang w:eastAsia="lt-LT"/>
        </w:rPr>
      </w:pPr>
      <w:r>
        <w:rPr>
          <w:szCs w:val="24"/>
          <w:lang w:eastAsia="lt-LT"/>
        </w:rPr>
        <w:t>Q</w:t>
      </w:r>
      <w:r>
        <w:rPr>
          <w:szCs w:val="24"/>
          <w:vertAlign w:val="subscript"/>
          <w:lang w:eastAsia="lt-LT"/>
        </w:rPr>
        <w:t>vp,t+1</w:t>
      </w:r>
      <w:r>
        <w:rPr>
          <w:szCs w:val="24"/>
          <w:lang w:eastAsia="lt-LT"/>
        </w:rPr>
        <w:t xml:space="preserve"> – vartojimo pajėgumai t+1 metams, MWh/parą/metus;</w:t>
      </w:r>
    </w:p>
    <w:p>
      <w:pPr>
        <w:ind w:firstLine="709"/>
        <w:jc w:val="both"/>
        <w:textAlignment w:val="baseline"/>
        <w:rPr>
          <w:b/>
          <w:bCs/>
          <w:szCs w:val="24"/>
          <w:lang w:eastAsia="lt-LT"/>
        </w:rPr>
      </w:pPr>
      <w:r>
        <w:rPr>
          <w:szCs w:val="24"/>
          <w:lang w:eastAsia="lt-LT"/>
        </w:rPr>
        <w:t>S</w:t>
      </w:r>
      <w:r>
        <w:rPr>
          <w:szCs w:val="24"/>
          <w:vertAlign w:val="subscript"/>
          <w:lang w:eastAsia="lt-LT"/>
        </w:rPr>
        <w:t>adm,t+1</w:t>
      </w:r>
      <w:r>
        <w:rPr>
          <w:szCs w:val="24"/>
          <w:lang w:eastAsia="lt-LT"/>
        </w:rPr>
        <w:t xml:space="preserve"> – prognozuojamos ateinančių metų SGDT lėšų administravimo sąnaudos (toliau – administravimo sąnaudos), į kurias įskaičiuojamos metinės perdavimo sistemos operatoriaus sąnaudos t+1 metams dėl SGDT lėšų administravimo, Eur. Administravimo sąnaudos skaičiuojamos pagal (17</w:t>
      </w:r>
      <w:r>
        <w:rPr>
          <w:szCs w:val="24"/>
          <w:vertAlign w:val="superscript"/>
          <w:lang w:eastAsia="lt-LT"/>
        </w:rPr>
        <w:t>1</w:t>
      </w:r>
      <w:r>
        <w:rPr>
          <w:szCs w:val="24"/>
          <w:lang w:eastAsia="lt-LT"/>
        </w:rPr>
        <w:t>) formulę:</w:t>
      </w:r>
      <w:r>
        <w:rPr>
          <w:b/>
          <w:bCs/>
          <w:szCs w:val="24"/>
          <w:lang w:eastAsia="lt-LT"/>
        </w:rPr>
        <w:t xml:space="preserve"> </w:t>
      </w:r>
    </w:p>
    <w:p>
      <w:pPr>
        <w:ind w:firstLine="771"/>
        <w:jc w:val="both"/>
        <w:textAlignment w:val="baseline"/>
        <w:rPr>
          <w:i/>
          <w:szCs w:val="24"/>
          <w:lang w:val="en-US" w:eastAsia="lt-LT"/>
        </w:rPr>
      </w:pPr>
      <m:oMath>
        <m:sSub>
          <m:sSubPr>
            <m:ctrlPr>
              <w:rPr>
                <w:rFonts w:ascii="Cambria Math" w:hAnsi="Cambria Math"/>
                <w:i/>
                <w:szCs w:val="24"/>
                <w:lang w:eastAsia="lt-LT"/>
              </w:rPr>
            </m:ctrlPr>
          </m:sSubPr>
          <m:e>
            <m:r>
              <w:rPr>
                <w:rFonts w:ascii="Cambria Math" w:hAnsi="Cambria Math"/>
                <w:szCs w:val="24"/>
                <w:lang w:eastAsia="lt-LT"/>
              </w:rPr>
              <m:t>S</m:t>
            </m:r>
          </m:e>
          <m:sub>
            <m:r>
              <w:rPr>
                <w:rFonts w:ascii="Cambria Math" w:hAnsi="Cambria Math"/>
                <w:szCs w:val="24"/>
                <w:lang w:eastAsia="lt-LT"/>
              </w:rPr>
              <m:t>adm</m:t>
            </m:r>
          </m:sub>
        </m:sSub>
        <m:r>
          <w:rPr>
            <w:rFonts w:ascii="Cambria Math" w:hAnsi="Cambria Math"/>
            <w:szCs w:val="24"/>
            <w:lang w:val="en-US" w:eastAsia="lt-LT"/>
          </w:rPr>
          <m:t xml:space="preserve">= </m:t>
        </m:r>
        <m:sSub>
          <m:sSubPr>
            <m:ctrlPr>
              <w:rPr>
                <w:rFonts w:ascii="Cambria Math" w:hAnsi="Cambria Math"/>
                <w:i/>
                <w:szCs w:val="24"/>
                <w:lang w:val="en-US" w:eastAsia="lt-LT"/>
              </w:rPr>
            </m:ctrlPr>
          </m:sSubPr>
          <m:e>
            <m:r>
              <w:rPr>
                <w:rFonts w:ascii="Cambria Math" w:hAnsi="Cambria Math"/>
                <w:szCs w:val="24"/>
                <w:lang w:val="en-US" w:eastAsia="lt-LT"/>
              </w:rPr>
              <m:t>OPEX</m:t>
            </m:r>
          </m:e>
          <m:sub>
            <m:r>
              <w:rPr>
                <w:rFonts w:ascii="Cambria Math" w:hAnsi="Cambria Math"/>
                <w:szCs w:val="24"/>
                <w:lang w:val="en-US" w:eastAsia="lt-LT"/>
              </w:rPr>
              <m:t>adm (be DU)</m:t>
            </m:r>
          </m:sub>
        </m:sSub>
        <m:r>
          <w:rPr>
            <w:rFonts w:ascii="Cambria Math" w:hAnsi="Cambria Math"/>
            <w:szCs w:val="24"/>
            <w:lang w:val="en-US" w:eastAsia="lt-LT"/>
          </w:rPr>
          <m:t>+</m:t>
        </m:r>
        <m:sSub>
          <m:sSubPr>
            <m:ctrlPr>
              <w:rPr>
                <w:rFonts w:ascii="Cambria Math" w:hAnsi="Cambria Math"/>
                <w:i/>
                <w:szCs w:val="24"/>
                <w:lang w:val="en-US" w:eastAsia="lt-LT"/>
              </w:rPr>
            </m:ctrlPr>
          </m:sSubPr>
          <m:e>
            <m:r>
              <w:rPr>
                <w:rFonts w:ascii="Cambria Math" w:hAnsi="Cambria Math"/>
                <w:szCs w:val="24"/>
                <w:lang w:val="en-US" w:eastAsia="lt-LT"/>
              </w:rPr>
              <m:t>C</m:t>
            </m:r>
          </m:e>
          <m:sub>
            <m:r>
              <w:rPr>
                <w:rFonts w:ascii="Cambria Math" w:hAnsi="Cambria Math"/>
                <w:szCs w:val="24"/>
                <w:lang w:val="en-US" w:eastAsia="lt-LT"/>
              </w:rPr>
              <m:t>DA</m:t>
            </m:r>
          </m:sub>
        </m:sSub>
        <m:r>
          <w:rPr>
            <w:rFonts w:ascii="Cambria Math" w:hAnsi="Cambria Math"/>
            <w:szCs w:val="24"/>
            <w:lang w:val="en-US" w:eastAsia="lt-LT"/>
          </w:rPr>
          <m:t>+</m:t>
        </m:r>
        <m:sSub>
          <m:sSubPr>
            <m:ctrlPr>
              <w:rPr>
                <w:rFonts w:ascii="Cambria Math" w:hAnsi="Cambria Math"/>
                <w:i/>
                <w:szCs w:val="24"/>
                <w:lang w:val="en-US" w:eastAsia="lt-LT"/>
              </w:rPr>
            </m:ctrlPr>
          </m:sSubPr>
          <m:e>
            <m:r>
              <w:rPr>
                <w:rFonts w:ascii="Cambria Math" w:hAnsi="Cambria Math"/>
                <w:szCs w:val="24"/>
                <w:lang w:val="en-US" w:eastAsia="lt-LT"/>
              </w:rPr>
              <m:t>OPEX</m:t>
            </m:r>
          </m:e>
          <m:sub>
            <m:r>
              <w:rPr>
                <w:rFonts w:ascii="Cambria Math" w:hAnsi="Cambria Math"/>
                <w:szCs w:val="24"/>
                <w:lang w:val="en-US" w:eastAsia="lt-LT"/>
              </w:rPr>
              <m:t>adm</m:t>
            </m:r>
          </m:sub>
        </m:sSub>
        <m:r>
          <w:rPr>
            <w:rFonts w:ascii="Cambria Math" w:hAnsi="Cambria Math"/>
            <w:szCs w:val="24"/>
            <w:lang w:val="en-US" w:eastAsia="lt-LT"/>
          </w:rPr>
          <m:t>+</m:t>
        </m:r>
        <m:sSub>
          <m:sSubPr>
            <m:ctrlPr>
              <w:rPr>
                <w:rFonts w:ascii="Cambria Math" w:hAnsi="Cambria Math"/>
                <w:i/>
                <w:szCs w:val="24"/>
                <w:lang w:val="en-US" w:eastAsia="lt-LT"/>
              </w:rPr>
            </m:ctrlPr>
          </m:sSubPr>
          <m:e>
            <m:r>
              <w:rPr>
                <w:rFonts w:ascii="Cambria Math" w:hAnsi="Cambria Math"/>
                <w:szCs w:val="24"/>
                <w:lang w:val="en-US" w:eastAsia="lt-LT"/>
              </w:rPr>
              <m:t>C</m:t>
            </m:r>
          </m:e>
          <m:sub>
            <m:r>
              <w:rPr>
                <w:rFonts w:ascii="Cambria Math" w:hAnsi="Cambria Math"/>
                <w:szCs w:val="24"/>
                <w:lang w:val="en-US" w:eastAsia="lt-LT"/>
              </w:rPr>
              <m:t>T</m:t>
            </m:r>
          </m:sub>
        </m:sSub>
        <m:r>
          <w:rPr>
            <w:rFonts w:ascii="Cambria Math" w:hAnsi="Cambria Math"/>
            <w:szCs w:val="24"/>
            <w:lang w:val="en-US" w:eastAsia="lt-LT"/>
          </w:rPr>
          <m:t>+</m:t>
        </m:r>
        <m:sSub>
          <m:sSubPr>
            <m:ctrlPr>
              <w:rPr>
                <w:rFonts w:ascii="Cambria Math" w:hAnsi="Cambria Math"/>
                <w:i/>
                <w:szCs w:val="24"/>
                <w:lang w:val="en-US" w:eastAsia="lt-LT"/>
              </w:rPr>
            </m:ctrlPr>
          </m:sSubPr>
          <m:e>
            <m:r>
              <w:rPr>
                <w:rFonts w:ascii="Cambria Math" w:hAnsi="Cambria Math"/>
                <w:szCs w:val="24"/>
                <w:lang w:val="en-US" w:eastAsia="lt-LT"/>
              </w:rPr>
              <m:t>C</m:t>
            </m:r>
          </m:e>
          <m:sub>
            <m:r>
              <w:rPr>
                <w:rFonts w:ascii="Cambria Math" w:hAnsi="Cambria Math"/>
                <w:szCs w:val="24"/>
                <w:lang w:val="en-US" w:eastAsia="lt-LT"/>
              </w:rPr>
              <m:t>X</m:t>
            </m:r>
          </m:sub>
        </m:sSub>
        <m:r>
          <w:rPr>
            <w:rFonts w:ascii="Cambria Math" w:hAnsi="Cambria Math"/>
            <w:szCs w:val="24"/>
            <w:lang w:val="en-US" w:eastAsia="lt-LT"/>
          </w:rPr>
          <m:t>-</m:t>
        </m:r>
        <m:sSub>
          <m:sSubPr>
            <m:ctrlPr>
              <w:rPr>
                <w:rFonts w:ascii="Cambria Math" w:hAnsi="Cambria Math"/>
                <w:i/>
                <w:szCs w:val="24"/>
                <w:lang w:val="en-US" w:eastAsia="lt-LT"/>
              </w:rPr>
            </m:ctrlPr>
          </m:sSubPr>
          <m:e>
            <m:r>
              <w:rPr>
                <w:rFonts w:ascii="Cambria Math" w:hAnsi="Cambria Math"/>
                <w:szCs w:val="24"/>
                <w:lang w:val="en-US" w:eastAsia="lt-LT"/>
              </w:rPr>
              <m:t>ΔS</m:t>
            </m:r>
          </m:e>
          <m:sub>
            <m:r>
              <w:rPr>
                <w:rFonts w:ascii="Cambria Math" w:hAnsi="Cambria Math"/>
                <w:szCs w:val="24"/>
                <w:lang w:val="en-US" w:eastAsia="lt-LT"/>
              </w:rPr>
              <m:t>adm</m:t>
            </m:r>
          </m:sub>
        </m:sSub>
      </m:oMath>
      <w:r>
        <w:rPr>
          <w:szCs w:val="24"/>
          <w:lang w:eastAsia="lt-LT"/>
        </w:rPr>
        <w:t>(17</w:t>
      </w:r>
      <w:r>
        <w:rPr>
          <w:szCs w:val="24"/>
          <w:vertAlign w:val="superscript"/>
          <w:lang w:eastAsia="lt-LT"/>
        </w:rPr>
        <w:t>1</w:t>
      </w:r>
      <w:r>
        <w:rPr>
          <w:szCs w:val="24"/>
          <w:lang w:eastAsia="lt-LT"/>
        </w:rPr>
        <w:t>)</w:t>
      </w:r>
    </w:p>
    <w:p>
      <w:pPr>
        <w:ind w:firstLine="720"/>
        <w:rPr>
          <w:szCs w:val="24"/>
          <w:lang w:eastAsia="lt-LT"/>
        </w:rPr>
      </w:pPr>
      <w:r>
        <w:rPr>
          <w:i/>
          <w:iCs/>
          <w:szCs w:val="24"/>
          <w:lang w:eastAsia="lt-LT"/>
        </w:rPr>
        <w:t>čia:</w:t>
      </w:r>
    </w:p>
    <w:p>
      <w:pPr>
        <w:ind w:firstLine="709"/>
        <w:jc w:val="both"/>
        <w:rPr>
          <w:szCs w:val="24"/>
          <w:lang w:eastAsia="lt-LT"/>
        </w:rPr>
      </w:pPr>
      <w:r>
        <w:rPr>
          <w:szCs w:val="24"/>
          <w:lang w:eastAsia="lt-LT"/>
        </w:rPr>
        <w:t>OPEX</w:t>
      </w:r>
      <w:r>
        <w:rPr>
          <w:szCs w:val="24"/>
          <w:vertAlign w:val="subscript"/>
          <w:lang w:eastAsia="lt-LT"/>
        </w:rPr>
        <w:t>adm (be DU)</w:t>
      </w:r>
      <w:r>
        <w:rPr>
          <w:szCs w:val="24"/>
          <w:lang w:eastAsia="lt-LT"/>
        </w:rPr>
        <w:t xml:space="preserve"> – SGDT lėšų administravimui priskirtos operacinės sąnaudos, skaičiuojamos pagal Metodikos 12.3 papunktį, Eur;</w:t>
      </w:r>
    </w:p>
    <w:p>
      <w:pPr>
        <w:ind w:firstLine="709"/>
        <w:jc w:val="both"/>
        <w:rPr>
          <w:szCs w:val="24"/>
          <w:lang w:eastAsia="lt-LT"/>
        </w:rPr>
      </w:pPr>
      <w:r>
        <w:rPr>
          <w:szCs w:val="24"/>
          <w:lang w:eastAsia="lt-LT"/>
        </w:rPr>
        <w:t>C</w:t>
      </w:r>
      <w:r>
        <w:rPr>
          <w:szCs w:val="24"/>
          <w:vertAlign w:val="subscript"/>
          <w:lang w:eastAsia="lt-LT"/>
        </w:rPr>
        <w:t>DA</w:t>
      </w:r>
      <w:r>
        <w:rPr>
          <w:szCs w:val="24"/>
          <w:lang w:eastAsia="lt-LT"/>
        </w:rPr>
        <w:t xml:space="preserve"> – nusidėvėjimo (amortizacijos) sąnaudos, skaičiuojamos pagal Metodikos 12.2 papunktį, Eur;</w:t>
      </w:r>
    </w:p>
    <w:p>
      <w:pPr>
        <w:ind w:firstLine="720"/>
        <w:jc w:val="both"/>
        <w:textAlignment w:val="baseline"/>
        <w:rPr>
          <w:szCs w:val="24"/>
          <w:lang w:eastAsia="lt-LT"/>
        </w:rPr>
      </w:pPr>
      <w:r>
        <w:rPr>
          <w:szCs w:val="24"/>
          <w:lang w:eastAsia="lt-LT"/>
        </w:rPr>
        <w:t>OPEX</w:t>
      </w:r>
      <w:r>
        <w:rPr>
          <w:szCs w:val="24"/>
          <w:vertAlign w:val="subscript"/>
          <w:lang w:eastAsia="lt-LT"/>
        </w:rPr>
        <w:t>adm (DU)</w:t>
      </w:r>
      <w:r>
        <w:rPr>
          <w:szCs w:val="24"/>
          <w:lang w:eastAsia="lt-LT"/>
        </w:rPr>
        <w:t xml:space="preserve"> – SGDT lėšų administravimui priskirtos darbo užmokesčio, socialinio draudimo ir įmokų į garantinį fondą sąnaudos, skaičiuojamos pagal Metodikos 12.4 papunktį, Eur;</w:t>
      </w:r>
    </w:p>
    <w:p>
      <w:pPr>
        <w:ind w:firstLine="720"/>
        <w:jc w:val="both"/>
        <w:textAlignment w:val="baseline"/>
        <w:rPr>
          <w:szCs w:val="24"/>
          <w:lang w:eastAsia="lt-LT"/>
        </w:rPr>
      </w:pPr>
      <w:r>
        <w:rPr>
          <w:szCs w:val="24"/>
          <w:lang w:eastAsia="lt-LT"/>
        </w:rPr>
        <w:t>C</w:t>
      </w:r>
      <w:r>
        <w:rPr>
          <w:szCs w:val="24"/>
          <w:vertAlign w:val="subscript"/>
          <w:lang w:eastAsia="lt-LT"/>
        </w:rPr>
        <w:t>T</w:t>
      </w:r>
      <w:r>
        <w:rPr>
          <w:szCs w:val="24"/>
          <w:lang w:eastAsia="lt-LT"/>
        </w:rPr>
        <w:t xml:space="preserve"> – SGDT lėšų administravimui priskirtos mokesčių sąnaudos, skaičiuojamos pagal Metodikos 12.5 papunktį, Eur;</w:t>
      </w:r>
    </w:p>
    <w:p>
      <w:pPr>
        <w:ind w:firstLine="720"/>
        <w:jc w:val="both"/>
        <w:textAlignment w:val="baseline"/>
        <w:rPr>
          <w:szCs w:val="24"/>
          <w:lang w:eastAsia="lt-LT"/>
        </w:rPr>
      </w:pPr>
      <w:r>
        <w:rPr>
          <w:szCs w:val="24"/>
          <w:lang w:eastAsia="lt-LT"/>
        </w:rPr>
        <w:t>C</w:t>
      </w:r>
      <w:r>
        <w:rPr>
          <w:szCs w:val="24"/>
          <w:vertAlign w:val="subscript"/>
          <w:lang w:eastAsia="lt-LT"/>
        </w:rPr>
        <w:t>X</w:t>
      </w:r>
      <w:r>
        <w:rPr>
          <w:szCs w:val="24"/>
          <w:lang w:eastAsia="lt-LT"/>
        </w:rPr>
        <w:t xml:space="preserve"> – kiti numatomi sąnaudų nuokrypiai, pagrįsti Tarybai, kurie turi įtakos SGD terminalo lėšų administratoriaus veiklai, bei kiti nuo SGD terminalo lėšų administratoriaus nepriklausančių veiksnių kylantys sąnaudų nuokrypiai, įskaitant ir dėl veiklą reglamentuojančių teisės aktų reikalavimų, Eur;</w:t>
      </w:r>
    </w:p>
    <w:p>
      <w:pPr>
        <w:ind w:firstLine="709"/>
        <w:jc w:val="both"/>
        <w:rPr>
          <w:szCs w:val="24"/>
          <w:lang w:eastAsia="lt-LT"/>
        </w:rPr>
      </w:pPr>
      <w:r>
        <w:rPr>
          <w:szCs w:val="24"/>
          <w:lang w:eastAsia="lt-LT"/>
        </w:rPr>
        <w:t>Δ S</w:t>
      </w:r>
      <w:r>
        <w:rPr>
          <w:szCs w:val="24"/>
          <w:vertAlign w:val="subscript"/>
          <w:lang w:eastAsia="lt-LT"/>
        </w:rPr>
        <w:t xml:space="preserve">adm </w:t>
      </w:r>
      <w:r>
        <w:rPr>
          <w:szCs w:val="24"/>
          <w:lang w:eastAsia="lt-LT"/>
        </w:rPr>
        <w:t xml:space="preserve">– skirtumas tarp praėjusiais metais gautinų ir pagrįstų faktinių SGDT lėšų administravimo sąnaudų, Eur. Vertinant SGD terminalo lėšų administravimo teisines sąnaudas pagrįstomis faktinėmis sąnaudomis yra pripažįstamos visos SGDT lėšų administravimui priskirtos faktinės teisinės sąnaudos, įsigytos viešųjų pirkimų būdu, jeigu visos faktinės praėjusių metų SGDT lėšų administravimo sąnaudos yra ne didesnės nei 144,81 tūkst. Eur.“ </w:t>
      </w:r>
    </w:p>
    <w:p>
      <w:pPr>
        <w:ind w:left="1080" w:hanging="360"/>
        <w:jc w:val="both"/>
        <w:textAlignment w:val="baseline"/>
        <w:rPr>
          <w:szCs w:val="24"/>
          <w:lang w:eastAsia="lt-LT"/>
        </w:rPr>
      </w:pPr>
      <w:r>
        <w:rPr>
          <w:szCs w:val="24"/>
          <w:lang w:eastAsia="lt-LT"/>
        </w:rPr>
        <w:t>5</w:t>
      </w:r>
      <w:r>
        <w:rPr>
          <w:szCs w:val="24"/>
          <w:lang w:eastAsia="lt-LT"/>
        </w:rPr>
        <w:t>.</w:t>
        <w:tab/>
        <w:t xml:space="preserve">Pakeisti Metodikos </w:t>
      </w:r>
      <w:r>
        <w:rPr>
          <w:szCs w:val="24"/>
          <w:lang w:val="en-US" w:eastAsia="lt-LT"/>
        </w:rPr>
        <w:t>47</w:t>
      </w:r>
      <w:r>
        <w:rPr>
          <w:szCs w:val="24"/>
          <w:lang w:eastAsia="lt-LT"/>
        </w:rPr>
        <w:t> punktą ir išdėstyti jį taip:</w:t>
      </w:r>
    </w:p>
    <w:p>
      <w:pPr>
        <w:widowControl w:val="0"/>
        <w:tabs>
          <w:tab w:val="left" w:pos="1134"/>
        </w:tabs>
        <w:suppressAutoHyphens/>
        <w:spacing w:line="259" w:lineRule="auto"/>
        <w:ind w:firstLine="709"/>
        <w:jc w:val="both"/>
        <w:textAlignment w:val="center"/>
        <w:rPr>
          <w:szCs w:val="24"/>
          <w:lang w:eastAsia="lt-LT"/>
        </w:rPr>
      </w:pPr>
      <w:r>
        <w:rPr>
          <w:szCs w:val="28"/>
        </w:rPr>
        <w:t>„</w:t>
      </w:r>
      <w:r>
        <w:rPr>
          <w:szCs w:val="24"/>
          <w:lang w:eastAsia="lt-LT"/>
        </w:rPr>
        <w:t>47</w:t>
      </w:r>
      <w:r>
        <w:rPr>
          <w:szCs w:val="24"/>
          <w:lang w:eastAsia="lt-LT"/>
        </w:rPr>
        <w:t>. Buitiniams vartotojams nustatytą tarifą sudaro:</w:t>
      </w:r>
    </w:p>
    <w:p>
      <w:pPr>
        <w:tabs>
          <w:tab w:val="left" w:pos="993"/>
        </w:tabs>
        <w:suppressAutoHyphens/>
        <w:spacing w:line="259" w:lineRule="auto"/>
        <w:ind w:firstLine="709"/>
        <w:jc w:val="both"/>
        <w:textAlignment w:val="baseline"/>
        <w:rPr>
          <w:szCs w:val="28"/>
        </w:rPr>
      </w:pPr>
      <w:r>
        <w:rPr>
          <w:szCs w:val="28"/>
        </w:rPr>
        <w:t>47.1</w:t>
      </w:r>
      <w:r>
        <w:rPr>
          <w:szCs w:val="28"/>
        </w:rPr>
        <w:t>. prognozuojama gamtinių dujų produkto kaina, skaičiuojama remiantis Metodikos 14 punktu;</w:t>
      </w:r>
    </w:p>
    <w:p>
      <w:pPr>
        <w:widowControl w:val="0"/>
        <w:tabs>
          <w:tab w:val="left" w:pos="1134"/>
        </w:tabs>
        <w:suppressAutoHyphens/>
        <w:spacing w:line="259" w:lineRule="auto"/>
        <w:ind w:firstLine="709"/>
        <w:jc w:val="both"/>
        <w:textAlignment w:val="center"/>
        <w:rPr>
          <w:szCs w:val="28"/>
        </w:rPr>
      </w:pPr>
      <w:r>
        <w:rPr>
          <w:szCs w:val="28"/>
          <w:lang w:eastAsia="lt-LT"/>
        </w:rPr>
        <w:t>47.2</w:t>
      </w:r>
      <w:r>
        <w:rPr>
          <w:szCs w:val="28"/>
          <w:lang w:eastAsia="lt-LT"/>
        </w:rPr>
        <w:t xml:space="preserve">. konkrečios gamtinių dujų perdavimo, skirstymo, laikymo, Saugumo dedamosios  kainos, </w:t>
      </w:r>
      <w:r>
        <w:rPr>
          <w:szCs w:val="28"/>
        </w:rPr>
        <w:t>įvertinus skirtumą tarp ankstesnio tarifų galiojimo laikotarpio prognozuotos ir faktinės transportavimo kainos ir skirtumą tarp ankstesnio tarifų galiojimo laikotarpio prognozuotos ir faktinės Saugumo dedamosios</w:t>
      </w:r>
      <w:r>
        <w:rPr>
          <w:szCs w:val="28"/>
          <w:lang w:eastAsia="lt-LT"/>
        </w:rPr>
        <w:t>;</w:t>
      </w:r>
    </w:p>
    <w:p>
      <w:pPr>
        <w:widowControl w:val="0"/>
        <w:tabs>
          <w:tab w:val="left" w:pos="1134"/>
        </w:tabs>
        <w:suppressAutoHyphens/>
        <w:spacing w:line="259" w:lineRule="auto"/>
        <w:ind w:firstLine="709"/>
        <w:jc w:val="both"/>
        <w:textAlignment w:val="center"/>
        <w:rPr>
          <w:szCs w:val="28"/>
        </w:rPr>
      </w:pPr>
      <w:r>
        <w:rPr>
          <w:szCs w:val="28"/>
        </w:rPr>
        <w:t>47.3</w:t>
      </w:r>
      <w:r>
        <w:rPr>
          <w:szCs w:val="28"/>
        </w:rPr>
        <w:t xml:space="preserve">. tiekimo kaina, kurios viršutinė riba suskaičiuota remiantis </w:t>
      </w:r>
      <w:r>
        <w:rPr>
          <w:szCs w:val="28"/>
          <w:shd w:val="clear" w:color="auto" w:fill="FFFFFF"/>
        </w:rPr>
        <w:t xml:space="preserve">Metodikos 40 punktu, įskaitant tiekimo saugumo išlaidas kaip atskirą tiekimo kainos dalį. Tiekimo saugumo išlaidos skaičiuojamos įvertinus </w:t>
      </w:r>
      <w:r>
        <w:rPr>
          <w:szCs w:val="24"/>
          <w:lang w:eastAsia="lt-LT"/>
        </w:rPr>
        <w:t>skolinto kapitalo kainos viršutinę ribą, nurodytą Tarybos tinklalapio skiltyje, kurioje yra skelbiami gamtinių dujų sektoriaus WACC skaičiavimo duomenys</w:t>
      </w:r>
      <w:r>
        <w:rPr>
          <w:szCs w:val="28"/>
          <w:shd w:val="clear" w:color="auto" w:fill="FFFFFF"/>
        </w:rPr>
        <w:t>;</w:t>
      </w:r>
    </w:p>
    <w:p>
      <w:pPr>
        <w:widowControl w:val="0"/>
        <w:tabs>
          <w:tab w:val="left" w:pos="1134"/>
        </w:tabs>
        <w:suppressAutoHyphens/>
        <w:spacing w:line="259" w:lineRule="auto"/>
        <w:ind w:firstLine="709"/>
        <w:jc w:val="both"/>
        <w:textAlignment w:val="center"/>
        <w:rPr>
          <w:szCs w:val="28"/>
        </w:rPr>
      </w:pPr>
      <w:r>
        <w:rPr>
          <w:szCs w:val="28"/>
        </w:rPr>
        <w:t>47.4</w:t>
      </w:r>
      <w:r>
        <w:rPr>
          <w:szCs w:val="28"/>
        </w:rPr>
        <w:t>. skirtumas tarp ankstesnio tarifų galiojimo laikotarpio prognozuotų ir faktinių gamtinių dujų produkto kainų suma, suskaičiuotas remiantis Metodikos 48−49 punktais.“</w:t>
      </w:r>
    </w:p>
    <w:p>
      <w:pPr>
        <w:ind w:left="1080" w:hanging="360"/>
        <w:jc w:val="both"/>
        <w:textAlignment w:val="baseline"/>
        <w:rPr>
          <w:szCs w:val="24"/>
          <w:lang w:eastAsia="lt-LT"/>
        </w:rPr>
      </w:pPr>
      <w:r>
        <w:rPr>
          <w:szCs w:val="24"/>
          <w:lang w:eastAsia="lt-LT"/>
        </w:rPr>
        <w:t>6</w:t>
      </w:r>
      <w:r>
        <w:rPr>
          <w:szCs w:val="24"/>
          <w:lang w:eastAsia="lt-LT"/>
        </w:rPr>
        <w:t>.</w:t>
        <w:tab/>
        <w:t xml:space="preserve">Pakeisti Metodikos </w:t>
      </w:r>
      <w:r>
        <w:rPr>
          <w:szCs w:val="24"/>
          <w:lang w:val="en-US" w:eastAsia="lt-LT"/>
        </w:rPr>
        <w:t>61</w:t>
      </w:r>
      <w:r>
        <w:rPr>
          <w:szCs w:val="24"/>
          <w:lang w:eastAsia="lt-LT"/>
        </w:rPr>
        <w:t> punktą ir išdėstyti jį taip:</w:t>
      </w:r>
    </w:p>
    <w:p>
      <w:pPr>
        <w:spacing w:line="259" w:lineRule="auto"/>
        <w:ind w:firstLine="720"/>
        <w:jc w:val="both"/>
        <w:rPr>
          <w:szCs w:val="24"/>
          <w:lang w:eastAsia="lt-LT"/>
        </w:rPr>
      </w:pPr>
      <w:r>
        <w:rPr>
          <w:szCs w:val="24"/>
          <w:lang w:eastAsia="lt-LT"/>
        </w:rPr>
        <w:t>„</w:t>
      </w:r>
      <w:r>
        <w:rPr>
          <w:szCs w:val="24"/>
          <w:lang w:eastAsia="lt-LT"/>
        </w:rPr>
        <w:t>61</w:t>
      </w:r>
      <w:r>
        <w:rPr>
          <w:szCs w:val="24"/>
          <w:lang w:eastAsia="lt-LT"/>
        </w:rPr>
        <w:t>. Įmonė, teikianti SGD perkrovos paslaugą, ne vėliau kaip prieš 60 dienų iki kainų įsigaliojimo Tarybai pateikia duomenis SGD perkrovos kainai nustatyti</w:t>
      </w:r>
      <w:r>
        <w:rPr>
          <w:b/>
          <w:bCs/>
          <w:szCs w:val="24"/>
          <w:lang w:eastAsia="lt-LT"/>
        </w:rPr>
        <w:t>,</w:t>
      </w:r>
      <w:r>
        <w:rPr>
          <w:szCs w:val="24"/>
          <w:lang w:eastAsia="lt-LT"/>
        </w:rPr>
        <w:t xml:space="preserve"> </w:t>
      </w:r>
      <w:r>
        <w:rPr>
          <w:strike/>
          <w:szCs w:val="24"/>
          <w:lang w:eastAsia="lt-LT"/>
        </w:rPr>
        <w:t>ir</w:t>
      </w:r>
      <w:r>
        <w:rPr>
          <w:szCs w:val="24"/>
          <w:lang w:eastAsia="lt-LT"/>
        </w:rPr>
        <w:t xml:space="preserve"> aiškinamąjį raštą, kuriame nurodomas detalus pateiktų duomenų pagrindimas ir Įmonės perkrovos kainų diferencijavimo metodiką, jei Įmonė diferencijuoja perkrovos kainas. Įmonei laiku nepateikus Tarybai visų reikiamų duomenų, Taryba gali pratęsti nustatytos SGD perkrovos kainos galiojimo laikotarpį.“</w:t>
      </w:r>
    </w:p>
    <w:p>
      <w:pPr>
        <w:rPr>
          <w:sz w:val="14"/>
          <w:szCs w:val="14"/>
        </w:rPr>
      </w:pPr>
    </w:p>
    <w:p>
      <w:pPr>
        <w:ind w:left="1080" w:hanging="360"/>
        <w:jc w:val="both"/>
        <w:textAlignment w:val="baseline"/>
        <w:rPr>
          <w:szCs w:val="24"/>
          <w:lang w:eastAsia="lt-LT"/>
        </w:rPr>
      </w:pPr>
      <w:r>
        <w:rPr>
          <w:szCs w:val="24"/>
          <w:lang w:eastAsia="lt-LT"/>
        </w:rPr>
        <w:t>7</w:t>
      </w:r>
      <w:r>
        <w:rPr>
          <w:szCs w:val="24"/>
          <w:lang w:eastAsia="lt-LT"/>
        </w:rPr>
        <w:t>.</w:t>
        <w:tab/>
        <w:t xml:space="preserve">Pakeisti Metodikos </w:t>
      </w:r>
      <w:r>
        <w:rPr>
          <w:szCs w:val="24"/>
          <w:lang w:val="en-US" w:eastAsia="lt-LT"/>
        </w:rPr>
        <w:t>2</w:t>
      </w:r>
      <w:r>
        <w:rPr>
          <w:szCs w:val="24"/>
          <w:lang w:eastAsia="lt-LT"/>
        </w:rPr>
        <w:t> priedą ir jį išdėstyti nauja redakcija (pridedama).</w:t>
      </w:r>
    </w:p>
    <w:p>
      <w:pPr>
        <w:jc w:val="both"/>
        <w:textAlignment w:val="baseline"/>
        <w:rPr>
          <w:szCs w:val="24"/>
          <w:lang w:eastAsia="lt-LT"/>
        </w:rPr>
      </w:pPr>
    </w:p>
    <w:p>
      <w:pPr>
        <w:suppressAutoHyphens/>
        <w:ind w:firstLine="720"/>
        <w:jc w:val="both"/>
        <w:textAlignment w:val="baseline"/>
        <w:rPr>
          <w:bCs/>
          <w:szCs w:val="24"/>
        </w:rPr>
      </w:pPr>
    </w:p>
    <w:p>
      <w:pPr>
        <w:jc w:val="both"/>
        <w:rPr>
          <w:szCs w:val="24"/>
          <w:lang w:eastAsia="lt-LT"/>
        </w:rPr>
      </w:pPr>
      <w:r>
        <w:rPr>
          <w:szCs w:val="24"/>
          <w:lang w:eastAsia="lt-LT"/>
        </w:rPr>
        <w:t>Tarybos pirmininkas</w:t>
      </w:r>
    </w:p>
    <w:p>
      <w:pPr>
        <w:spacing w:line="259" w:lineRule="auto"/>
        <w:rPr>
          <w:szCs w:val="24"/>
          <w:lang w:eastAsia="lt-LT"/>
        </w:rPr>
      </w:pPr>
      <w:r>
        <w:rPr>
          <w:szCs w:val="24"/>
          <w:lang w:eastAsia="lt-LT"/>
        </w:rPr>
        <w:br w:type="page"/>
      </w:r>
    </w:p>
    <w:p>
      <w:pPr>
        <w:rPr>
          <w:sz w:val="14"/>
          <w:szCs w:val="14"/>
        </w:rPr>
      </w:pPr>
    </w:p>
    <w:p>
      <w:pPr>
        <w:ind w:left="1080"/>
        <w:jc w:val="both"/>
        <w:textAlignment w:val="baseline"/>
        <w:rPr>
          <w:szCs w:val="24"/>
          <w:lang w:eastAsia="lt-LT"/>
        </w:rPr>
      </w:pPr>
    </w:p>
    <w:p>
      <w:pPr>
        <w:widowControl w:val="0"/>
        <w:spacing w:line="259" w:lineRule="auto"/>
        <w:ind w:left="6095"/>
        <w:jc w:val="both"/>
        <w:rPr>
          <w:szCs w:val="24"/>
          <w:lang w:eastAsia="lt-LT"/>
        </w:rPr>
      </w:pPr>
      <w:r>
        <w:rPr>
          <w:szCs w:val="28"/>
          <w:lang w:eastAsia="lt-LT"/>
        </w:rPr>
        <w:t>„</w:t>
      </w:r>
      <w:r>
        <w:rPr>
          <w:szCs w:val="24"/>
          <w:lang w:eastAsia="lt-LT"/>
        </w:rPr>
        <w:t xml:space="preserve">Valstybės reguliuojamų kainų gamtinių dujų </w:t>
      </w:r>
    </w:p>
    <w:p>
      <w:pPr>
        <w:widowControl w:val="0"/>
        <w:ind w:left="6095"/>
        <w:jc w:val="both"/>
        <w:rPr>
          <w:szCs w:val="24"/>
          <w:lang w:eastAsia="lt-LT"/>
        </w:rPr>
      </w:pPr>
      <w:r>
        <w:rPr>
          <w:szCs w:val="24"/>
          <w:lang w:eastAsia="lt-LT"/>
        </w:rPr>
        <w:t>sektoriuje nustatymo metodikos</w:t>
      </w:r>
    </w:p>
    <w:p>
      <w:pPr>
        <w:widowControl w:val="0"/>
        <w:ind w:left="6096"/>
        <w:jc w:val="both"/>
        <w:rPr>
          <w:szCs w:val="24"/>
          <w:lang w:eastAsia="lt-LT"/>
        </w:rPr>
      </w:pPr>
      <w:r>
        <w:rPr>
          <w:szCs w:val="24"/>
          <w:lang w:eastAsia="lt-LT"/>
        </w:rPr>
        <w:t>2</w:t>
      </w:r>
      <w:r>
        <w:rPr>
          <w:szCs w:val="24"/>
          <w:lang w:eastAsia="lt-LT"/>
        </w:rPr>
        <w:t xml:space="preserve"> priedas</w:t>
      </w:r>
    </w:p>
    <w:p>
      <w:pPr>
        <w:widowControl w:val="0"/>
        <w:ind w:firstLine="720"/>
        <w:jc w:val="both"/>
        <w:rPr>
          <w:szCs w:val="24"/>
          <w:lang w:eastAsia="lt-LT"/>
        </w:rPr>
      </w:pPr>
    </w:p>
    <w:tbl>
      <w:tblPr>
        <w:tblW w:w="4967" w:type="pct"/>
        <w:tblLook w:val="0000" w:firstRow="0" w:lastRow="0" w:firstColumn="0" w:lastColumn="0" w:noHBand="0" w:noVBand="0"/>
      </w:tblPr>
      <w:tblGrid>
        <w:gridCol w:w="2493"/>
        <w:gridCol w:w="2495"/>
        <w:gridCol w:w="2597"/>
        <w:gridCol w:w="2204"/>
      </w:tblGrid>
      <w:tr>
        <w:trPr>
          <w:trHeight w:val="300"/>
        </w:trPr>
        <w:tc>
          <w:tcPr>
            <w:tcW w:w="1273" w:type="pct"/>
            <w:tcBorders>
              <w:top w:val="single" w:sz="4" w:space="0" w:color="auto"/>
              <w:left w:val="single" w:sz="4" w:space="0" w:color="auto"/>
              <w:bottom w:val="single" w:sz="4" w:space="0" w:color="auto"/>
              <w:right w:val="nil"/>
            </w:tcBorders>
            <w:shd w:val="clear" w:color="auto" w:fill="FFFFFF"/>
            <w:vAlign w:val="center"/>
          </w:tcPr>
          <w:p>
            <w:pPr>
              <w:widowControl w:val="0"/>
              <w:jc w:val="both"/>
              <w:rPr>
                <w:szCs w:val="24"/>
                <w:lang w:eastAsia="lt-LT"/>
              </w:rPr>
            </w:pPr>
            <w:r>
              <w:rPr>
                <w:szCs w:val="24"/>
                <w:lang w:eastAsia="lt-LT"/>
              </w:rPr>
              <w:t>Duomenys apie ūkio subjektą:</w:t>
            </w:r>
          </w:p>
        </w:tc>
        <w:tc>
          <w:tcPr>
            <w:tcW w:w="1274" w:type="pct"/>
            <w:tcBorders>
              <w:top w:val="single" w:sz="4" w:space="0" w:color="auto"/>
              <w:left w:val="single" w:sz="4" w:space="0" w:color="auto"/>
              <w:bottom w:val="single" w:sz="4" w:space="0" w:color="auto"/>
              <w:right w:val="nil"/>
            </w:tcBorders>
            <w:shd w:val="clear" w:color="auto" w:fill="FFFFFF"/>
            <w:noWrap/>
            <w:vAlign w:val="bottom"/>
          </w:tcPr>
          <w:p>
            <w:pPr>
              <w:widowControl w:val="0"/>
              <w:ind w:firstLine="60"/>
              <w:jc w:val="both"/>
              <w:rPr>
                <w:szCs w:val="24"/>
                <w:lang w:eastAsia="lt-LT"/>
              </w:rPr>
            </w:pP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jc w:val="both"/>
              <w:rPr>
                <w:szCs w:val="24"/>
                <w:lang w:eastAsia="lt-LT"/>
              </w:rPr>
            </w:pPr>
            <w:r>
              <w:rPr>
                <w:szCs w:val="24"/>
                <w:lang w:eastAsia="lt-LT"/>
              </w:rPr>
              <w:t>Duomenys apie kontaktinį asmenį:</w:t>
            </w:r>
          </w:p>
        </w:tc>
        <w:tc>
          <w:tcPr>
            <w:tcW w:w="11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ind w:firstLine="60"/>
              <w:jc w:val="both"/>
              <w:rPr>
                <w:szCs w:val="24"/>
                <w:lang w:eastAsia="lt-LT"/>
              </w:rPr>
            </w:pPr>
          </w:p>
        </w:tc>
      </w:tr>
      <w:tr>
        <w:trPr>
          <w:trHeight w:val="300"/>
        </w:trPr>
        <w:tc>
          <w:tcPr>
            <w:tcW w:w="1273" w:type="pct"/>
            <w:tcBorders>
              <w:top w:val="single" w:sz="4" w:space="0" w:color="auto"/>
              <w:left w:val="single" w:sz="4" w:space="0" w:color="auto"/>
              <w:bottom w:val="single" w:sz="4" w:space="0" w:color="auto"/>
              <w:right w:val="nil"/>
            </w:tcBorders>
            <w:shd w:val="clear" w:color="auto" w:fill="FFFFFF"/>
            <w:vAlign w:val="center"/>
          </w:tcPr>
          <w:p>
            <w:pPr>
              <w:widowControl w:val="0"/>
              <w:jc w:val="both"/>
              <w:rPr>
                <w:szCs w:val="24"/>
                <w:lang w:eastAsia="lt-LT"/>
              </w:rPr>
            </w:pPr>
            <w:r>
              <w:rPr>
                <w:szCs w:val="24"/>
                <w:lang w:eastAsia="lt-LT"/>
              </w:rPr>
              <w:t>Pavadinimas</w:t>
            </w:r>
          </w:p>
        </w:tc>
        <w:tc>
          <w:tcPr>
            <w:tcW w:w="1274" w:type="pct"/>
            <w:tcBorders>
              <w:top w:val="single" w:sz="4" w:space="0" w:color="auto"/>
              <w:left w:val="single" w:sz="4" w:space="0" w:color="auto"/>
              <w:bottom w:val="single" w:sz="4" w:space="0" w:color="auto"/>
              <w:right w:val="nil"/>
            </w:tcBorders>
            <w:shd w:val="clear" w:color="auto" w:fill="FFFFFF"/>
            <w:noWrap/>
            <w:vAlign w:val="bottom"/>
          </w:tcPr>
          <w:p>
            <w:pPr>
              <w:widowControl w:val="0"/>
              <w:ind w:firstLine="60"/>
              <w:jc w:val="both"/>
              <w:rPr>
                <w:szCs w:val="24"/>
                <w:lang w:eastAsia="lt-LT"/>
              </w:rPr>
            </w:pP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jc w:val="both"/>
              <w:rPr>
                <w:szCs w:val="24"/>
                <w:lang w:eastAsia="lt-LT"/>
              </w:rPr>
            </w:pPr>
            <w:r>
              <w:rPr>
                <w:szCs w:val="24"/>
                <w:lang w:eastAsia="lt-LT"/>
              </w:rPr>
              <w:t>V., pavardė</w:t>
            </w:r>
          </w:p>
        </w:tc>
        <w:tc>
          <w:tcPr>
            <w:tcW w:w="11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ind w:firstLine="60"/>
              <w:jc w:val="both"/>
              <w:rPr>
                <w:szCs w:val="24"/>
                <w:lang w:eastAsia="lt-LT"/>
              </w:rPr>
            </w:pPr>
          </w:p>
        </w:tc>
      </w:tr>
      <w:tr>
        <w:trPr>
          <w:trHeight w:val="300"/>
        </w:trPr>
        <w:tc>
          <w:tcPr>
            <w:tcW w:w="1273" w:type="pct"/>
            <w:tcBorders>
              <w:top w:val="single" w:sz="4" w:space="0" w:color="auto"/>
              <w:left w:val="single" w:sz="4" w:space="0" w:color="auto"/>
              <w:bottom w:val="single" w:sz="4" w:space="0" w:color="auto"/>
              <w:right w:val="nil"/>
            </w:tcBorders>
            <w:shd w:val="clear" w:color="auto" w:fill="FFFFFF"/>
            <w:vAlign w:val="center"/>
          </w:tcPr>
          <w:p>
            <w:pPr>
              <w:widowControl w:val="0"/>
              <w:jc w:val="both"/>
              <w:rPr>
                <w:szCs w:val="24"/>
                <w:lang w:eastAsia="lt-LT"/>
              </w:rPr>
            </w:pPr>
            <w:r>
              <w:rPr>
                <w:szCs w:val="24"/>
                <w:lang w:eastAsia="lt-LT"/>
              </w:rPr>
              <w:t>Kodas</w:t>
            </w:r>
          </w:p>
        </w:tc>
        <w:tc>
          <w:tcPr>
            <w:tcW w:w="1274" w:type="pct"/>
            <w:tcBorders>
              <w:top w:val="single" w:sz="4" w:space="0" w:color="auto"/>
              <w:left w:val="single" w:sz="4" w:space="0" w:color="auto"/>
              <w:bottom w:val="single" w:sz="4" w:space="0" w:color="auto"/>
              <w:right w:val="nil"/>
            </w:tcBorders>
            <w:shd w:val="clear" w:color="auto" w:fill="FFFFFF"/>
            <w:noWrap/>
            <w:vAlign w:val="bottom"/>
          </w:tcPr>
          <w:p>
            <w:pPr>
              <w:widowControl w:val="0"/>
              <w:ind w:firstLine="60"/>
              <w:jc w:val="both"/>
              <w:rPr>
                <w:szCs w:val="24"/>
                <w:lang w:eastAsia="lt-LT"/>
              </w:rPr>
            </w:pP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jc w:val="both"/>
              <w:rPr>
                <w:szCs w:val="24"/>
                <w:lang w:eastAsia="lt-LT"/>
              </w:rPr>
            </w:pPr>
            <w:r>
              <w:rPr>
                <w:szCs w:val="24"/>
                <w:lang w:eastAsia="lt-LT"/>
              </w:rPr>
              <w:t>Pareigos</w:t>
            </w:r>
          </w:p>
        </w:tc>
        <w:tc>
          <w:tcPr>
            <w:tcW w:w="11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ind w:firstLine="60"/>
              <w:jc w:val="both"/>
              <w:rPr>
                <w:szCs w:val="24"/>
                <w:lang w:eastAsia="lt-LT"/>
              </w:rPr>
            </w:pPr>
          </w:p>
        </w:tc>
      </w:tr>
      <w:tr>
        <w:trPr>
          <w:trHeight w:val="300"/>
        </w:trPr>
        <w:tc>
          <w:tcPr>
            <w:tcW w:w="1273" w:type="pct"/>
            <w:tcBorders>
              <w:top w:val="single" w:sz="4" w:space="0" w:color="auto"/>
              <w:left w:val="single" w:sz="4" w:space="0" w:color="auto"/>
              <w:bottom w:val="single" w:sz="4" w:space="0" w:color="auto"/>
              <w:right w:val="nil"/>
            </w:tcBorders>
            <w:shd w:val="clear" w:color="auto" w:fill="FFFFFF"/>
            <w:vAlign w:val="center"/>
          </w:tcPr>
          <w:p>
            <w:pPr>
              <w:widowControl w:val="0"/>
              <w:jc w:val="both"/>
              <w:rPr>
                <w:szCs w:val="24"/>
                <w:lang w:eastAsia="lt-LT"/>
              </w:rPr>
            </w:pPr>
            <w:r>
              <w:rPr>
                <w:szCs w:val="24"/>
                <w:lang w:eastAsia="lt-LT"/>
              </w:rPr>
              <w:t>Buveinės adresas</w:t>
            </w:r>
          </w:p>
        </w:tc>
        <w:tc>
          <w:tcPr>
            <w:tcW w:w="1274" w:type="pct"/>
            <w:tcBorders>
              <w:top w:val="single" w:sz="4" w:space="0" w:color="auto"/>
              <w:left w:val="single" w:sz="4" w:space="0" w:color="auto"/>
              <w:bottom w:val="single" w:sz="4" w:space="0" w:color="auto"/>
              <w:right w:val="nil"/>
            </w:tcBorders>
            <w:shd w:val="clear" w:color="auto" w:fill="FFFFFF"/>
            <w:noWrap/>
            <w:vAlign w:val="bottom"/>
          </w:tcPr>
          <w:p>
            <w:pPr>
              <w:widowControl w:val="0"/>
              <w:ind w:firstLine="60"/>
              <w:jc w:val="both"/>
              <w:rPr>
                <w:szCs w:val="24"/>
                <w:lang w:eastAsia="lt-LT"/>
              </w:rPr>
            </w:pP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jc w:val="both"/>
              <w:rPr>
                <w:szCs w:val="24"/>
                <w:lang w:eastAsia="lt-LT"/>
              </w:rPr>
            </w:pPr>
            <w:r>
              <w:rPr>
                <w:szCs w:val="24"/>
                <w:lang w:eastAsia="lt-LT"/>
              </w:rPr>
              <w:t>Telefonas</w:t>
            </w:r>
          </w:p>
        </w:tc>
        <w:tc>
          <w:tcPr>
            <w:tcW w:w="11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ind w:firstLine="60"/>
              <w:jc w:val="both"/>
              <w:rPr>
                <w:szCs w:val="24"/>
                <w:lang w:eastAsia="lt-LT"/>
              </w:rPr>
            </w:pPr>
          </w:p>
        </w:tc>
      </w:tr>
      <w:tr>
        <w:trPr>
          <w:trHeight w:val="300"/>
        </w:trPr>
        <w:tc>
          <w:tcPr>
            <w:tcW w:w="1273" w:type="pct"/>
            <w:tcBorders>
              <w:top w:val="single" w:sz="4" w:space="0" w:color="auto"/>
              <w:left w:val="single" w:sz="4" w:space="0" w:color="auto"/>
              <w:bottom w:val="single" w:sz="4" w:space="0" w:color="auto"/>
              <w:right w:val="nil"/>
            </w:tcBorders>
            <w:shd w:val="clear" w:color="auto" w:fill="FFFFFF"/>
            <w:vAlign w:val="center"/>
          </w:tcPr>
          <w:p>
            <w:pPr>
              <w:widowControl w:val="0"/>
              <w:jc w:val="both"/>
              <w:rPr>
                <w:szCs w:val="24"/>
                <w:lang w:eastAsia="lt-LT"/>
              </w:rPr>
            </w:pPr>
            <w:r>
              <w:rPr>
                <w:szCs w:val="24"/>
                <w:lang w:eastAsia="lt-LT"/>
              </w:rPr>
              <w:t>Telefonas</w:t>
            </w:r>
          </w:p>
        </w:tc>
        <w:tc>
          <w:tcPr>
            <w:tcW w:w="1274" w:type="pct"/>
            <w:tcBorders>
              <w:top w:val="single" w:sz="4" w:space="0" w:color="auto"/>
              <w:left w:val="single" w:sz="4" w:space="0" w:color="auto"/>
              <w:bottom w:val="single" w:sz="4" w:space="0" w:color="auto"/>
              <w:right w:val="nil"/>
            </w:tcBorders>
            <w:shd w:val="clear" w:color="auto" w:fill="FFFFFF"/>
            <w:noWrap/>
            <w:vAlign w:val="bottom"/>
          </w:tcPr>
          <w:p>
            <w:pPr>
              <w:widowControl w:val="0"/>
              <w:ind w:firstLine="60"/>
              <w:jc w:val="both"/>
              <w:rPr>
                <w:szCs w:val="24"/>
                <w:lang w:eastAsia="lt-LT"/>
              </w:rPr>
            </w:pP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jc w:val="both"/>
              <w:rPr>
                <w:szCs w:val="24"/>
                <w:lang w:eastAsia="lt-LT"/>
              </w:rPr>
            </w:pPr>
            <w:r>
              <w:rPr>
                <w:szCs w:val="24"/>
                <w:lang w:eastAsia="lt-LT"/>
              </w:rPr>
              <w:t>Faksas</w:t>
            </w:r>
          </w:p>
        </w:tc>
        <w:tc>
          <w:tcPr>
            <w:tcW w:w="11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ind w:firstLine="60"/>
              <w:jc w:val="both"/>
              <w:rPr>
                <w:szCs w:val="24"/>
                <w:lang w:eastAsia="lt-LT"/>
              </w:rPr>
            </w:pPr>
          </w:p>
        </w:tc>
      </w:tr>
      <w:tr>
        <w:trPr>
          <w:trHeight w:val="300"/>
        </w:trPr>
        <w:tc>
          <w:tcPr>
            <w:tcW w:w="1273" w:type="pct"/>
            <w:tcBorders>
              <w:top w:val="single" w:sz="4" w:space="0" w:color="auto"/>
              <w:left w:val="single" w:sz="4" w:space="0" w:color="auto"/>
              <w:bottom w:val="single" w:sz="4" w:space="0" w:color="auto"/>
              <w:right w:val="nil"/>
            </w:tcBorders>
            <w:shd w:val="clear" w:color="auto" w:fill="FFFFFF"/>
            <w:vAlign w:val="center"/>
          </w:tcPr>
          <w:p>
            <w:pPr>
              <w:widowControl w:val="0"/>
              <w:jc w:val="both"/>
              <w:rPr>
                <w:szCs w:val="24"/>
                <w:lang w:eastAsia="lt-LT"/>
              </w:rPr>
            </w:pPr>
            <w:r>
              <w:rPr>
                <w:szCs w:val="24"/>
                <w:lang w:eastAsia="lt-LT"/>
              </w:rPr>
              <w:t>Faksas</w:t>
            </w:r>
          </w:p>
        </w:tc>
        <w:tc>
          <w:tcPr>
            <w:tcW w:w="1274" w:type="pct"/>
            <w:tcBorders>
              <w:top w:val="single" w:sz="4" w:space="0" w:color="auto"/>
              <w:left w:val="single" w:sz="4" w:space="0" w:color="auto"/>
              <w:bottom w:val="single" w:sz="4" w:space="0" w:color="auto"/>
              <w:right w:val="nil"/>
            </w:tcBorders>
            <w:shd w:val="clear" w:color="auto" w:fill="FFFFFF"/>
            <w:noWrap/>
            <w:vAlign w:val="bottom"/>
          </w:tcPr>
          <w:p>
            <w:pPr>
              <w:widowControl w:val="0"/>
              <w:ind w:firstLine="60"/>
              <w:jc w:val="both"/>
              <w:rPr>
                <w:szCs w:val="24"/>
                <w:lang w:eastAsia="lt-LT"/>
              </w:rPr>
            </w:pP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jc w:val="both"/>
              <w:rPr>
                <w:szCs w:val="24"/>
                <w:lang w:eastAsia="lt-LT"/>
              </w:rPr>
            </w:pPr>
            <w:r>
              <w:rPr>
                <w:szCs w:val="24"/>
                <w:lang w:eastAsia="lt-LT"/>
              </w:rPr>
              <w:t>El. paštas</w:t>
            </w:r>
          </w:p>
        </w:tc>
        <w:tc>
          <w:tcPr>
            <w:tcW w:w="1126" w:type="pct"/>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ind w:firstLine="60"/>
              <w:jc w:val="both"/>
              <w:rPr>
                <w:szCs w:val="24"/>
                <w:lang w:eastAsia="lt-LT"/>
              </w:rPr>
            </w:pPr>
          </w:p>
        </w:tc>
      </w:tr>
      <w:tr>
        <w:trPr>
          <w:trHeight w:val="300"/>
        </w:trPr>
        <w:tc>
          <w:tcPr>
            <w:tcW w:w="1273" w:type="pct"/>
            <w:tcBorders>
              <w:top w:val="single" w:sz="4" w:space="0" w:color="auto"/>
              <w:left w:val="single" w:sz="4" w:space="0" w:color="auto"/>
              <w:bottom w:val="single" w:sz="4" w:space="0" w:color="auto"/>
              <w:right w:val="nil"/>
            </w:tcBorders>
            <w:shd w:val="clear" w:color="auto" w:fill="FFFFFF"/>
            <w:vAlign w:val="center"/>
          </w:tcPr>
          <w:p>
            <w:pPr>
              <w:widowControl w:val="0"/>
              <w:jc w:val="both"/>
              <w:rPr>
                <w:szCs w:val="24"/>
                <w:lang w:eastAsia="lt-LT"/>
              </w:rPr>
            </w:pPr>
            <w:r>
              <w:rPr>
                <w:szCs w:val="24"/>
                <w:lang w:eastAsia="lt-LT"/>
              </w:rPr>
              <w:t>Tinklalapis</w:t>
            </w:r>
          </w:p>
        </w:tc>
        <w:tc>
          <w:tcPr>
            <w:tcW w:w="1274" w:type="pct"/>
            <w:tcBorders>
              <w:top w:val="single" w:sz="4" w:space="0" w:color="auto"/>
              <w:left w:val="single" w:sz="4" w:space="0" w:color="auto"/>
              <w:bottom w:val="single" w:sz="4" w:space="0" w:color="auto"/>
              <w:right w:val="nil"/>
            </w:tcBorders>
            <w:shd w:val="clear" w:color="auto" w:fill="FFFFFF"/>
            <w:noWrap/>
            <w:vAlign w:val="bottom"/>
          </w:tcPr>
          <w:p>
            <w:pPr>
              <w:widowControl w:val="0"/>
              <w:ind w:firstLine="60"/>
              <w:jc w:val="both"/>
              <w:rPr>
                <w:szCs w:val="24"/>
                <w:lang w:eastAsia="lt-LT"/>
              </w:rPr>
            </w:pPr>
          </w:p>
        </w:tc>
        <w:tc>
          <w:tcPr>
            <w:tcW w:w="1326" w:type="pct"/>
            <w:tcBorders>
              <w:top w:val="single" w:sz="4" w:space="0" w:color="auto"/>
              <w:left w:val="single" w:sz="4" w:space="0" w:color="auto"/>
              <w:bottom w:val="single" w:sz="4" w:space="0" w:color="auto"/>
              <w:right w:val="single" w:sz="4" w:space="0" w:color="auto"/>
            </w:tcBorders>
            <w:shd w:val="clear" w:color="auto" w:fill="FFFFFF"/>
            <w:noWrap/>
            <w:vAlign w:val="center"/>
          </w:tcPr>
          <w:p>
            <w:pPr>
              <w:widowControl w:val="0"/>
              <w:ind w:firstLine="60"/>
              <w:jc w:val="both"/>
              <w:rPr>
                <w:szCs w:val="24"/>
                <w:lang w:eastAsia="lt-LT"/>
              </w:rPr>
            </w:pPr>
          </w:p>
        </w:tc>
        <w:tc>
          <w:tcPr>
            <w:tcW w:w="1126" w:type="pct"/>
            <w:tcBorders>
              <w:top w:val="single" w:sz="4" w:space="0" w:color="auto"/>
              <w:left w:val="single" w:sz="4" w:space="0" w:color="auto"/>
              <w:bottom w:val="single" w:sz="4" w:space="0" w:color="auto"/>
              <w:right w:val="single" w:sz="4" w:space="0" w:color="auto"/>
            </w:tcBorders>
            <w:shd w:val="clear" w:color="auto" w:fill="FFFFFF"/>
            <w:noWrap/>
            <w:vAlign w:val="center"/>
          </w:tcPr>
          <w:p>
            <w:pPr>
              <w:widowControl w:val="0"/>
              <w:ind w:firstLine="60"/>
              <w:jc w:val="both"/>
              <w:rPr>
                <w:szCs w:val="24"/>
                <w:lang w:eastAsia="lt-LT"/>
              </w:rPr>
            </w:pPr>
          </w:p>
        </w:tc>
      </w:tr>
      <w:tr>
        <w:trPr>
          <w:trHeight w:val="300"/>
        </w:trPr>
        <w:tc>
          <w:tcPr>
            <w:tcW w:w="1273" w:type="pct"/>
            <w:tcBorders>
              <w:top w:val="single" w:sz="4" w:space="0" w:color="auto"/>
              <w:left w:val="single" w:sz="4" w:space="0" w:color="auto"/>
              <w:bottom w:val="single" w:sz="4" w:space="0" w:color="auto"/>
              <w:right w:val="nil"/>
            </w:tcBorders>
            <w:shd w:val="clear" w:color="auto" w:fill="FFFFFF"/>
            <w:vAlign w:val="center"/>
          </w:tcPr>
          <w:p>
            <w:pPr>
              <w:widowControl w:val="0"/>
              <w:jc w:val="both"/>
              <w:rPr>
                <w:szCs w:val="24"/>
                <w:lang w:eastAsia="lt-LT"/>
              </w:rPr>
            </w:pPr>
            <w:r>
              <w:rPr>
                <w:szCs w:val="24"/>
                <w:lang w:eastAsia="lt-LT"/>
              </w:rPr>
              <w:t>El. paštas</w:t>
            </w:r>
          </w:p>
        </w:tc>
        <w:tc>
          <w:tcPr>
            <w:tcW w:w="1274" w:type="pct"/>
            <w:tcBorders>
              <w:top w:val="single" w:sz="4" w:space="0" w:color="auto"/>
              <w:left w:val="single" w:sz="4" w:space="0" w:color="auto"/>
              <w:bottom w:val="single" w:sz="4" w:space="0" w:color="auto"/>
              <w:right w:val="nil"/>
            </w:tcBorders>
            <w:shd w:val="clear" w:color="auto" w:fill="FFFFFF"/>
            <w:noWrap/>
            <w:vAlign w:val="bottom"/>
          </w:tcPr>
          <w:p>
            <w:pPr>
              <w:widowControl w:val="0"/>
              <w:ind w:firstLine="60"/>
              <w:jc w:val="both"/>
              <w:rPr>
                <w:szCs w:val="24"/>
                <w:lang w:eastAsia="lt-LT"/>
              </w:rPr>
            </w:pPr>
          </w:p>
        </w:tc>
        <w:tc>
          <w:tcPr>
            <w:tcW w:w="1326" w:type="pct"/>
            <w:tcBorders>
              <w:top w:val="single" w:sz="4" w:space="0" w:color="auto"/>
              <w:left w:val="single" w:sz="4" w:space="0" w:color="auto"/>
              <w:bottom w:val="single" w:sz="4" w:space="0" w:color="auto"/>
              <w:right w:val="single" w:sz="4" w:space="0" w:color="auto"/>
            </w:tcBorders>
            <w:shd w:val="clear" w:color="auto" w:fill="FFFFFF"/>
            <w:noWrap/>
            <w:vAlign w:val="center"/>
          </w:tcPr>
          <w:p>
            <w:pPr>
              <w:widowControl w:val="0"/>
              <w:ind w:firstLine="60"/>
              <w:jc w:val="both"/>
              <w:rPr>
                <w:szCs w:val="24"/>
                <w:lang w:eastAsia="lt-LT"/>
              </w:rPr>
            </w:pPr>
          </w:p>
        </w:tc>
        <w:tc>
          <w:tcPr>
            <w:tcW w:w="1126" w:type="pct"/>
            <w:tcBorders>
              <w:top w:val="single" w:sz="4" w:space="0" w:color="auto"/>
              <w:left w:val="single" w:sz="4" w:space="0" w:color="auto"/>
              <w:bottom w:val="single" w:sz="4" w:space="0" w:color="auto"/>
              <w:right w:val="single" w:sz="4" w:space="0" w:color="auto"/>
            </w:tcBorders>
            <w:shd w:val="clear" w:color="auto" w:fill="FFFFFF"/>
            <w:noWrap/>
            <w:vAlign w:val="center"/>
          </w:tcPr>
          <w:p>
            <w:pPr>
              <w:widowControl w:val="0"/>
              <w:ind w:firstLine="60"/>
              <w:jc w:val="both"/>
              <w:rPr>
                <w:szCs w:val="24"/>
                <w:lang w:eastAsia="lt-LT"/>
              </w:rPr>
            </w:pPr>
          </w:p>
        </w:tc>
      </w:tr>
    </w:tbl>
    <w:p>
      <w:pPr>
        <w:widowControl w:val="0"/>
        <w:ind w:firstLine="720"/>
        <w:jc w:val="both"/>
        <w:rPr>
          <w:sz w:val="14"/>
          <w:szCs w:val="24"/>
          <w:lang w:eastAsia="lt-LT"/>
        </w:rPr>
      </w:pPr>
    </w:p>
    <w:p>
      <w:pPr>
        <w:widowControl w:val="0"/>
        <w:jc w:val="center"/>
        <w:rPr>
          <w:b/>
          <w:bCs/>
          <w:szCs w:val="24"/>
          <w:lang w:eastAsia="lt-LT"/>
        </w:rPr>
      </w:pPr>
      <w:r>
        <w:rPr>
          <w:b/>
          <w:bCs/>
          <w:szCs w:val="24"/>
          <w:lang w:eastAsia="lt-LT"/>
        </w:rPr>
        <w:t xml:space="preserve">__________________DUOMENŲ SUVESTINĖ PAJAMŲ  VIRŠUTINEI RIBAI KOREGUOTI</w:t>
      </w:r>
    </w:p>
    <w:p>
      <w:pPr>
        <w:widowControl w:val="0"/>
        <w:tabs>
          <w:tab w:val="left" w:pos="11730"/>
          <w:tab w:val="left" w:pos="12044"/>
          <w:tab w:val="left" w:pos="12358"/>
          <w:tab w:val="left" w:pos="17069"/>
          <w:tab w:val="left" w:pos="17383"/>
          <w:tab w:val="left" w:pos="17697"/>
          <w:tab w:val="left" w:pos="18011"/>
          <w:tab w:val="left" w:pos="18325"/>
          <w:tab w:val="left" w:pos="18639"/>
        </w:tabs>
        <w:ind w:firstLine="720"/>
        <w:jc w:val="both"/>
        <w:rPr>
          <w:szCs w:val="24"/>
          <w:lang w:eastAsia="lt-LT"/>
        </w:rPr>
      </w:pPr>
      <w:r>
        <w:rPr>
          <w:szCs w:val="24"/>
          <w:lang w:eastAsia="lt-LT"/>
        </w:rPr>
        <w:t>(gamtinių dujų įmonės pavadinimas)</w:t>
      </w:r>
    </w:p>
    <w:p>
      <w:pPr>
        <w:widowControl w:val="0"/>
        <w:tabs>
          <w:tab w:val="left" w:pos="11730"/>
          <w:tab w:val="left" w:pos="12044"/>
          <w:tab w:val="left" w:pos="12358"/>
          <w:tab w:val="left" w:pos="17069"/>
          <w:tab w:val="left" w:pos="17383"/>
          <w:tab w:val="left" w:pos="17697"/>
          <w:tab w:val="left" w:pos="18011"/>
          <w:tab w:val="left" w:pos="18325"/>
          <w:tab w:val="left" w:pos="18639"/>
        </w:tabs>
        <w:ind w:firstLine="720"/>
        <w:jc w:val="both"/>
        <w:rPr>
          <w:sz w:val="10"/>
          <w:szCs w:val="24"/>
          <w:lang w:eastAsia="lt-LT"/>
        </w:rPr>
      </w:pPr>
    </w:p>
    <w:p>
      <w:pPr>
        <w:widowControl w:val="0"/>
        <w:tabs>
          <w:tab w:val="left" w:pos="11730"/>
          <w:tab w:val="left" w:pos="12044"/>
          <w:tab w:val="left" w:pos="17697"/>
          <w:tab w:val="left" w:pos="18011"/>
          <w:tab w:val="left" w:pos="18325"/>
          <w:tab w:val="left" w:pos="18639"/>
        </w:tabs>
        <w:jc w:val="center"/>
        <w:rPr>
          <w:szCs w:val="24"/>
          <w:lang w:eastAsia="lt-LT"/>
        </w:rPr>
      </w:pPr>
      <w:r>
        <w:rPr>
          <w:szCs w:val="24"/>
          <w:lang w:eastAsia="lt-LT"/>
        </w:rPr>
        <w:t>________________________</w:t>
      </w:r>
    </w:p>
    <w:p>
      <w:pPr>
        <w:widowControl w:val="0"/>
        <w:tabs>
          <w:tab w:val="left" w:pos="11730"/>
          <w:tab w:val="left" w:pos="12044"/>
          <w:tab w:val="left" w:pos="12358"/>
          <w:tab w:val="left" w:pos="17069"/>
          <w:tab w:val="left" w:pos="17383"/>
          <w:tab w:val="left" w:pos="17697"/>
          <w:tab w:val="left" w:pos="18011"/>
          <w:tab w:val="left" w:pos="18325"/>
          <w:tab w:val="left" w:pos="18639"/>
        </w:tabs>
        <w:jc w:val="center"/>
        <w:rPr>
          <w:szCs w:val="24"/>
          <w:lang w:eastAsia="lt-LT"/>
        </w:rPr>
      </w:pPr>
      <w:r>
        <w:rPr>
          <w:szCs w:val="24"/>
          <w:lang w:eastAsia="lt-LT"/>
        </w:rPr>
        <w:t>sudarymo data</w:t>
      </w:r>
    </w:p>
    <w:p>
      <w:pPr>
        <w:widowControl w:val="0"/>
        <w:ind w:firstLine="720"/>
        <w:jc w:val="both"/>
        <w:rPr>
          <w:lang w:eastAsia="lt-LT"/>
        </w:rPr>
      </w:pPr>
    </w:p>
    <w:p>
      <w:pPr>
        <w:widowControl w:val="0"/>
        <w:ind w:firstLine="720"/>
        <w:jc w:val="both"/>
        <w:rPr>
          <w:lang w:eastAsia="lt-LT"/>
        </w:rPr>
      </w:pPr>
      <w:r>
        <w:rPr>
          <w:lang w:eastAsia="lt-LT"/>
        </w:rPr>
        <w:t xml:space="preserve">Valstybinei energetikos reguliavimo tarybai </w:t>
      </w:r>
    </w:p>
    <w:p>
      <w:pPr>
        <w:widowControl w:val="0"/>
        <w:tabs>
          <w:tab w:val="left" w:pos="17697"/>
          <w:tab w:val="left" w:pos="18011"/>
          <w:tab w:val="left" w:pos="18325"/>
          <w:tab w:val="left" w:pos="18639"/>
        </w:tabs>
        <w:ind w:left="720"/>
        <w:jc w:val="both"/>
        <w:rPr>
          <w:szCs w:val="24"/>
          <w:lang w:eastAsia="lt-LT"/>
        </w:rPr>
      </w:pPr>
      <w:r>
        <w:rPr>
          <w:szCs w:val="24"/>
          <w:lang w:eastAsia="lt-LT"/>
        </w:rPr>
        <w:t>Verkių g. 25C-1, Vilnius, LT-08223, rastine@regula.lt</w:t>
      </w:r>
    </w:p>
    <w:tbl>
      <w:tblPr>
        <w:tblW w:w="4932" w:type="pct"/>
        <w:tblLayout w:type="fixed"/>
        <w:tblCellMar>
          <w:left w:w="51" w:type="dxa"/>
          <w:right w:w="28" w:type="dxa"/>
        </w:tblCellMar>
        <w:tblLook w:val="0000" w:firstRow="0" w:lastRow="0" w:firstColumn="0" w:lastColumn="0" w:noHBand="0" w:noVBand="0"/>
      </w:tblPr>
      <w:tblGrid>
        <w:gridCol w:w="702"/>
        <w:gridCol w:w="795"/>
        <w:gridCol w:w="2935"/>
        <w:gridCol w:w="1305"/>
        <w:gridCol w:w="795"/>
        <w:gridCol w:w="795"/>
        <w:gridCol w:w="795"/>
        <w:gridCol w:w="701"/>
        <w:gridCol w:w="762"/>
      </w:tblGrid>
      <w:tr>
        <w:trPr>
          <w:trHeight w:val="20"/>
        </w:trPr>
        <w:tc>
          <w:tcPr>
            <w:tcW w:w="695" w:type="dxa"/>
            <w:vMerge w:val="restart"/>
            <w:tcBorders>
              <w:top w:val="single" w:sz="4" w:space="0" w:color="auto"/>
              <w:left w:val="single" w:sz="4" w:space="0" w:color="auto"/>
              <w:right w:val="single" w:sz="4" w:space="0" w:color="auto"/>
            </w:tcBorders>
            <w:noWrap/>
            <w:vAlign w:val="center"/>
          </w:tcPr>
          <w:p>
            <w:pPr>
              <w:widowControl w:val="0"/>
              <w:jc w:val="center"/>
              <w:rPr>
                <w:b/>
                <w:bCs/>
                <w:sz w:val="22"/>
                <w:szCs w:val="22"/>
                <w:lang w:eastAsia="lt-LT"/>
              </w:rPr>
            </w:pPr>
            <w:r>
              <w:rPr>
                <w:b/>
                <w:bCs/>
                <w:sz w:val="22"/>
                <w:szCs w:val="22"/>
                <w:lang w:eastAsia="lt-LT"/>
              </w:rPr>
              <w:t>Eil. Nr.</w:t>
            </w:r>
          </w:p>
        </w:tc>
        <w:tc>
          <w:tcPr>
            <w:tcW w:w="3695" w:type="dxa"/>
            <w:gridSpan w:val="2"/>
            <w:vMerge w:val="restart"/>
            <w:tcBorders>
              <w:top w:val="single" w:sz="4" w:space="0" w:color="auto"/>
              <w:left w:val="single" w:sz="4" w:space="0" w:color="auto"/>
              <w:right w:val="single" w:sz="4" w:space="0" w:color="auto"/>
            </w:tcBorders>
            <w:noWrap/>
            <w:vAlign w:val="center"/>
          </w:tcPr>
          <w:p>
            <w:pPr>
              <w:widowControl w:val="0"/>
              <w:jc w:val="center"/>
              <w:rPr>
                <w:b/>
                <w:bCs/>
                <w:sz w:val="22"/>
                <w:szCs w:val="22"/>
                <w:lang w:eastAsia="lt-LT"/>
              </w:rPr>
            </w:pPr>
            <w:r>
              <w:rPr>
                <w:b/>
                <w:bCs/>
                <w:sz w:val="22"/>
                <w:szCs w:val="22"/>
                <w:lang w:eastAsia="lt-LT"/>
              </w:rPr>
              <w:t>Rodiklis</w:t>
            </w:r>
          </w:p>
        </w:tc>
        <w:tc>
          <w:tcPr>
            <w:tcW w:w="1293" w:type="dxa"/>
            <w:vMerge w:val="restart"/>
            <w:tcBorders>
              <w:top w:val="single" w:sz="4" w:space="0" w:color="auto"/>
              <w:left w:val="single" w:sz="4" w:space="0" w:color="auto"/>
              <w:right w:val="single" w:sz="4" w:space="0" w:color="auto"/>
            </w:tcBorders>
            <w:noWrap/>
            <w:vAlign w:val="center"/>
          </w:tcPr>
          <w:p>
            <w:pPr>
              <w:widowControl w:val="0"/>
              <w:jc w:val="center"/>
              <w:rPr>
                <w:b/>
                <w:bCs/>
                <w:sz w:val="22"/>
                <w:szCs w:val="22"/>
                <w:lang w:eastAsia="lt-LT"/>
              </w:rPr>
            </w:pPr>
            <w:r>
              <w:rPr>
                <w:b/>
                <w:bCs/>
                <w:sz w:val="22"/>
                <w:szCs w:val="22"/>
                <w:lang w:eastAsia="lt-LT"/>
              </w:rPr>
              <w:t>Vnt.</w:t>
            </w:r>
          </w:p>
        </w:tc>
        <w:tc>
          <w:tcPr>
            <w:tcW w:w="3814" w:type="dxa"/>
            <w:gridSpan w:val="5"/>
            <w:tcBorders>
              <w:top w:val="single" w:sz="4" w:space="0" w:color="auto"/>
              <w:left w:val="single" w:sz="4" w:space="0" w:color="auto"/>
              <w:bottom w:val="single" w:sz="4" w:space="0" w:color="auto"/>
              <w:right w:val="single" w:sz="4" w:space="0" w:color="auto"/>
            </w:tcBorders>
            <w:vAlign w:val="center"/>
          </w:tcPr>
          <w:p>
            <w:pPr>
              <w:widowControl w:val="0"/>
              <w:jc w:val="center"/>
              <w:rPr>
                <w:b/>
                <w:bCs/>
                <w:sz w:val="22"/>
                <w:szCs w:val="22"/>
                <w:lang w:eastAsia="lt-LT"/>
              </w:rPr>
            </w:pPr>
            <w:r>
              <w:rPr>
                <w:b/>
                <w:bCs/>
                <w:sz w:val="22"/>
                <w:szCs w:val="22"/>
                <w:lang w:eastAsia="lt-LT"/>
              </w:rPr>
              <w:t>Skirstymo/SGD pakartotinio dujinimo/ Laikymo/ veikla</w:t>
            </w:r>
          </w:p>
        </w:tc>
      </w:tr>
      <w:tr>
        <w:trPr>
          <w:trHeight w:val="335"/>
        </w:trPr>
        <w:tc>
          <w:tcPr>
            <w:tcW w:w="695" w:type="dxa"/>
            <w:vMerge/>
            <w:tcBorders>
              <w:left w:val="single" w:sz="4" w:space="0" w:color="auto"/>
              <w:right w:val="single" w:sz="4" w:space="0" w:color="auto"/>
            </w:tcBorders>
            <w:vAlign w:val="center"/>
          </w:tcPr>
          <w:p>
            <w:pPr>
              <w:widowControl w:val="0"/>
              <w:jc w:val="both"/>
              <w:rPr>
                <w:b/>
                <w:bCs/>
                <w:sz w:val="22"/>
                <w:szCs w:val="22"/>
                <w:lang w:eastAsia="lt-LT"/>
              </w:rPr>
            </w:pPr>
          </w:p>
        </w:tc>
        <w:tc>
          <w:tcPr>
            <w:tcW w:w="3695" w:type="dxa"/>
            <w:gridSpan w:val="2"/>
            <w:vMerge/>
            <w:tcBorders>
              <w:left w:val="single" w:sz="4" w:space="0" w:color="auto"/>
              <w:right w:val="single" w:sz="4" w:space="0" w:color="auto"/>
            </w:tcBorders>
            <w:vAlign w:val="center"/>
          </w:tcPr>
          <w:p>
            <w:pPr>
              <w:widowControl w:val="0"/>
              <w:jc w:val="both"/>
              <w:rPr>
                <w:b/>
                <w:bCs/>
                <w:sz w:val="22"/>
                <w:szCs w:val="22"/>
                <w:lang w:eastAsia="lt-LT"/>
              </w:rPr>
            </w:pPr>
          </w:p>
        </w:tc>
        <w:tc>
          <w:tcPr>
            <w:tcW w:w="1293" w:type="dxa"/>
            <w:vMerge/>
            <w:tcBorders>
              <w:left w:val="single" w:sz="4" w:space="0" w:color="auto"/>
              <w:right w:val="single" w:sz="4" w:space="0" w:color="auto"/>
            </w:tcBorders>
            <w:vAlign w:val="center"/>
          </w:tcPr>
          <w:p>
            <w:pPr>
              <w:widowControl w:val="0"/>
              <w:jc w:val="both"/>
              <w:rPr>
                <w:b/>
                <w:bCs/>
                <w:sz w:val="22"/>
                <w:szCs w:val="22"/>
                <w:lang w:eastAsia="lt-LT"/>
              </w:rPr>
            </w:pPr>
          </w:p>
        </w:tc>
        <w:tc>
          <w:tcPr>
            <w:tcW w:w="788" w:type="dxa"/>
            <w:tcBorders>
              <w:top w:val="nil"/>
              <w:left w:val="nil"/>
              <w:bottom w:val="single" w:sz="4" w:space="0" w:color="auto"/>
              <w:right w:val="single" w:sz="4" w:space="0" w:color="auto"/>
            </w:tcBorders>
            <w:vAlign w:val="center"/>
          </w:tcPr>
          <w:p>
            <w:pPr>
              <w:widowControl w:val="0"/>
              <w:jc w:val="center"/>
              <w:rPr>
                <w:bCs/>
                <w:sz w:val="22"/>
                <w:szCs w:val="22"/>
                <w:lang w:eastAsia="lt-LT"/>
              </w:rPr>
            </w:pPr>
            <w:r>
              <w:rPr>
                <w:bCs/>
                <w:sz w:val="22"/>
                <w:szCs w:val="22"/>
                <w:lang w:eastAsia="lt-LT"/>
              </w:rPr>
              <w:t>I</w:t>
            </w:r>
          </w:p>
        </w:tc>
        <w:tc>
          <w:tcPr>
            <w:tcW w:w="788" w:type="dxa"/>
            <w:tcBorders>
              <w:top w:val="nil"/>
              <w:left w:val="nil"/>
              <w:bottom w:val="single" w:sz="4" w:space="0" w:color="auto"/>
              <w:right w:val="single" w:sz="4" w:space="0" w:color="auto"/>
            </w:tcBorders>
            <w:vAlign w:val="center"/>
          </w:tcPr>
          <w:p>
            <w:pPr>
              <w:widowControl w:val="0"/>
              <w:jc w:val="center"/>
              <w:rPr>
                <w:bCs/>
                <w:sz w:val="22"/>
                <w:szCs w:val="22"/>
                <w:lang w:eastAsia="lt-LT"/>
              </w:rPr>
            </w:pPr>
            <w:r>
              <w:rPr>
                <w:bCs/>
                <w:sz w:val="22"/>
                <w:szCs w:val="22"/>
                <w:lang w:eastAsia="lt-LT"/>
              </w:rPr>
              <w:t>II__</w:t>
            </w:r>
          </w:p>
        </w:tc>
        <w:tc>
          <w:tcPr>
            <w:tcW w:w="788" w:type="dxa"/>
            <w:tcBorders>
              <w:top w:val="nil"/>
              <w:left w:val="nil"/>
              <w:bottom w:val="single" w:sz="4" w:space="0" w:color="auto"/>
              <w:right w:val="single" w:sz="4" w:space="0" w:color="auto"/>
            </w:tcBorders>
            <w:vAlign w:val="center"/>
          </w:tcPr>
          <w:p>
            <w:pPr>
              <w:widowControl w:val="0"/>
              <w:jc w:val="center"/>
              <w:rPr>
                <w:bCs/>
                <w:sz w:val="22"/>
                <w:szCs w:val="22"/>
                <w:lang w:eastAsia="lt-LT"/>
              </w:rPr>
            </w:pPr>
            <w:r>
              <w:rPr>
                <w:bCs/>
                <w:sz w:val="22"/>
                <w:szCs w:val="22"/>
                <w:lang w:eastAsia="lt-LT"/>
              </w:rPr>
              <w:t>III_</w:t>
            </w:r>
          </w:p>
        </w:tc>
        <w:tc>
          <w:tcPr>
            <w:tcW w:w="695" w:type="dxa"/>
            <w:tcBorders>
              <w:top w:val="nil"/>
              <w:left w:val="nil"/>
              <w:bottom w:val="single" w:sz="4" w:space="0" w:color="auto"/>
              <w:right w:val="single" w:sz="4" w:space="0" w:color="auto"/>
            </w:tcBorders>
            <w:vAlign w:val="center"/>
          </w:tcPr>
          <w:p>
            <w:pPr>
              <w:widowControl w:val="0"/>
              <w:jc w:val="center"/>
              <w:rPr>
                <w:bCs/>
                <w:sz w:val="22"/>
                <w:szCs w:val="22"/>
                <w:lang w:eastAsia="lt-LT"/>
              </w:rPr>
            </w:pPr>
            <w:r>
              <w:rPr>
                <w:bCs/>
                <w:sz w:val="22"/>
                <w:szCs w:val="22"/>
                <w:lang w:eastAsia="lt-LT"/>
              </w:rPr>
              <w:t>IV</w:t>
            </w:r>
          </w:p>
        </w:tc>
        <w:tc>
          <w:tcPr>
            <w:tcW w:w="755" w:type="dxa"/>
            <w:tcBorders>
              <w:top w:val="nil"/>
              <w:left w:val="nil"/>
              <w:bottom w:val="single" w:sz="4" w:space="0" w:color="auto"/>
              <w:right w:val="single" w:sz="4" w:space="0" w:color="auto"/>
            </w:tcBorders>
            <w:vAlign w:val="center"/>
          </w:tcPr>
          <w:p>
            <w:pPr>
              <w:widowControl w:val="0"/>
              <w:jc w:val="center"/>
              <w:rPr>
                <w:bCs/>
                <w:sz w:val="22"/>
                <w:szCs w:val="22"/>
                <w:lang w:eastAsia="lt-LT"/>
              </w:rPr>
            </w:pPr>
            <w:r>
              <w:rPr>
                <w:bCs/>
                <w:sz w:val="22"/>
                <w:szCs w:val="22"/>
                <w:lang w:eastAsia="lt-LT"/>
              </w:rPr>
              <w:t>V</w:t>
            </w:r>
          </w:p>
        </w:tc>
      </w:tr>
      <w:tr>
        <w:trPr>
          <w:trHeight w:val="20"/>
        </w:trPr>
        <w:tc>
          <w:tcPr>
            <w:tcW w:w="695" w:type="dxa"/>
            <w:vMerge/>
            <w:tcBorders>
              <w:left w:val="single" w:sz="4" w:space="0" w:color="auto"/>
              <w:bottom w:val="single" w:sz="4" w:space="0" w:color="auto"/>
              <w:right w:val="single" w:sz="4" w:space="0" w:color="auto"/>
            </w:tcBorders>
            <w:noWrap/>
            <w:vAlign w:val="bottom"/>
          </w:tcPr>
          <w:p>
            <w:pPr>
              <w:widowControl w:val="0"/>
              <w:jc w:val="both"/>
              <w:rPr>
                <w:sz w:val="22"/>
                <w:szCs w:val="22"/>
                <w:lang w:eastAsia="lt-LT"/>
              </w:rPr>
            </w:pPr>
          </w:p>
        </w:tc>
        <w:tc>
          <w:tcPr>
            <w:tcW w:w="3695" w:type="dxa"/>
            <w:gridSpan w:val="2"/>
            <w:vMerge/>
            <w:tcBorders>
              <w:left w:val="single" w:sz="4" w:space="0" w:color="auto"/>
              <w:bottom w:val="single" w:sz="4" w:space="0" w:color="auto"/>
              <w:right w:val="single" w:sz="4" w:space="0" w:color="auto"/>
            </w:tcBorders>
            <w:noWrap/>
            <w:vAlign w:val="bottom"/>
          </w:tcPr>
          <w:p>
            <w:pPr>
              <w:widowControl w:val="0"/>
              <w:jc w:val="both"/>
              <w:rPr>
                <w:iCs/>
                <w:sz w:val="22"/>
                <w:szCs w:val="22"/>
                <w:lang w:eastAsia="lt-LT"/>
              </w:rPr>
            </w:pPr>
          </w:p>
        </w:tc>
        <w:tc>
          <w:tcPr>
            <w:tcW w:w="1293" w:type="dxa"/>
            <w:vMerge/>
            <w:tcBorders>
              <w:left w:val="single" w:sz="4" w:space="0" w:color="auto"/>
              <w:bottom w:val="single" w:sz="4" w:space="0" w:color="auto"/>
              <w:right w:val="single" w:sz="4" w:space="0" w:color="auto"/>
            </w:tcBorders>
            <w:noWrap/>
            <w:vAlign w:val="bottom"/>
          </w:tcPr>
          <w:p>
            <w:pPr>
              <w:widowControl w:val="0"/>
              <w:jc w:val="both"/>
              <w:rPr>
                <w:sz w:val="22"/>
                <w:szCs w:val="22"/>
                <w:lang w:eastAsia="lt-LT"/>
              </w:rPr>
            </w:pPr>
          </w:p>
        </w:tc>
        <w:tc>
          <w:tcPr>
            <w:tcW w:w="788" w:type="dxa"/>
            <w:tcBorders>
              <w:top w:val="nil"/>
              <w:left w:val="nil"/>
              <w:bottom w:val="single" w:sz="4" w:space="0" w:color="auto"/>
              <w:right w:val="single" w:sz="4" w:space="0" w:color="auto"/>
            </w:tcBorders>
            <w:noWrap/>
            <w:vAlign w:val="center"/>
          </w:tcPr>
          <w:p>
            <w:pPr>
              <w:widowControl w:val="0"/>
              <w:ind w:firstLine="60"/>
              <w:jc w:val="center"/>
              <w:rPr>
                <w:sz w:val="22"/>
                <w:szCs w:val="22"/>
                <w:lang w:eastAsia="lt-LT"/>
              </w:rPr>
            </w:pPr>
            <w:r>
              <w:rPr>
                <w:bCs/>
                <w:sz w:val="22"/>
                <w:szCs w:val="22"/>
                <w:lang w:eastAsia="lt-LT"/>
              </w:rPr>
              <w:t>20__</w:t>
            </w:r>
          </w:p>
        </w:tc>
        <w:tc>
          <w:tcPr>
            <w:tcW w:w="788" w:type="dxa"/>
            <w:tcBorders>
              <w:top w:val="nil"/>
              <w:left w:val="nil"/>
              <w:bottom w:val="single" w:sz="4" w:space="0" w:color="auto"/>
              <w:right w:val="single" w:sz="4" w:space="0" w:color="auto"/>
            </w:tcBorders>
            <w:noWrap/>
            <w:vAlign w:val="center"/>
          </w:tcPr>
          <w:p>
            <w:pPr>
              <w:widowControl w:val="0"/>
              <w:ind w:firstLine="60"/>
              <w:jc w:val="center"/>
              <w:rPr>
                <w:sz w:val="22"/>
                <w:szCs w:val="22"/>
                <w:lang w:eastAsia="lt-LT"/>
              </w:rPr>
            </w:pPr>
            <w:r>
              <w:rPr>
                <w:bCs/>
                <w:sz w:val="22"/>
                <w:szCs w:val="22"/>
                <w:lang w:eastAsia="lt-LT"/>
              </w:rPr>
              <w:t>20__</w:t>
            </w:r>
          </w:p>
        </w:tc>
        <w:tc>
          <w:tcPr>
            <w:tcW w:w="788" w:type="dxa"/>
            <w:tcBorders>
              <w:top w:val="nil"/>
              <w:left w:val="nil"/>
              <w:bottom w:val="single" w:sz="4" w:space="0" w:color="auto"/>
              <w:right w:val="single" w:sz="4" w:space="0" w:color="auto"/>
            </w:tcBorders>
            <w:noWrap/>
            <w:vAlign w:val="center"/>
          </w:tcPr>
          <w:p>
            <w:pPr>
              <w:widowControl w:val="0"/>
              <w:ind w:firstLine="60"/>
              <w:jc w:val="center"/>
              <w:rPr>
                <w:sz w:val="22"/>
                <w:szCs w:val="22"/>
                <w:lang w:eastAsia="lt-LT"/>
              </w:rPr>
            </w:pPr>
            <w:r>
              <w:rPr>
                <w:bCs/>
                <w:sz w:val="22"/>
                <w:szCs w:val="22"/>
                <w:lang w:eastAsia="lt-LT"/>
              </w:rPr>
              <w:t>20__</w:t>
            </w:r>
          </w:p>
        </w:tc>
        <w:tc>
          <w:tcPr>
            <w:tcW w:w="695" w:type="dxa"/>
            <w:tcBorders>
              <w:top w:val="nil"/>
              <w:left w:val="nil"/>
              <w:bottom w:val="single" w:sz="4" w:space="0" w:color="auto"/>
              <w:right w:val="single" w:sz="4" w:space="0" w:color="auto"/>
            </w:tcBorders>
            <w:noWrap/>
            <w:vAlign w:val="center"/>
          </w:tcPr>
          <w:p>
            <w:pPr>
              <w:widowControl w:val="0"/>
              <w:ind w:firstLine="60"/>
              <w:jc w:val="center"/>
              <w:rPr>
                <w:sz w:val="22"/>
                <w:szCs w:val="22"/>
                <w:lang w:eastAsia="lt-LT"/>
              </w:rPr>
            </w:pPr>
            <w:r>
              <w:rPr>
                <w:bCs/>
                <w:sz w:val="22"/>
                <w:szCs w:val="22"/>
                <w:lang w:eastAsia="lt-LT"/>
              </w:rPr>
              <w:t>20__</w:t>
            </w:r>
          </w:p>
        </w:tc>
        <w:tc>
          <w:tcPr>
            <w:tcW w:w="755" w:type="dxa"/>
            <w:tcBorders>
              <w:top w:val="nil"/>
              <w:left w:val="nil"/>
              <w:bottom w:val="single" w:sz="4" w:space="0" w:color="auto"/>
              <w:right w:val="single" w:sz="4" w:space="0" w:color="auto"/>
            </w:tcBorders>
            <w:noWrap/>
            <w:vAlign w:val="center"/>
          </w:tcPr>
          <w:p>
            <w:pPr>
              <w:widowControl w:val="0"/>
              <w:ind w:firstLine="60"/>
              <w:jc w:val="center"/>
              <w:rPr>
                <w:sz w:val="22"/>
                <w:szCs w:val="22"/>
                <w:lang w:eastAsia="lt-LT"/>
              </w:rPr>
            </w:pPr>
            <w:r>
              <w:rPr>
                <w:bCs/>
                <w:sz w:val="22"/>
                <w:szCs w:val="22"/>
                <w:lang w:eastAsia="lt-LT"/>
              </w:rPr>
              <w:t>20__</w:t>
            </w:r>
          </w:p>
        </w:tc>
      </w:tr>
      <w:tr>
        <w:trPr>
          <w:trHeight w:val="20"/>
        </w:trPr>
        <w:tc>
          <w:tcPr>
            <w:tcW w:w="695" w:type="dxa"/>
            <w:tcBorders>
              <w:top w:val="nil"/>
              <w:left w:val="single" w:sz="4" w:space="0" w:color="auto"/>
              <w:bottom w:val="single" w:sz="4" w:space="0" w:color="auto"/>
              <w:right w:val="single" w:sz="4" w:space="0" w:color="auto"/>
            </w:tcBorders>
            <w:noWrap/>
            <w:vAlign w:val="center"/>
          </w:tcPr>
          <w:p>
            <w:pPr>
              <w:widowControl w:val="0"/>
              <w:jc w:val="center"/>
              <w:rPr>
                <w:sz w:val="20"/>
                <w:lang w:eastAsia="lt-LT"/>
              </w:rPr>
            </w:pPr>
            <w:r>
              <w:rPr>
                <w:sz w:val="20"/>
                <w:lang w:eastAsia="lt-LT"/>
              </w:rPr>
              <w:t>1</w:t>
            </w:r>
          </w:p>
        </w:tc>
        <w:tc>
          <w:tcPr>
            <w:tcW w:w="787" w:type="dxa"/>
            <w:tcBorders>
              <w:top w:val="nil"/>
              <w:left w:val="nil"/>
              <w:bottom w:val="single" w:sz="4" w:space="0" w:color="auto"/>
              <w:right w:val="single" w:sz="4" w:space="0" w:color="auto"/>
            </w:tcBorders>
            <w:noWrap/>
            <w:vAlign w:val="center"/>
          </w:tcPr>
          <w:p>
            <w:pPr>
              <w:widowControl w:val="0"/>
              <w:jc w:val="center"/>
              <w:rPr>
                <w:sz w:val="20"/>
                <w:lang w:eastAsia="lt-LT"/>
              </w:rPr>
            </w:pPr>
            <w:r>
              <w:rPr>
                <w:sz w:val="20"/>
                <w:lang w:eastAsia="lt-LT"/>
              </w:rPr>
              <w:t>2</w:t>
            </w:r>
          </w:p>
        </w:tc>
        <w:tc>
          <w:tcPr>
            <w:tcW w:w="2908" w:type="dxa"/>
            <w:tcBorders>
              <w:top w:val="nil"/>
              <w:left w:val="nil"/>
              <w:bottom w:val="single" w:sz="4" w:space="0" w:color="auto"/>
              <w:right w:val="single" w:sz="4" w:space="0" w:color="auto"/>
            </w:tcBorders>
            <w:noWrap/>
            <w:vAlign w:val="center"/>
          </w:tcPr>
          <w:p>
            <w:pPr>
              <w:widowControl w:val="0"/>
              <w:jc w:val="center"/>
              <w:rPr>
                <w:iCs/>
                <w:sz w:val="20"/>
                <w:lang w:eastAsia="lt-LT"/>
              </w:rPr>
            </w:pPr>
            <w:r>
              <w:rPr>
                <w:iCs/>
                <w:sz w:val="20"/>
                <w:lang w:eastAsia="lt-LT"/>
              </w:rPr>
              <w:t>3</w:t>
            </w:r>
          </w:p>
        </w:tc>
        <w:tc>
          <w:tcPr>
            <w:tcW w:w="1293" w:type="dxa"/>
            <w:tcBorders>
              <w:top w:val="nil"/>
              <w:left w:val="nil"/>
              <w:bottom w:val="single" w:sz="4" w:space="0" w:color="auto"/>
              <w:right w:val="single" w:sz="4" w:space="0" w:color="auto"/>
            </w:tcBorders>
            <w:noWrap/>
            <w:vAlign w:val="center"/>
          </w:tcPr>
          <w:p>
            <w:pPr>
              <w:widowControl w:val="0"/>
              <w:jc w:val="center"/>
              <w:rPr>
                <w:sz w:val="20"/>
                <w:lang w:eastAsia="lt-LT"/>
              </w:rPr>
            </w:pPr>
            <w:r>
              <w:rPr>
                <w:sz w:val="20"/>
                <w:lang w:eastAsia="lt-LT"/>
              </w:rPr>
              <w:t>4</w:t>
            </w:r>
          </w:p>
        </w:tc>
        <w:tc>
          <w:tcPr>
            <w:tcW w:w="788" w:type="dxa"/>
            <w:tcBorders>
              <w:top w:val="nil"/>
              <w:left w:val="nil"/>
              <w:bottom w:val="single" w:sz="4" w:space="0" w:color="auto"/>
              <w:right w:val="single" w:sz="4" w:space="0" w:color="auto"/>
            </w:tcBorders>
            <w:noWrap/>
            <w:vAlign w:val="center"/>
          </w:tcPr>
          <w:p>
            <w:pPr>
              <w:widowControl w:val="0"/>
              <w:ind w:firstLine="60"/>
              <w:jc w:val="center"/>
              <w:rPr>
                <w:sz w:val="20"/>
                <w:lang w:eastAsia="lt-LT"/>
              </w:rPr>
            </w:pPr>
            <w:r>
              <w:rPr>
                <w:sz w:val="20"/>
                <w:lang w:eastAsia="lt-LT"/>
              </w:rPr>
              <w:t>5</w:t>
            </w:r>
          </w:p>
        </w:tc>
        <w:tc>
          <w:tcPr>
            <w:tcW w:w="788" w:type="dxa"/>
            <w:tcBorders>
              <w:top w:val="nil"/>
              <w:left w:val="nil"/>
              <w:bottom w:val="single" w:sz="4" w:space="0" w:color="auto"/>
              <w:right w:val="single" w:sz="4" w:space="0" w:color="auto"/>
            </w:tcBorders>
            <w:noWrap/>
            <w:vAlign w:val="center"/>
          </w:tcPr>
          <w:p>
            <w:pPr>
              <w:widowControl w:val="0"/>
              <w:ind w:firstLine="60"/>
              <w:jc w:val="center"/>
              <w:rPr>
                <w:sz w:val="20"/>
                <w:lang w:eastAsia="lt-LT"/>
              </w:rPr>
            </w:pPr>
            <w:r>
              <w:rPr>
                <w:sz w:val="20"/>
                <w:lang w:eastAsia="lt-LT"/>
              </w:rPr>
              <w:t>6</w:t>
            </w:r>
          </w:p>
        </w:tc>
        <w:tc>
          <w:tcPr>
            <w:tcW w:w="788" w:type="dxa"/>
            <w:tcBorders>
              <w:top w:val="nil"/>
              <w:left w:val="nil"/>
              <w:bottom w:val="single" w:sz="4" w:space="0" w:color="auto"/>
              <w:right w:val="single" w:sz="4" w:space="0" w:color="auto"/>
            </w:tcBorders>
            <w:noWrap/>
            <w:vAlign w:val="center"/>
          </w:tcPr>
          <w:p>
            <w:pPr>
              <w:widowControl w:val="0"/>
              <w:ind w:firstLine="60"/>
              <w:jc w:val="center"/>
              <w:rPr>
                <w:sz w:val="20"/>
                <w:lang w:eastAsia="lt-LT"/>
              </w:rPr>
            </w:pPr>
            <w:r>
              <w:rPr>
                <w:sz w:val="20"/>
                <w:lang w:eastAsia="lt-LT"/>
              </w:rPr>
              <w:t>7</w:t>
            </w:r>
          </w:p>
        </w:tc>
        <w:tc>
          <w:tcPr>
            <w:tcW w:w="695" w:type="dxa"/>
            <w:tcBorders>
              <w:top w:val="nil"/>
              <w:left w:val="nil"/>
              <w:bottom w:val="single" w:sz="4" w:space="0" w:color="auto"/>
              <w:right w:val="single" w:sz="4" w:space="0" w:color="auto"/>
            </w:tcBorders>
            <w:noWrap/>
            <w:vAlign w:val="center"/>
          </w:tcPr>
          <w:p>
            <w:pPr>
              <w:widowControl w:val="0"/>
              <w:ind w:firstLine="60"/>
              <w:jc w:val="center"/>
              <w:rPr>
                <w:sz w:val="20"/>
                <w:lang w:eastAsia="lt-LT"/>
              </w:rPr>
            </w:pPr>
            <w:r>
              <w:rPr>
                <w:sz w:val="20"/>
                <w:lang w:eastAsia="lt-LT"/>
              </w:rPr>
              <w:t>8</w:t>
            </w:r>
          </w:p>
        </w:tc>
        <w:tc>
          <w:tcPr>
            <w:tcW w:w="755" w:type="dxa"/>
            <w:tcBorders>
              <w:top w:val="nil"/>
              <w:left w:val="nil"/>
              <w:bottom w:val="single" w:sz="4" w:space="0" w:color="auto"/>
              <w:right w:val="single" w:sz="4" w:space="0" w:color="auto"/>
            </w:tcBorders>
            <w:noWrap/>
            <w:vAlign w:val="center"/>
          </w:tcPr>
          <w:p>
            <w:pPr>
              <w:widowControl w:val="0"/>
              <w:ind w:firstLine="60"/>
              <w:jc w:val="center"/>
              <w:rPr>
                <w:sz w:val="20"/>
                <w:lang w:eastAsia="lt-LT"/>
              </w:rPr>
            </w:pPr>
            <w:r>
              <w:rPr>
                <w:sz w:val="20"/>
                <w:lang w:eastAsia="lt-LT"/>
              </w:rPr>
              <w:t>9</w:t>
            </w: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I.1*</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Q</w:t>
            </w:r>
            <w:r>
              <w:rPr>
                <w:sz w:val="20"/>
                <w:vertAlign w:val="subscript"/>
                <w:lang w:eastAsia="lt-LT"/>
              </w:rPr>
              <w:t>t</w:t>
            </w:r>
          </w:p>
        </w:tc>
        <w:tc>
          <w:tcPr>
            <w:tcW w:w="2908" w:type="dxa"/>
            <w:tcBorders>
              <w:top w:val="nil"/>
              <w:left w:val="nil"/>
              <w:bottom w:val="single" w:sz="4" w:space="0" w:color="auto"/>
              <w:right w:val="single" w:sz="4" w:space="0" w:color="auto"/>
            </w:tcBorders>
            <w:noWrap/>
            <w:vAlign w:val="center"/>
          </w:tcPr>
          <w:p>
            <w:pPr>
              <w:widowControl w:val="0"/>
              <w:jc w:val="both"/>
              <w:rPr>
                <w:iCs/>
                <w:sz w:val="20"/>
                <w:lang w:eastAsia="lt-LT"/>
              </w:rPr>
            </w:pPr>
            <w:r>
              <w:rPr>
                <w:iCs/>
                <w:sz w:val="20"/>
                <w:lang w:eastAsia="lt-LT"/>
              </w:rPr>
              <w:t>Prognozuotas bazinis gamtinių dujų kiekis (vartojimo pajėgumai)</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MWh, (MWh/ parą, metus)</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I.2**</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Q</w:t>
            </w:r>
            <w:r>
              <w:rPr>
                <w:sz w:val="20"/>
                <w:vertAlign w:val="subscript"/>
                <w:lang w:eastAsia="lt-LT"/>
              </w:rPr>
              <w:t>tf</w:t>
            </w:r>
          </w:p>
        </w:tc>
        <w:tc>
          <w:tcPr>
            <w:tcW w:w="2908" w:type="dxa"/>
            <w:tcBorders>
              <w:top w:val="nil"/>
              <w:left w:val="nil"/>
              <w:bottom w:val="single" w:sz="4" w:space="0" w:color="auto"/>
              <w:right w:val="single" w:sz="4" w:space="0" w:color="auto"/>
            </w:tcBorders>
            <w:noWrap/>
            <w:vAlign w:val="center"/>
          </w:tcPr>
          <w:p>
            <w:pPr>
              <w:widowControl w:val="0"/>
              <w:jc w:val="both"/>
              <w:rPr>
                <w:iCs/>
                <w:sz w:val="20"/>
                <w:lang w:eastAsia="lt-LT"/>
              </w:rPr>
            </w:pPr>
            <w:r>
              <w:rPr>
                <w:iCs/>
                <w:sz w:val="20"/>
                <w:lang w:eastAsia="lt-LT"/>
              </w:rPr>
              <w:t>Faktinis t+1ųjų metų gamtinių dujų kiekis (vartojimo pajėgumai)</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MWh, (MWh/ parą, metus)</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II.1*</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I</w:t>
            </w:r>
            <w:r>
              <w:rPr>
                <w:sz w:val="20"/>
                <w:vertAlign w:val="subscript"/>
                <w:lang w:eastAsia="lt-LT"/>
              </w:rPr>
              <w:t>t</w:t>
            </w:r>
          </w:p>
        </w:tc>
        <w:tc>
          <w:tcPr>
            <w:tcW w:w="2908" w:type="dxa"/>
            <w:tcBorders>
              <w:top w:val="nil"/>
              <w:left w:val="nil"/>
              <w:bottom w:val="single" w:sz="4" w:space="0" w:color="auto"/>
              <w:right w:val="single" w:sz="4" w:space="0" w:color="auto"/>
            </w:tcBorders>
            <w:noWrap/>
            <w:vAlign w:val="center"/>
          </w:tcPr>
          <w:p>
            <w:pPr>
              <w:widowControl w:val="0"/>
              <w:jc w:val="both"/>
              <w:rPr>
                <w:sz w:val="20"/>
                <w:lang w:eastAsia="lt-LT"/>
              </w:rPr>
            </w:pPr>
            <w:r>
              <w:rPr>
                <w:sz w:val="20"/>
                <w:lang w:eastAsia="lt-LT"/>
              </w:rPr>
              <w:t>VKI pokytis, įvertinus efektyvumą, naudojamas ateinančių metų OPEX</w:t>
            </w:r>
            <w:r>
              <w:rPr>
                <w:sz w:val="20"/>
                <w:vertAlign w:val="subscript"/>
                <w:lang w:eastAsia="lt-LT"/>
              </w:rPr>
              <w:t>(be DU)</w:t>
            </w:r>
            <w:r>
              <w:rPr>
                <w:sz w:val="20"/>
                <w:lang w:eastAsia="lt-LT"/>
              </w:rPr>
              <w:t xml:space="preserve"> skaičiavimui</w:t>
            </w:r>
          </w:p>
        </w:tc>
        <w:tc>
          <w:tcPr>
            <w:tcW w:w="1293"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r>
              <w:rPr>
                <w:sz w:val="20"/>
                <w:lang w:eastAsia="lt-LT"/>
              </w:rPr>
              <w:t>proc.</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single" w:sz="4" w:space="0" w:color="auto"/>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II.2*</w:t>
            </w:r>
          </w:p>
        </w:tc>
        <w:tc>
          <w:tcPr>
            <w:tcW w:w="787" w:type="dxa"/>
            <w:tcBorders>
              <w:top w:val="single" w:sz="4" w:space="0" w:color="auto"/>
              <w:bottom w:val="single" w:sz="4" w:space="0" w:color="auto"/>
            </w:tcBorders>
            <w:noWrap/>
            <w:vAlign w:val="bottom"/>
          </w:tcPr>
          <w:p>
            <w:pPr>
              <w:widowControl w:val="0"/>
              <w:jc w:val="both"/>
              <w:rPr>
                <w:sz w:val="20"/>
                <w:lang w:eastAsia="lt-LT"/>
              </w:rPr>
            </w:pPr>
            <w:r>
              <w:rPr>
                <w:iCs/>
                <w:sz w:val="20"/>
                <w:lang w:eastAsia="lt-LT"/>
              </w:rPr>
              <w:t xml:space="preserve">OPEX </w:t>
            </w:r>
            <w:r>
              <w:rPr>
                <w:iCs/>
                <w:sz w:val="20"/>
                <w:vertAlign w:val="subscript"/>
                <w:lang w:eastAsia="lt-LT"/>
              </w:rPr>
              <w:t>(be DU)t</w:t>
            </w:r>
          </w:p>
        </w:tc>
        <w:tc>
          <w:tcPr>
            <w:tcW w:w="2908" w:type="dxa"/>
            <w:tcBorders>
              <w:top w:val="single" w:sz="4" w:space="0" w:color="auto"/>
              <w:left w:val="single" w:sz="4" w:space="0" w:color="auto"/>
              <w:bottom w:val="single" w:sz="4" w:space="0" w:color="auto"/>
              <w:right w:val="single" w:sz="4" w:space="0" w:color="auto"/>
            </w:tcBorders>
            <w:vAlign w:val="center"/>
          </w:tcPr>
          <w:p>
            <w:pPr>
              <w:widowControl w:val="0"/>
              <w:jc w:val="both"/>
              <w:rPr>
                <w:iCs/>
                <w:sz w:val="20"/>
                <w:lang w:eastAsia="lt-LT"/>
              </w:rPr>
            </w:pPr>
            <w:r>
              <w:rPr>
                <w:iCs/>
                <w:sz w:val="20"/>
                <w:lang w:eastAsia="lt-LT"/>
              </w:rPr>
              <w:t>Nustatytas OPEX</w:t>
            </w:r>
            <w:r>
              <w:rPr>
                <w:iCs/>
                <w:sz w:val="20"/>
                <w:vertAlign w:val="subscript"/>
                <w:lang w:eastAsia="lt-LT"/>
              </w:rPr>
              <w:t>(be DU)t</w:t>
            </w:r>
          </w:p>
        </w:tc>
        <w:tc>
          <w:tcPr>
            <w:tcW w:w="1293"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Eur</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single" w:sz="4" w:space="0" w:color="auto"/>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II.3**</w:t>
            </w:r>
          </w:p>
        </w:tc>
        <w:tc>
          <w:tcPr>
            <w:tcW w:w="787" w:type="dxa"/>
            <w:tcBorders>
              <w:top w:val="single" w:sz="4" w:space="0" w:color="auto"/>
            </w:tcBorders>
            <w:noWrap/>
            <w:vAlign w:val="bottom"/>
          </w:tcPr>
          <w:p>
            <w:pPr>
              <w:widowControl w:val="0"/>
              <w:jc w:val="both"/>
              <w:rPr>
                <w:sz w:val="20"/>
                <w:lang w:eastAsia="lt-LT"/>
              </w:rPr>
            </w:pPr>
            <w:r>
              <w:rPr>
                <w:sz w:val="20"/>
                <w:lang w:eastAsia="lt-LT"/>
              </w:rPr>
              <w:t xml:space="preserve">OPEX </w:t>
            </w:r>
            <w:r>
              <w:rPr>
                <w:sz w:val="20"/>
                <w:vertAlign w:val="subscript"/>
                <w:lang w:eastAsia="lt-LT"/>
              </w:rPr>
              <w:t>(be DU)f</w:t>
            </w:r>
          </w:p>
        </w:tc>
        <w:tc>
          <w:tcPr>
            <w:tcW w:w="2908" w:type="dxa"/>
            <w:tcBorders>
              <w:top w:val="single" w:sz="4" w:space="0" w:color="auto"/>
              <w:left w:val="single" w:sz="4" w:space="0" w:color="auto"/>
              <w:bottom w:val="single" w:sz="4" w:space="0" w:color="auto"/>
              <w:right w:val="single" w:sz="4" w:space="0" w:color="auto"/>
            </w:tcBorders>
            <w:vAlign w:val="center"/>
          </w:tcPr>
          <w:p>
            <w:pPr>
              <w:widowControl w:val="0"/>
              <w:jc w:val="both"/>
              <w:rPr>
                <w:iCs/>
                <w:sz w:val="20"/>
                <w:lang w:eastAsia="lt-LT"/>
              </w:rPr>
            </w:pPr>
            <w:r>
              <w:rPr>
                <w:sz w:val="20"/>
                <w:lang w:eastAsia="lt-LT"/>
              </w:rPr>
              <w:t>Faktinis OPEX</w:t>
            </w:r>
            <w:r>
              <w:rPr>
                <w:sz w:val="20"/>
                <w:vertAlign w:val="subscript"/>
                <w:lang w:eastAsia="lt-LT"/>
              </w:rPr>
              <w:t>(be DU)f</w:t>
            </w:r>
          </w:p>
        </w:tc>
        <w:tc>
          <w:tcPr>
            <w:tcW w:w="1293"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w:t>
            </w:r>
          </w:p>
        </w:tc>
        <w:tc>
          <w:tcPr>
            <w:tcW w:w="788"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single" w:sz="4" w:space="0" w:color="auto"/>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III.1*</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ΔDU</w:t>
            </w:r>
            <w:r>
              <w:rPr>
                <w:sz w:val="20"/>
                <w:vertAlign w:val="subscript"/>
                <w:lang w:eastAsia="lt-LT"/>
              </w:rPr>
              <w:t>t</w:t>
            </w:r>
          </w:p>
        </w:tc>
        <w:tc>
          <w:tcPr>
            <w:tcW w:w="2908" w:type="dxa"/>
            <w:tcBorders>
              <w:top w:val="single" w:sz="4" w:space="0" w:color="auto"/>
              <w:left w:val="nil"/>
              <w:bottom w:val="single" w:sz="4" w:space="0" w:color="auto"/>
              <w:right w:val="single" w:sz="4" w:space="0" w:color="auto"/>
            </w:tcBorders>
            <w:noWrap/>
            <w:vAlign w:val="center"/>
          </w:tcPr>
          <w:p>
            <w:pPr>
              <w:widowControl w:val="0"/>
              <w:jc w:val="both"/>
              <w:rPr>
                <w:sz w:val="20"/>
                <w:lang w:eastAsia="lt-LT"/>
              </w:rPr>
            </w:pPr>
            <w:r>
              <w:rPr>
                <w:sz w:val="20"/>
                <w:lang w:eastAsia="lt-LT"/>
              </w:rPr>
              <w:t>Nustatytas (prognozuotas) ΔDU</w:t>
            </w:r>
            <w:r>
              <w:rPr>
                <w:sz w:val="20"/>
                <w:vertAlign w:val="subscript"/>
                <w:lang w:eastAsia="lt-LT"/>
              </w:rPr>
              <w:t xml:space="preserve">t </w:t>
            </w:r>
            <w:r>
              <w:rPr>
                <w:sz w:val="20"/>
                <w:lang w:eastAsia="lt-LT"/>
              </w:rPr>
              <w:t xml:space="preserve">įvertinus efektyvumą naudojamas ateinančių metų OPEX </w:t>
            </w:r>
            <w:r>
              <w:rPr>
                <w:sz w:val="20"/>
                <w:vertAlign w:val="subscript"/>
                <w:lang w:eastAsia="lt-LT"/>
              </w:rPr>
              <w:t>(DU)</w:t>
            </w:r>
            <w:r>
              <w:rPr>
                <w:sz w:val="20"/>
                <w:lang w:eastAsia="lt-LT"/>
              </w:rPr>
              <w:t xml:space="preserve"> nustatyti</w:t>
            </w:r>
          </w:p>
        </w:tc>
        <w:tc>
          <w:tcPr>
            <w:tcW w:w="1293"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proc.</w:t>
            </w:r>
          </w:p>
        </w:tc>
        <w:tc>
          <w:tcPr>
            <w:tcW w:w="788"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p>
        </w:tc>
        <w:tc>
          <w:tcPr>
            <w:tcW w:w="788"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p>
        </w:tc>
        <w:tc>
          <w:tcPr>
            <w:tcW w:w="788"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p>
        </w:tc>
        <w:tc>
          <w:tcPr>
            <w:tcW w:w="695"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p>
        </w:tc>
        <w:tc>
          <w:tcPr>
            <w:tcW w:w="755"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III.2*</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iCs/>
                <w:sz w:val="20"/>
                <w:lang w:eastAsia="lt-LT"/>
              </w:rPr>
              <w:t>OPEX</w:t>
            </w:r>
            <w:r>
              <w:rPr>
                <w:iCs/>
                <w:sz w:val="20"/>
                <w:vertAlign w:val="subscript"/>
                <w:lang w:eastAsia="lt-LT"/>
              </w:rPr>
              <w:t>(DU)t</w:t>
            </w:r>
          </w:p>
        </w:tc>
        <w:tc>
          <w:tcPr>
            <w:tcW w:w="2908" w:type="dxa"/>
            <w:tcBorders>
              <w:top w:val="nil"/>
              <w:left w:val="nil"/>
              <w:bottom w:val="single" w:sz="4" w:space="0" w:color="auto"/>
              <w:right w:val="single" w:sz="4" w:space="0" w:color="auto"/>
            </w:tcBorders>
            <w:noWrap/>
            <w:vAlign w:val="bottom"/>
          </w:tcPr>
          <w:p>
            <w:pPr>
              <w:widowControl w:val="0"/>
              <w:jc w:val="both"/>
              <w:rPr>
                <w:sz w:val="20"/>
                <w:lang w:eastAsia="lt-LT"/>
              </w:rPr>
            </w:pPr>
            <w:r>
              <w:rPr>
                <w:iCs/>
                <w:sz w:val="20"/>
                <w:lang w:eastAsia="lt-LT"/>
              </w:rPr>
              <w:t>Nustatytas (prognozuotas) OPEX</w:t>
            </w:r>
            <w:r>
              <w:rPr>
                <w:iCs/>
                <w:sz w:val="20"/>
                <w:vertAlign w:val="subscript"/>
                <w:lang w:eastAsia="lt-LT"/>
              </w:rPr>
              <w:t>(DU)</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Eur</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III.2**</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OPEX</w:t>
            </w:r>
            <w:r>
              <w:rPr>
                <w:sz w:val="20"/>
                <w:vertAlign w:val="subscript"/>
                <w:lang w:eastAsia="lt-LT"/>
              </w:rPr>
              <w:t>(DU)f</w:t>
            </w:r>
          </w:p>
        </w:tc>
        <w:tc>
          <w:tcPr>
            <w:tcW w:w="2908" w:type="dxa"/>
            <w:tcBorders>
              <w:top w:val="nil"/>
              <w:left w:val="nil"/>
              <w:bottom w:val="single" w:sz="4" w:space="0" w:color="auto"/>
              <w:right w:val="single" w:sz="4" w:space="0" w:color="auto"/>
            </w:tcBorders>
            <w:vAlign w:val="bottom"/>
          </w:tcPr>
          <w:p>
            <w:pPr>
              <w:widowControl w:val="0"/>
              <w:jc w:val="both"/>
              <w:rPr>
                <w:i/>
                <w:iCs/>
                <w:sz w:val="20"/>
                <w:lang w:eastAsia="lt-LT"/>
              </w:rPr>
            </w:pPr>
            <w:r>
              <w:rPr>
                <w:sz w:val="20"/>
                <w:lang w:eastAsia="lt-LT"/>
              </w:rPr>
              <w:t>Faktinis OPEX</w:t>
            </w:r>
            <w:r>
              <w:rPr>
                <w:sz w:val="20"/>
                <w:vertAlign w:val="subscript"/>
                <w:lang w:eastAsia="lt-LT"/>
              </w:rPr>
              <w:t>(DU)f</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III.4**</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ΔDU</w:t>
            </w:r>
            <w:r>
              <w:rPr>
                <w:sz w:val="20"/>
                <w:vertAlign w:val="subscript"/>
                <w:lang w:eastAsia="lt-LT"/>
              </w:rPr>
              <w:t>tf</w:t>
            </w:r>
          </w:p>
        </w:tc>
        <w:tc>
          <w:tcPr>
            <w:tcW w:w="2908" w:type="dxa"/>
            <w:tcBorders>
              <w:top w:val="nil"/>
              <w:left w:val="nil"/>
              <w:bottom w:val="single" w:sz="4" w:space="0" w:color="auto"/>
              <w:right w:val="single" w:sz="4" w:space="0" w:color="auto"/>
            </w:tcBorders>
            <w:vAlign w:val="bottom"/>
          </w:tcPr>
          <w:p>
            <w:pPr>
              <w:widowControl w:val="0"/>
              <w:jc w:val="both"/>
              <w:rPr>
                <w:i/>
                <w:iCs/>
                <w:sz w:val="20"/>
                <w:lang w:eastAsia="lt-LT"/>
              </w:rPr>
            </w:pPr>
            <w:r>
              <w:rPr>
                <w:iCs/>
                <w:sz w:val="20"/>
                <w:lang w:eastAsia="lt-LT"/>
              </w:rPr>
              <w:t xml:space="preserve">Faktinis (patikslintas) </w:t>
            </w:r>
            <w:r>
              <w:rPr>
                <w:sz w:val="20"/>
                <w:lang w:eastAsia="lt-LT"/>
              </w:rPr>
              <w:t>ΔDU</w:t>
            </w:r>
            <w:r>
              <w:rPr>
                <w:sz w:val="20"/>
                <w:vertAlign w:val="subscript"/>
                <w:lang w:eastAsia="lt-LT"/>
              </w:rPr>
              <w:t>tf</w:t>
            </w:r>
            <w:r>
              <w:rPr>
                <w:iCs/>
                <w:sz w:val="20"/>
                <w:lang w:eastAsia="lt-LT"/>
              </w:rPr>
              <w:t xml:space="preserve"> (įvertinus efektyvumą)</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proc.</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III.5**</w:t>
            </w:r>
          </w:p>
        </w:tc>
        <w:tc>
          <w:tcPr>
            <w:tcW w:w="787" w:type="dxa"/>
            <w:noWrap/>
            <w:vAlign w:val="bottom"/>
          </w:tcPr>
          <w:p>
            <w:pPr>
              <w:widowControl w:val="0"/>
              <w:jc w:val="both"/>
              <w:rPr>
                <w:sz w:val="20"/>
                <w:lang w:eastAsia="lt-LT"/>
              </w:rPr>
            </w:pPr>
            <w:r>
              <w:rPr>
                <w:sz w:val="20"/>
                <w:lang w:eastAsia="lt-LT"/>
              </w:rPr>
              <w:t>OPEX</w:t>
            </w:r>
            <w:r>
              <w:rPr>
                <w:sz w:val="20"/>
                <w:vertAlign w:val="subscript"/>
                <w:lang w:eastAsia="lt-LT"/>
              </w:rPr>
              <w:t>(DU)tf</w:t>
            </w:r>
          </w:p>
        </w:tc>
        <w:tc>
          <w:tcPr>
            <w:tcW w:w="2908" w:type="dxa"/>
            <w:tcBorders>
              <w:top w:val="nil"/>
              <w:left w:val="single" w:sz="4" w:space="0" w:color="auto"/>
              <w:bottom w:val="single" w:sz="4" w:space="0" w:color="auto"/>
              <w:right w:val="single" w:sz="4" w:space="0" w:color="auto"/>
            </w:tcBorders>
            <w:vAlign w:val="bottom"/>
          </w:tcPr>
          <w:p>
            <w:pPr>
              <w:widowControl w:val="0"/>
              <w:jc w:val="both"/>
              <w:rPr>
                <w:i/>
                <w:iCs/>
                <w:sz w:val="20"/>
                <w:lang w:eastAsia="lt-LT"/>
              </w:rPr>
            </w:pPr>
            <w:r>
              <w:rPr>
                <w:sz w:val="20"/>
                <w:lang w:eastAsia="lt-LT"/>
              </w:rPr>
              <w:t>Skaičiuotina OPEX</w:t>
            </w:r>
            <w:r>
              <w:rPr>
                <w:sz w:val="20"/>
                <w:vertAlign w:val="subscript"/>
                <w:lang w:eastAsia="lt-LT"/>
              </w:rPr>
              <w:t xml:space="preserve">(DU)tf </w:t>
            </w:r>
            <w:r>
              <w:rPr>
                <w:sz w:val="20"/>
                <w:lang w:eastAsia="lt-LT"/>
              </w:rPr>
              <w:t>reikšmė pagal faktinį (patikslintą) ΔDU</w:t>
            </w:r>
            <w:r>
              <w:rPr>
                <w:sz w:val="20"/>
                <w:vertAlign w:val="subscript"/>
                <w:lang w:eastAsia="lt-LT"/>
              </w:rPr>
              <w:t>tf</w:t>
            </w:r>
            <w:r>
              <w:rPr>
                <w:sz w:val="20"/>
                <w:lang w:eastAsia="lt-LT"/>
              </w:rPr>
              <w:t xml:space="preserve"> (įvertinus efektyvumą)</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Eur</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IV.1*</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Lt</w:t>
            </w:r>
          </w:p>
        </w:tc>
        <w:tc>
          <w:tcPr>
            <w:tcW w:w="2908"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 xml:space="preserve">Sąnaudos technologinėms reikmėms, nustatytos </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IV.2**</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Lf</w:t>
            </w:r>
          </w:p>
        </w:tc>
        <w:tc>
          <w:tcPr>
            <w:tcW w:w="2908" w:type="dxa"/>
            <w:tcBorders>
              <w:top w:val="nil"/>
              <w:left w:val="nil"/>
              <w:bottom w:val="single" w:sz="4" w:space="0" w:color="auto"/>
              <w:right w:val="single" w:sz="4" w:space="0" w:color="auto"/>
            </w:tcBorders>
            <w:vAlign w:val="bottom"/>
          </w:tcPr>
          <w:p>
            <w:pPr>
              <w:widowControl w:val="0"/>
              <w:jc w:val="both"/>
              <w:rPr>
                <w:i/>
                <w:iCs/>
                <w:sz w:val="20"/>
                <w:lang w:eastAsia="lt-LT"/>
              </w:rPr>
            </w:pPr>
            <w:r>
              <w:rPr>
                <w:sz w:val="20"/>
                <w:lang w:eastAsia="lt-LT"/>
              </w:rPr>
              <w:t>Sąnaudos technologinėms reikmėms, faktinės</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V.1*</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DAt</w:t>
            </w:r>
          </w:p>
        </w:tc>
        <w:tc>
          <w:tcPr>
            <w:tcW w:w="2908" w:type="dxa"/>
            <w:tcBorders>
              <w:top w:val="nil"/>
              <w:left w:val="nil"/>
              <w:bottom w:val="single" w:sz="4" w:space="0" w:color="auto"/>
              <w:right w:val="single" w:sz="4" w:space="0" w:color="auto"/>
            </w:tcBorders>
            <w:noWrap/>
            <w:vAlign w:val="bottom"/>
          </w:tcPr>
          <w:p>
            <w:pPr>
              <w:widowControl w:val="0"/>
              <w:jc w:val="both"/>
              <w:rPr>
                <w:iCs/>
                <w:sz w:val="20"/>
                <w:lang w:eastAsia="lt-LT"/>
              </w:rPr>
            </w:pPr>
            <w:r>
              <w:rPr>
                <w:iCs/>
                <w:sz w:val="20"/>
                <w:lang w:eastAsia="lt-LT"/>
              </w:rPr>
              <w:t>Nusidėvėjimo sąnaudos, nustatytos</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V.2**</w:t>
            </w:r>
          </w:p>
        </w:tc>
        <w:tc>
          <w:tcPr>
            <w:tcW w:w="787" w:type="dxa"/>
            <w:noWrap/>
            <w:vAlign w:val="bottom"/>
          </w:tcPr>
          <w:p>
            <w:pPr>
              <w:widowControl w:val="0"/>
              <w:jc w:val="both"/>
              <w:rPr>
                <w:sz w:val="20"/>
                <w:lang w:eastAsia="lt-LT"/>
              </w:rPr>
            </w:pPr>
            <w:r>
              <w:rPr>
                <w:sz w:val="20"/>
                <w:lang w:eastAsia="lt-LT"/>
              </w:rPr>
              <w:t>C</w:t>
            </w:r>
            <w:r>
              <w:rPr>
                <w:sz w:val="20"/>
                <w:vertAlign w:val="subscript"/>
                <w:lang w:eastAsia="lt-LT"/>
              </w:rPr>
              <w:t>DAf</w:t>
            </w:r>
          </w:p>
        </w:tc>
        <w:tc>
          <w:tcPr>
            <w:tcW w:w="2908" w:type="dxa"/>
            <w:tcBorders>
              <w:top w:val="nil"/>
              <w:left w:val="single" w:sz="4" w:space="0" w:color="auto"/>
              <w:bottom w:val="single" w:sz="4" w:space="0" w:color="auto"/>
              <w:right w:val="single" w:sz="4" w:space="0" w:color="auto"/>
            </w:tcBorders>
            <w:noWrap/>
            <w:vAlign w:val="bottom"/>
          </w:tcPr>
          <w:p>
            <w:pPr>
              <w:widowControl w:val="0"/>
              <w:jc w:val="both"/>
              <w:rPr>
                <w:i/>
                <w:iCs/>
                <w:sz w:val="20"/>
                <w:lang w:eastAsia="lt-LT"/>
              </w:rPr>
            </w:pPr>
            <w:r>
              <w:rPr>
                <w:iCs/>
                <w:sz w:val="20"/>
                <w:lang w:eastAsia="lt-LT"/>
              </w:rPr>
              <w:t>Nusidėvėjimo sąnaudos, faktinės</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VI.1*</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T</w:t>
            </w:r>
          </w:p>
        </w:tc>
        <w:tc>
          <w:tcPr>
            <w:tcW w:w="2908"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 xml:space="preserve">Mokesčių sąnaudos, nustatytos </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VI.2**</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Tf</w:t>
            </w:r>
          </w:p>
        </w:tc>
        <w:tc>
          <w:tcPr>
            <w:tcW w:w="2908" w:type="dxa"/>
            <w:tcBorders>
              <w:top w:val="nil"/>
              <w:left w:val="nil"/>
              <w:bottom w:val="single" w:sz="4" w:space="0" w:color="auto"/>
              <w:right w:val="single" w:sz="4" w:space="0" w:color="auto"/>
            </w:tcBorders>
            <w:vAlign w:val="bottom"/>
          </w:tcPr>
          <w:p>
            <w:pPr>
              <w:widowControl w:val="0"/>
              <w:jc w:val="both"/>
              <w:rPr>
                <w:i/>
                <w:iCs/>
                <w:sz w:val="20"/>
                <w:lang w:eastAsia="lt-LT"/>
              </w:rPr>
            </w:pPr>
            <w:r>
              <w:rPr>
                <w:sz w:val="20"/>
                <w:lang w:eastAsia="lt-LT"/>
              </w:rPr>
              <w:t xml:space="preserve">Mokesčių sąnaudos, faktinės </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VII.1*</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NSt</w:t>
            </w:r>
          </w:p>
        </w:tc>
        <w:tc>
          <w:tcPr>
            <w:tcW w:w="2908" w:type="dxa"/>
            <w:tcBorders>
              <w:top w:val="nil"/>
              <w:left w:val="nil"/>
              <w:bottom w:val="single" w:sz="4" w:space="0" w:color="auto"/>
              <w:right w:val="single" w:sz="4" w:space="0" w:color="auto"/>
            </w:tcBorders>
            <w:vAlign w:val="bottom"/>
          </w:tcPr>
          <w:p>
            <w:pPr>
              <w:widowControl w:val="0"/>
              <w:jc w:val="both"/>
              <w:rPr>
                <w:i/>
                <w:iCs/>
                <w:sz w:val="20"/>
                <w:lang w:eastAsia="lt-LT"/>
              </w:rPr>
            </w:pPr>
            <w:r>
              <w:rPr>
                <w:sz w:val="20"/>
                <w:lang w:eastAsia="lt-LT"/>
              </w:rPr>
              <w:t>SGD terminalo sąnaudos, numatytos ilgalaikėmis sutartimis</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VII.2**</w:t>
            </w:r>
          </w:p>
        </w:tc>
        <w:tc>
          <w:tcPr>
            <w:tcW w:w="787" w:type="dxa"/>
            <w:noWrap/>
            <w:vAlign w:val="bottom"/>
          </w:tcPr>
          <w:p>
            <w:pPr>
              <w:widowControl w:val="0"/>
              <w:jc w:val="both"/>
              <w:rPr>
                <w:sz w:val="20"/>
                <w:lang w:eastAsia="lt-LT"/>
              </w:rPr>
            </w:pPr>
            <w:r>
              <w:rPr>
                <w:sz w:val="20"/>
                <w:lang w:eastAsia="lt-LT"/>
              </w:rPr>
              <w:t>C</w:t>
            </w:r>
            <w:r>
              <w:rPr>
                <w:sz w:val="20"/>
                <w:vertAlign w:val="subscript"/>
                <w:lang w:eastAsia="lt-LT"/>
              </w:rPr>
              <w:t>NSf</w:t>
            </w:r>
          </w:p>
        </w:tc>
        <w:tc>
          <w:tcPr>
            <w:tcW w:w="2908" w:type="dxa"/>
            <w:tcBorders>
              <w:top w:val="nil"/>
              <w:left w:val="single" w:sz="4" w:space="0" w:color="auto"/>
              <w:bottom w:val="single" w:sz="4" w:space="0" w:color="auto"/>
              <w:right w:val="single" w:sz="4" w:space="0" w:color="auto"/>
            </w:tcBorders>
            <w:vAlign w:val="bottom"/>
          </w:tcPr>
          <w:p>
            <w:pPr>
              <w:widowControl w:val="0"/>
              <w:jc w:val="both"/>
              <w:rPr>
                <w:i/>
                <w:iCs/>
                <w:sz w:val="20"/>
                <w:lang w:eastAsia="lt-LT"/>
              </w:rPr>
            </w:pPr>
            <w:r>
              <w:rPr>
                <w:sz w:val="20"/>
                <w:lang w:eastAsia="lt-LT"/>
              </w:rPr>
              <w:t>SGD terminalo sąnaudos, numatytos ilgalaikėmis sutartimis, faktinės</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val="en-US" w:eastAsia="lt-LT"/>
              </w:rPr>
            </w:pPr>
            <w:r>
              <w:rPr>
                <w:sz w:val="20"/>
                <w:lang w:eastAsia="lt-LT"/>
              </w:rPr>
              <w:t>VIII.1</w:t>
            </w:r>
            <w:r>
              <w:rPr>
                <w:sz w:val="20"/>
                <w:lang w:val="en-US" w:eastAsia="lt-LT"/>
              </w:rPr>
              <w:t>*</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xt</w:t>
            </w:r>
          </w:p>
        </w:tc>
        <w:tc>
          <w:tcPr>
            <w:tcW w:w="2908" w:type="dxa"/>
            <w:tcBorders>
              <w:top w:val="nil"/>
              <w:left w:val="nil"/>
              <w:bottom w:val="single" w:sz="4" w:space="0" w:color="auto"/>
              <w:right w:val="single" w:sz="4" w:space="0" w:color="auto"/>
            </w:tcBorders>
            <w:noWrap/>
            <w:vAlign w:val="center"/>
          </w:tcPr>
          <w:p>
            <w:pPr>
              <w:widowControl w:val="0"/>
              <w:jc w:val="both"/>
              <w:rPr>
                <w:sz w:val="20"/>
                <w:lang w:eastAsia="lt-LT"/>
              </w:rPr>
            </w:pPr>
            <w:r>
              <w:rPr>
                <w:sz w:val="20"/>
                <w:lang w:eastAsia="lt-LT"/>
              </w:rPr>
              <w:t>Kiti sąnaudų / pajamų nuokrypiai</w:t>
            </w:r>
          </w:p>
        </w:tc>
        <w:tc>
          <w:tcPr>
            <w:tcW w:w="1293" w:type="dxa"/>
            <w:tcBorders>
              <w:top w:val="nil"/>
              <w:left w:val="nil"/>
              <w:bottom w:val="single" w:sz="4" w:space="0" w:color="auto"/>
              <w:right w:val="single" w:sz="4" w:space="0" w:color="auto"/>
            </w:tcBorders>
            <w:noWrap/>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VIII.2**</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xf</w:t>
            </w:r>
          </w:p>
        </w:tc>
        <w:tc>
          <w:tcPr>
            <w:tcW w:w="2908" w:type="dxa"/>
            <w:tcBorders>
              <w:top w:val="nil"/>
              <w:left w:val="nil"/>
              <w:bottom w:val="single" w:sz="4" w:space="0" w:color="auto"/>
              <w:right w:val="single" w:sz="4" w:space="0" w:color="auto"/>
            </w:tcBorders>
            <w:noWrap/>
            <w:vAlign w:val="center"/>
          </w:tcPr>
          <w:p>
            <w:pPr>
              <w:widowControl w:val="0"/>
              <w:jc w:val="both"/>
              <w:rPr>
                <w:sz w:val="20"/>
                <w:lang w:eastAsia="lt-LT"/>
              </w:rPr>
            </w:pPr>
            <w:r>
              <w:rPr>
                <w:sz w:val="20"/>
                <w:lang w:eastAsia="lt-LT"/>
              </w:rPr>
              <w:t>Kiti sąnaudų / pajamų nuokrypiai</w:t>
            </w:r>
          </w:p>
        </w:tc>
        <w:tc>
          <w:tcPr>
            <w:tcW w:w="1293" w:type="dxa"/>
            <w:tcBorders>
              <w:top w:val="nil"/>
              <w:left w:val="nil"/>
              <w:bottom w:val="single" w:sz="4" w:space="0" w:color="auto"/>
              <w:right w:val="single" w:sz="4" w:space="0" w:color="auto"/>
            </w:tcBorders>
            <w:noWrap/>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IX.1*</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L</w:t>
            </w:r>
          </w:p>
        </w:tc>
        <w:tc>
          <w:tcPr>
            <w:tcW w:w="2908" w:type="dxa"/>
            <w:tcBorders>
              <w:top w:val="nil"/>
              <w:left w:val="nil"/>
              <w:bottom w:val="single" w:sz="4" w:space="0" w:color="auto"/>
              <w:right w:val="single" w:sz="4" w:space="0" w:color="auto"/>
            </w:tcBorders>
            <w:noWrap/>
            <w:vAlign w:val="center"/>
          </w:tcPr>
          <w:p>
            <w:pPr>
              <w:widowControl w:val="0"/>
              <w:jc w:val="both"/>
              <w:rPr>
                <w:iCs/>
                <w:sz w:val="20"/>
                <w:lang w:eastAsia="lt-LT"/>
              </w:rPr>
            </w:pPr>
            <w:r>
              <w:rPr>
                <w:iCs/>
                <w:sz w:val="20"/>
                <w:lang w:eastAsia="lt-LT"/>
              </w:rPr>
              <w:t>Refinansavimo paskolos dalis</w:t>
            </w:r>
          </w:p>
        </w:tc>
        <w:tc>
          <w:tcPr>
            <w:tcW w:w="1293" w:type="dxa"/>
            <w:tcBorders>
              <w:top w:val="nil"/>
              <w:left w:val="nil"/>
              <w:bottom w:val="single" w:sz="4" w:space="0" w:color="auto"/>
              <w:right w:val="single" w:sz="4" w:space="0" w:color="auto"/>
            </w:tcBorders>
            <w:noWrap/>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X.1*</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It</w:t>
            </w:r>
          </w:p>
        </w:tc>
        <w:tc>
          <w:tcPr>
            <w:tcW w:w="2908" w:type="dxa"/>
            <w:tcBorders>
              <w:top w:val="nil"/>
              <w:left w:val="nil"/>
              <w:bottom w:val="single" w:sz="4" w:space="0" w:color="auto"/>
              <w:right w:val="single" w:sz="4" w:space="0" w:color="auto"/>
            </w:tcBorders>
            <w:noWrap/>
          </w:tcPr>
          <w:p>
            <w:pPr>
              <w:widowControl w:val="0"/>
              <w:jc w:val="both"/>
              <w:rPr>
                <w:iCs/>
                <w:sz w:val="20"/>
                <w:lang w:eastAsia="lt-LT"/>
              </w:rPr>
            </w:pPr>
            <w:r>
              <w:rPr>
                <w:iCs/>
                <w:sz w:val="20"/>
                <w:lang w:eastAsia="lt-LT"/>
              </w:rPr>
              <w:t>Paskolų palūkanos</w:t>
            </w:r>
          </w:p>
        </w:tc>
        <w:tc>
          <w:tcPr>
            <w:tcW w:w="1293" w:type="dxa"/>
            <w:tcBorders>
              <w:top w:val="nil"/>
              <w:left w:val="nil"/>
              <w:bottom w:val="single" w:sz="4" w:space="0" w:color="auto"/>
              <w:right w:val="single" w:sz="4" w:space="0" w:color="auto"/>
            </w:tcBorders>
            <w:noWrap/>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X.2**</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If</w:t>
            </w:r>
          </w:p>
        </w:tc>
        <w:tc>
          <w:tcPr>
            <w:tcW w:w="2908" w:type="dxa"/>
            <w:tcBorders>
              <w:top w:val="nil"/>
              <w:left w:val="nil"/>
              <w:bottom w:val="single" w:sz="4" w:space="0" w:color="auto"/>
              <w:right w:val="single" w:sz="4" w:space="0" w:color="auto"/>
            </w:tcBorders>
            <w:noWrap/>
          </w:tcPr>
          <w:p>
            <w:pPr>
              <w:widowControl w:val="0"/>
              <w:jc w:val="both"/>
              <w:rPr>
                <w:iCs/>
                <w:sz w:val="20"/>
                <w:lang w:eastAsia="lt-LT"/>
              </w:rPr>
            </w:pPr>
            <w:r>
              <w:rPr>
                <w:iCs/>
                <w:sz w:val="20"/>
                <w:lang w:eastAsia="lt-LT"/>
              </w:rPr>
              <w:t>Paskolų palūkanos</w:t>
            </w:r>
          </w:p>
        </w:tc>
        <w:tc>
          <w:tcPr>
            <w:tcW w:w="1293" w:type="dxa"/>
            <w:tcBorders>
              <w:top w:val="nil"/>
              <w:left w:val="nil"/>
              <w:bottom w:val="single" w:sz="4" w:space="0" w:color="auto"/>
              <w:right w:val="single" w:sz="4" w:space="0" w:color="auto"/>
            </w:tcBorders>
            <w:noWrap/>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XI.1*</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BGt</w:t>
            </w:r>
          </w:p>
        </w:tc>
        <w:tc>
          <w:tcPr>
            <w:tcW w:w="2908" w:type="dxa"/>
            <w:tcBorders>
              <w:top w:val="nil"/>
              <w:left w:val="nil"/>
              <w:bottom w:val="single" w:sz="4" w:space="0" w:color="auto"/>
              <w:right w:val="single" w:sz="4" w:space="0" w:color="auto"/>
            </w:tcBorders>
            <w:noWrap/>
          </w:tcPr>
          <w:p>
            <w:pPr>
              <w:widowControl w:val="0"/>
              <w:jc w:val="both"/>
              <w:rPr>
                <w:iCs/>
                <w:sz w:val="20"/>
                <w:lang w:eastAsia="lt-LT"/>
              </w:rPr>
            </w:pPr>
            <w:r>
              <w:rPr>
                <w:iCs/>
                <w:sz w:val="20"/>
                <w:lang w:eastAsia="lt-LT"/>
              </w:rPr>
              <w:t>Banko garantija</w:t>
            </w:r>
          </w:p>
        </w:tc>
        <w:tc>
          <w:tcPr>
            <w:tcW w:w="1293" w:type="dxa"/>
            <w:tcBorders>
              <w:top w:val="nil"/>
              <w:left w:val="nil"/>
              <w:bottom w:val="single" w:sz="4" w:space="0" w:color="auto"/>
              <w:right w:val="single" w:sz="4" w:space="0" w:color="auto"/>
            </w:tcBorders>
            <w:noWrap/>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XI.2**</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C</w:t>
            </w:r>
            <w:r>
              <w:rPr>
                <w:sz w:val="20"/>
                <w:vertAlign w:val="subscript"/>
                <w:lang w:eastAsia="lt-LT"/>
              </w:rPr>
              <w:t>BGf</w:t>
            </w:r>
          </w:p>
        </w:tc>
        <w:tc>
          <w:tcPr>
            <w:tcW w:w="2908" w:type="dxa"/>
            <w:tcBorders>
              <w:top w:val="nil"/>
              <w:left w:val="nil"/>
              <w:bottom w:val="single" w:sz="4" w:space="0" w:color="auto"/>
              <w:right w:val="single" w:sz="4" w:space="0" w:color="auto"/>
            </w:tcBorders>
            <w:noWrap/>
          </w:tcPr>
          <w:p>
            <w:pPr>
              <w:widowControl w:val="0"/>
              <w:jc w:val="both"/>
              <w:rPr>
                <w:iCs/>
                <w:sz w:val="20"/>
                <w:lang w:eastAsia="lt-LT"/>
              </w:rPr>
            </w:pPr>
            <w:r>
              <w:rPr>
                <w:iCs/>
                <w:sz w:val="20"/>
                <w:lang w:eastAsia="lt-LT"/>
              </w:rPr>
              <w:t>Banko garantija</w:t>
            </w:r>
          </w:p>
        </w:tc>
        <w:tc>
          <w:tcPr>
            <w:tcW w:w="1293" w:type="dxa"/>
            <w:tcBorders>
              <w:top w:val="nil"/>
              <w:left w:val="nil"/>
              <w:bottom w:val="single" w:sz="4" w:space="0" w:color="auto"/>
              <w:right w:val="single" w:sz="4" w:space="0" w:color="auto"/>
            </w:tcBorders>
            <w:noWrap/>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XII.1**</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P</w:t>
            </w:r>
            <w:r>
              <w:rPr>
                <w:sz w:val="20"/>
                <w:vertAlign w:val="subscript"/>
                <w:lang w:eastAsia="lt-LT"/>
              </w:rPr>
              <w:t>Qf</w:t>
            </w:r>
          </w:p>
        </w:tc>
        <w:tc>
          <w:tcPr>
            <w:tcW w:w="2908" w:type="dxa"/>
            <w:tcBorders>
              <w:top w:val="nil"/>
              <w:left w:val="nil"/>
              <w:bottom w:val="single" w:sz="4" w:space="0" w:color="auto"/>
              <w:right w:val="single" w:sz="4" w:space="0" w:color="auto"/>
            </w:tcBorders>
            <w:noWrap/>
            <w:vAlign w:val="center"/>
          </w:tcPr>
          <w:p>
            <w:pPr>
              <w:widowControl w:val="0"/>
              <w:jc w:val="both"/>
              <w:rPr>
                <w:sz w:val="20"/>
                <w:lang w:eastAsia="lt-LT"/>
              </w:rPr>
            </w:pPr>
            <w:r>
              <w:rPr>
                <w:sz w:val="20"/>
                <w:lang w:eastAsia="lt-LT"/>
              </w:rPr>
              <w:t>Pajamų nuokrypis dėl kiekio (pajėgumų) nuokrypio</w:t>
            </w:r>
          </w:p>
        </w:tc>
        <w:tc>
          <w:tcPr>
            <w:tcW w:w="1293" w:type="dxa"/>
            <w:tcBorders>
              <w:top w:val="nil"/>
              <w:left w:val="nil"/>
              <w:bottom w:val="single" w:sz="4" w:space="0" w:color="auto"/>
              <w:right w:val="single" w:sz="4" w:space="0" w:color="auto"/>
            </w:tcBorders>
            <w:noWrap/>
          </w:tcPr>
          <w:p>
            <w:pPr>
              <w:widowControl w:val="0"/>
              <w:ind w:firstLine="6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XIII.1*</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WACC</w:t>
            </w:r>
          </w:p>
        </w:tc>
        <w:tc>
          <w:tcPr>
            <w:tcW w:w="2908" w:type="dxa"/>
            <w:tcBorders>
              <w:top w:val="nil"/>
              <w:left w:val="nil"/>
              <w:bottom w:val="single" w:sz="4" w:space="0" w:color="auto"/>
              <w:right w:val="single" w:sz="4" w:space="0" w:color="auto"/>
            </w:tcBorders>
            <w:vAlign w:val="bottom"/>
          </w:tcPr>
          <w:p>
            <w:pPr>
              <w:widowControl w:val="0"/>
              <w:jc w:val="both"/>
              <w:rPr>
                <w:iCs/>
                <w:sz w:val="20"/>
                <w:lang w:eastAsia="lt-LT"/>
              </w:rPr>
            </w:pPr>
            <w:r>
              <w:rPr>
                <w:rFonts w:eastAsia="Calibri"/>
                <w:sz w:val="20"/>
                <w:lang w:eastAsia="lt-LT"/>
              </w:rPr>
              <w:t>Nustatyta investicijų grąžos norma t-aisiais metais</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proc.</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XIII.2*</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RAB</w:t>
            </w:r>
          </w:p>
        </w:tc>
        <w:tc>
          <w:tcPr>
            <w:tcW w:w="2908" w:type="dxa"/>
            <w:tcBorders>
              <w:top w:val="nil"/>
              <w:left w:val="nil"/>
              <w:bottom w:val="single" w:sz="4" w:space="0" w:color="auto"/>
              <w:right w:val="single" w:sz="4" w:space="0" w:color="auto"/>
            </w:tcBorders>
            <w:vAlign w:val="bottom"/>
          </w:tcPr>
          <w:p>
            <w:pPr>
              <w:widowControl w:val="0"/>
              <w:jc w:val="both"/>
              <w:rPr>
                <w:iCs/>
                <w:sz w:val="20"/>
                <w:lang w:eastAsia="lt-LT"/>
              </w:rPr>
            </w:pPr>
            <w:r>
              <w:rPr>
                <w:iCs/>
                <w:sz w:val="20"/>
                <w:lang w:eastAsia="lt-LT"/>
              </w:rPr>
              <w:t>Licencijuojamoje veikloje naudojamo turto vertė</w:t>
            </w:r>
          </w:p>
        </w:tc>
        <w:tc>
          <w:tcPr>
            <w:tcW w:w="1293"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Eur</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XIII.3*</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ROI</w:t>
            </w:r>
            <w:r>
              <w:rPr>
                <w:sz w:val="20"/>
                <w:vertAlign w:val="subscript"/>
                <w:lang w:eastAsia="lt-LT"/>
              </w:rPr>
              <w:t>t</w:t>
            </w:r>
          </w:p>
        </w:tc>
        <w:tc>
          <w:tcPr>
            <w:tcW w:w="2908" w:type="dxa"/>
            <w:tcBorders>
              <w:top w:val="nil"/>
              <w:left w:val="nil"/>
              <w:bottom w:val="single" w:sz="4" w:space="0" w:color="auto"/>
              <w:right w:val="single" w:sz="4" w:space="0" w:color="auto"/>
            </w:tcBorders>
            <w:vAlign w:val="bottom"/>
          </w:tcPr>
          <w:p>
            <w:pPr>
              <w:widowControl w:val="0"/>
              <w:jc w:val="both"/>
              <w:rPr>
                <w:iCs/>
                <w:sz w:val="20"/>
                <w:u w:val="single"/>
                <w:lang w:eastAsia="lt-LT"/>
              </w:rPr>
            </w:pPr>
            <w:r>
              <w:rPr>
                <w:iCs/>
                <w:sz w:val="20"/>
                <w:lang w:eastAsia="lt-LT"/>
              </w:rPr>
              <w:t>Investicijų grąža,</w:t>
            </w:r>
            <w:r>
              <w:rPr>
                <w:iCs/>
                <w:sz w:val="20"/>
                <w:u w:val="single"/>
                <w:lang w:eastAsia="lt-LT"/>
              </w:rPr>
              <w:t xml:space="preserve"> </w:t>
            </w:r>
            <w:r>
              <w:rPr>
                <w:iCs/>
                <w:sz w:val="20"/>
                <w:lang w:eastAsia="lt-LT"/>
              </w:rPr>
              <w:t>nustatyta</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XIII.4**</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ROI</w:t>
            </w:r>
            <w:r>
              <w:rPr>
                <w:sz w:val="20"/>
                <w:vertAlign w:val="subscript"/>
                <w:lang w:eastAsia="lt-LT"/>
              </w:rPr>
              <w:t>f</w:t>
            </w:r>
          </w:p>
        </w:tc>
        <w:tc>
          <w:tcPr>
            <w:tcW w:w="2908" w:type="dxa"/>
            <w:tcBorders>
              <w:top w:val="nil"/>
              <w:left w:val="nil"/>
              <w:bottom w:val="single" w:sz="4" w:space="0" w:color="auto"/>
              <w:right w:val="single" w:sz="4" w:space="0" w:color="auto"/>
            </w:tcBorders>
            <w:noWrap/>
            <w:vAlign w:val="bottom"/>
          </w:tcPr>
          <w:p>
            <w:pPr>
              <w:widowControl w:val="0"/>
              <w:jc w:val="both"/>
              <w:rPr>
                <w:iCs/>
                <w:sz w:val="20"/>
                <w:lang w:eastAsia="lt-LT"/>
              </w:rPr>
            </w:pPr>
            <w:r>
              <w:rPr>
                <w:iCs/>
                <w:sz w:val="20"/>
                <w:lang w:eastAsia="lt-LT"/>
              </w:rPr>
              <w:t>Investicijų grąža, faktinė</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XIII.5</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ROI</w:t>
            </w:r>
            <w:r>
              <w:rPr>
                <w:sz w:val="20"/>
                <w:vertAlign w:val="subscript"/>
                <w:lang w:eastAsia="lt-LT"/>
              </w:rPr>
              <w:t>(f-t)</w:t>
            </w:r>
            <w:r>
              <w:rPr>
                <w:sz w:val="20"/>
                <w:lang w:eastAsia="lt-LT"/>
              </w:rPr>
              <w:t xml:space="preserve"> </w:t>
            </w:r>
          </w:p>
        </w:tc>
        <w:tc>
          <w:tcPr>
            <w:tcW w:w="2908" w:type="dxa"/>
            <w:tcBorders>
              <w:top w:val="nil"/>
              <w:left w:val="nil"/>
              <w:bottom w:val="single" w:sz="4" w:space="0" w:color="auto"/>
              <w:right w:val="single" w:sz="4" w:space="0" w:color="auto"/>
            </w:tcBorders>
            <w:noWrap/>
            <w:vAlign w:val="bottom"/>
          </w:tcPr>
          <w:p>
            <w:pPr>
              <w:widowControl w:val="0"/>
              <w:jc w:val="both"/>
              <w:rPr>
                <w:iCs/>
                <w:sz w:val="20"/>
                <w:lang w:eastAsia="lt-LT"/>
              </w:rPr>
            </w:pPr>
            <w:r>
              <w:rPr>
                <w:iCs/>
                <w:sz w:val="20"/>
                <w:lang w:eastAsia="lt-LT"/>
              </w:rPr>
              <w:t>Investicijų grąžos skirtumas</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XIV.1*</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S</w:t>
            </w:r>
            <w:r>
              <w:rPr>
                <w:sz w:val="20"/>
                <w:vertAlign w:val="subscript"/>
                <w:lang w:eastAsia="lt-LT"/>
              </w:rPr>
              <w:t>t</w:t>
            </w:r>
            <w:r>
              <w:rPr>
                <w:sz w:val="20"/>
                <w:lang w:eastAsia="lt-LT"/>
              </w:rPr>
              <w:t>+ROI</w:t>
            </w:r>
            <w:r>
              <w:rPr>
                <w:sz w:val="20"/>
                <w:vertAlign w:val="subscript"/>
                <w:lang w:eastAsia="lt-LT"/>
              </w:rPr>
              <w:t>t</w:t>
            </w:r>
          </w:p>
        </w:tc>
        <w:tc>
          <w:tcPr>
            <w:tcW w:w="2908" w:type="dxa"/>
            <w:tcBorders>
              <w:top w:val="nil"/>
              <w:left w:val="nil"/>
              <w:bottom w:val="single" w:sz="4" w:space="0" w:color="auto"/>
              <w:right w:val="single" w:sz="4" w:space="0" w:color="auto"/>
            </w:tcBorders>
            <w:noWrap/>
            <w:vAlign w:val="bottom"/>
          </w:tcPr>
          <w:p>
            <w:pPr>
              <w:widowControl w:val="0"/>
              <w:jc w:val="both"/>
              <w:rPr>
                <w:iCs/>
                <w:sz w:val="20"/>
                <w:lang w:eastAsia="lt-LT"/>
              </w:rPr>
            </w:pPr>
            <w:r>
              <w:rPr>
                <w:iCs/>
                <w:sz w:val="20"/>
                <w:lang w:eastAsia="lt-LT"/>
              </w:rPr>
              <w:t>Pajamų lygis, nustatytas</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XIV.2**</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S</w:t>
            </w:r>
            <w:r>
              <w:rPr>
                <w:sz w:val="20"/>
                <w:vertAlign w:val="subscript"/>
                <w:lang w:eastAsia="lt-LT"/>
              </w:rPr>
              <w:t>f</w:t>
            </w:r>
            <w:r>
              <w:rPr>
                <w:sz w:val="20"/>
                <w:lang w:eastAsia="lt-LT"/>
              </w:rPr>
              <w:t>+ROI</w:t>
            </w:r>
            <w:r>
              <w:rPr>
                <w:sz w:val="20"/>
                <w:vertAlign w:val="subscript"/>
                <w:lang w:eastAsia="lt-LT"/>
              </w:rPr>
              <w:t>f</w:t>
            </w:r>
          </w:p>
        </w:tc>
        <w:tc>
          <w:tcPr>
            <w:tcW w:w="2908" w:type="dxa"/>
            <w:tcBorders>
              <w:top w:val="nil"/>
              <w:left w:val="nil"/>
              <w:bottom w:val="single" w:sz="4" w:space="0" w:color="auto"/>
              <w:right w:val="single" w:sz="4" w:space="0" w:color="auto"/>
            </w:tcBorders>
            <w:noWrap/>
            <w:vAlign w:val="center"/>
          </w:tcPr>
          <w:p>
            <w:pPr>
              <w:widowControl w:val="0"/>
              <w:jc w:val="both"/>
              <w:rPr>
                <w:sz w:val="20"/>
                <w:lang w:eastAsia="lt-LT"/>
              </w:rPr>
            </w:pPr>
            <w:r>
              <w:rPr>
                <w:iCs/>
                <w:sz w:val="20"/>
                <w:lang w:eastAsia="lt-LT"/>
              </w:rPr>
              <w:t>Pajamų lygis, faktinis</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XV.1*</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OPEX</w:t>
            </w:r>
            <w:r>
              <w:rPr>
                <w:sz w:val="20"/>
                <w:vertAlign w:val="subscript"/>
                <w:lang w:eastAsia="lt-LT"/>
              </w:rPr>
              <w:t>nust.</w:t>
            </w:r>
          </w:p>
        </w:tc>
        <w:tc>
          <w:tcPr>
            <w:tcW w:w="2908" w:type="dxa"/>
            <w:tcBorders>
              <w:top w:val="nil"/>
              <w:left w:val="nil"/>
              <w:bottom w:val="single" w:sz="4" w:space="0" w:color="auto"/>
              <w:right w:val="single" w:sz="4" w:space="0" w:color="auto"/>
            </w:tcBorders>
            <w:noWrap/>
            <w:vAlign w:val="center"/>
          </w:tcPr>
          <w:p>
            <w:pPr>
              <w:widowControl w:val="0"/>
              <w:jc w:val="center"/>
              <w:rPr>
                <w:sz w:val="20"/>
                <w:lang w:eastAsia="lt-LT"/>
              </w:rPr>
            </w:pPr>
            <w:r>
              <w:rPr>
                <w:iCs/>
                <w:sz w:val="20"/>
                <w:lang w:eastAsia="lt-LT"/>
              </w:rPr>
              <w:t>OPEX</w:t>
            </w:r>
            <w:r>
              <w:rPr>
                <w:iCs/>
                <w:sz w:val="20"/>
                <w:vertAlign w:val="subscript"/>
                <w:lang w:eastAsia="lt-LT"/>
              </w:rPr>
              <w:t>(be DU)t</w:t>
            </w:r>
            <w:r>
              <w:rPr>
                <w:sz w:val="20"/>
                <w:lang w:eastAsia="lt-LT"/>
              </w:rPr>
              <w:t xml:space="preserve"> +</w:t>
            </w:r>
            <w:r>
              <w:rPr>
                <w:iCs/>
                <w:sz w:val="20"/>
                <w:lang w:eastAsia="lt-LT"/>
              </w:rPr>
              <w:t xml:space="preserve"> OPEX</w:t>
            </w:r>
            <w:r>
              <w:rPr>
                <w:iCs/>
                <w:sz w:val="20"/>
                <w:vertAlign w:val="subscript"/>
                <w:lang w:eastAsia="lt-LT"/>
              </w:rPr>
              <w:t>(DU)t</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XV.2**</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 xml:space="preserve">OPEX </w:t>
            </w:r>
            <w:r>
              <w:rPr>
                <w:sz w:val="20"/>
                <w:vertAlign w:val="subscript"/>
                <w:lang w:eastAsia="lt-LT"/>
              </w:rPr>
              <w:t>fakt</w:t>
            </w:r>
          </w:p>
        </w:tc>
        <w:tc>
          <w:tcPr>
            <w:tcW w:w="2908" w:type="dxa"/>
            <w:tcBorders>
              <w:top w:val="nil"/>
              <w:left w:val="nil"/>
              <w:bottom w:val="single" w:sz="4" w:space="0" w:color="auto"/>
              <w:right w:val="single" w:sz="4" w:space="0" w:color="auto"/>
            </w:tcBorders>
            <w:noWrap/>
            <w:vAlign w:val="bottom"/>
          </w:tcPr>
          <w:p>
            <w:pPr>
              <w:widowControl w:val="0"/>
              <w:jc w:val="center"/>
              <w:rPr>
                <w:i/>
                <w:iCs/>
                <w:sz w:val="20"/>
                <w:lang w:eastAsia="lt-LT"/>
              </w:rPr>
            </w:pPr>
            <w:r>
              <w:rPr>
                <w:iCs/>
                <w:sz w:val="20"/>
                <w:lang w:eastAsia="lt-LT"/>
              </w:rPr>
              <w:t>OPEX</w:t>
            </w:r>
            <w:r>
              <w:rPr>
                <w:iCs/>
                <w:sz w:val="20"/>
                <w:vertAlign w:val="subscript"/>
                <w:lang w:eastAsia="lt-LT"/>
              </w:rPr>
              <w:t>(be DU)f</w:t>
            </w:r>
            <w:r>
              <w:rPr>
                <w:sz w:val="20"/>
                <w:lang w:eastAsia="lt-LT"/>
              </w:rPr>
              <w:t xml:space="preserve"> +</w:t>
            </w:r>
            <w:r>
              <w:rPr>
                <w:iCs/>
                <w:sz w:val="20"/>
                <w:lang w:eastAsia="lt-LT"/>
              </w:rPr>
              <w:t xml:space="preserve"> OPEX</w:t>
            </w:r>
            <w:r>
              <w:rPr>
                <w:iCs/>
                <w:sz w:val="20"/>
                <w:vertAlign w:val="subscript"/>
                <w:lang w:eastAsia="lt-LT"/>
              </w:rPr>
              <w:t>(DU)f</w:t>
            </w:r>
            <w:r>
              <w:rPr>
                <w:sz w:val="20"/>
                <w:lang w:eastAsia="lt-LT"/>
              </w:rPr>
              <w:t xml:space="preserve"> </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nil"/>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XV.3***</w:t>
            </w:r>
          </w:p>
        </w:tc>
        <w:tc>
          <w:tcPr>
            <w:tcW w:w="787" w:type="dxa"/>
            <w:tcBorders>
              <w:top w:val="nil"/>
              <w:left w:val="nil"/>
              <w:bottom w:val="single" w:sz="4" w:space="0" w:color="auto"/>
              <w:right w:val="single" w:sz="4" w:space="0" w:color="auto"/>
            </w:tcBorders>
            <w:noWrap/>
            <w:vAlign w:val="bottom"/>
          </w:tcPr>
          <w:p>
            <w:pPr>
              <w:widowControl w:val="0"/>
              <w:jc w:val="both"/>
              <w:rPr>
                <w:sz w:val="20"/>
                <w:lang w:eastAsia="lt-LT"/>
              </w:rPr>
            </w:pPr>
            <w:r>
              <w:rPr>
                <w:sz w:val="20"/>
                <w:lang w:eastAsia="lt-LT"/>
              </w:rPr>
              <w:t>G</w:t>
            </w:r>
            <w:r>
              <w:rPr>
                <w:sz w:val="20"/>
                <w:vertAlign w:val="subscript"/>
                <w:lang w:eastAsia="lt-LT"/>
              </w:rPr>
              <w:t xml:space="preserve">1+2, </w:t>
            </w:r>
            <w:r>
              <w:rPr>
                <w:sz w:val="20"/>
                <w:lang w:eastAsia="lt-LT"/>
              </w:rPr>
              <w:t>G</w:t>
            </w:r>
            <w:r>
              <w:rPr>
                <w:sz w:val="20"/>
                <w:vertAlign w:val="subscript"/>
                <w:lang w:eastAsia="lt-LT"/>
              </w:rPr>
              <w:t>3–5</w:t>
            </w:r>
          </w:p>
        </w:tc>
        <w:tc>
          <w:tcPr>
            <w:tcW w:w="2908" w:type="dxa"/>
            <w:tcBorders>
              <w:top w:val="nil"/>
              <w:left w:val="nil"/>
              <w:bottom w:val="single" w:sz="4" w:space="0" w:color="auto"/>
              <w:right w:val="single" w:sz="4" w:space="0" w:color="auto"/>
            </w:tcBorders>
            <w:noWrap/>
            <w:vAlign w:val="bottom"/>
          </w:tcPr>
          <w:p>
            <w:pPr>
              <w:widowControl w:val="0"/>
              <w:jc w:val="both"/>
              <w:rPr>
                <w:iCs/>
                <w:sz w:val="20"/>
                <w:lang w:eastAsia="lt-LT"/>
              </w:rPr>
            </w:pPr>
            <w:r>
              <w:rPr>
                <w:sz w:val="20"/>
                <w:lang w:eastAsia="lt-LT"/>
              </w:rPr>
              <w:t>OPEX</w:t>
            </w:r>
            <w:r>
              <w:rPr>
                <w:sz w:val="20"/>
                <w:vertAlign w:val="subscript"/>
                <w:lang w:eastAsia="lt-LT"/>
              </w:rPr>
              <w:t>nustatyt</w:t>
            </w:r>
            <w:r>
              <w:rPr>
                <w:sz w:val="20"/>
                <w:lang w:eastAsia="lt-LT"/>
              </w:rPr>
              <w:t>.</w:t>
            </w:r>
            <w:r>
              <w:rPr>
                <w:sz w:val="20"/>
                <w:u w:val="single"/>
                <w:lang w:eastAsia="lt-LT"/>
              </w:rPr>
              <w:t xml:space="preserve"> – </w:t>
            </w:r>
            <w:r>
              <w:rPr>
                <w:sz w:val="20"/>
                <w:lang w:eastAsia="lt-LT"/>
              </w:rPr>
              <w:t xml:space="preserve">OPEX </w:t>
            </w:r>
            <w:r>
              <w:rPr>
                <w:sz w:val="20"/>
                <w:vertAlign w:val="subscript"/>
                <w:lang w:eastAsia="lt-LT"/>
              </w:rPr>
              <w:t>faktinis</w:t>
            </w:r>
          </w:p>
        </w:tc>
        <w:tc>
          <w:tcPr>
            <w:tcW w:w="1293" w:type="dxa"/>
            <w:tcBorders>
              <w:top w:val="nil"/>
              <w:left w:val="nil"/>
              <w:bottom w:val="single" w:sz="4" w:space="0" w:color="auto"/>
              <w:right w:val="single" w:sz="4" w:space="0" w:color="auto"/>
            </w:tcBorders>
            <w:noWrap/>
          </w:tcPr>
          <w:p>
            <w:pPr>
              <w:widowControl w:val="0"/>
              <w:jc w:val="both"/>
              <w:rPr>
                <w:sz w:val="20"/>
                <w:lang w:eastAsia="lt-LT"/>
              </w:rPr>
            </w:pPr>
            <w:r>
              <w:rPr>
                <w:sz w:val="20"/>
                <w:lang w:eastAsia="lt-LT"/>
              </w:rPr>
              <w:t>„-“</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r>
              <w:rPr>
                <w:sz w:val="20"/>
                <w:lang w:eastAsia="lt-LT"/>
              </w:rPr>
              <w:t>x</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r>
              <w:rPr>
                <w:sz w:val="20"/>
                <w:lang w:eastAsia="lt-LT"/>
              </w:rPr>
              <w:t>x</w:t>
            </w:r>
          </w:p>
        </w:tc>
        <w:tc>
          <w:tcPr>
            <w:tcW w:w="788"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r>
              <w:rPr>
                <w:sz w:val="20"/>
                <w:lang w:eastAsia="lt-LT"/>
              </w:rPr>
              <w:t>x</w:t>
            </w:r>
          </w:p>
        </w:tc>
        <w:tc>
          <w:tcPr>
            <w:tcW w:w="755" w:type="dxa"/>
            <w:tcBorders>
              <w:top w:val="nil"/>
              <w:left w:val="nil"/>
              <w:bottom w:val="single" w:sz="4" w:space="0" w:color="auto"/>
              <w:right w:val="single" w:sz="4" w:space="0" w:color="auto"/>
            </w:tcBorders>
            <w:noWrap/>
            <w:vAlign w:val="bottom"/>
          </w:tcPr>
          <w:p>
            <w:pPr>
              <w:widowControl w:val="0"/>
              <w:ind w:firstLine="60"/>
              <w:jc w:val="both"/>
              <w:rPr>
                <w:sz w:val="20"/>
                <w:lang w:eastAsia="lt-LT"/>
              </w:rPr>
            </w:pPr>
          </w:p>
        </w:tc>
      </w:tr>
      <w:tr>
        <w:trPr>
          <w:trHeight w:val="20"/>
        </w:trPr>
        <w:tc>
          <w:tcPr>
            <w:tcW w:w="695" w:type="dxa"/>
            <w:tcBorders>
              <w:top w:val="single" w:sz="4" w:space="0" w:color="auto"/>
              <w:left w:val="single" w:sz="4" w:space="0" w:color="auto"/>
              <w:bottom w:val="single" w:sz="4" w:space="0" w:color="auto"/>
              <w:right w:val="single" w:sz="4" w:space="0" w:color="auto"/>
            </w:tcBorders>
            <w:noWrap/>
            <w:vAlign w:val="bottom"/>
          </w:tcPr>
          <w:p>
            <w:pPr>
              <w:widowControl w:val="0"/>
              <w:jc w:val="both"/>
              <w:rPr>
                <w:sz w:val="20"/>
                <w:lang w:eastAsia="lt-LT"/>
              </w:rPr>
            </w:pPr>
            <w:r>
              <w:rPr>
                <w:sz w:val="20"/>
                <w:lang w:eastAsia="lt-LT"/>
              </w:rPr>
              <w:t>XV.4***</w:t>
            </w:r>
          </w:p>
        </w:tc>
        <w:tc>
          <w:tcPr>
            <w:tcW w:w="787"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p>
        </w:tc>
        <w:tc>
          <w:tcPr>
            <w:tcW w:w="2908"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rFonts w:eastAsia="Calibri"/>
                <w:sz w:val="20"/>
                <w:lang w:eastAsia="lt-LT"/>
              </w:rPr>
              <w:t xml:space="preserve">Dydis, kuriuo mažinama leistinų pajamų riba </w:t>
            </w:r>
          </w:p>
        </w:tc>
        <w:tc>
          <w:tcPr>
            <w:tcW w:w="1293" w:type="dxa"/>
            <w:tcBorders>
              <w:top w:val="single" w:sz="4" w:space="0" w:color="auto"/>
              <w:left w:val="nil"/>
              <w:bottom w:val="single" w:sz="4" w:space="0" w:color="auto"/>
              <w:right w:val="single" w:sz="4" w:space="0" w:color="auto"/>
            </w:tcBorders>
            <w:noWrap/>
            <w:vAlign w:val="bottom"/>
          </w:tcPr>
          <w:p>
            <w:pPr>
              <w:widowControl w:val="0"/>
              <w:jc w:val="both"/>
              <w:rPr>
                <w:sz w:val="20"/>
                <w:lang w:eastAsia="lt-LT"/>
              </w:rPr>
            </w:pPr>
            <w:r>
              <w:rPr>
                <w:sz w:val="20"/>
                <w:lang w:eastAsia="lt-LT"/>
              </w:rPr>
              <w:t>„-“</w:t>
            </w:r>
          </w:p>
        </w:tc>
        <w:tc>
          <w:tcPr>
            <w:tcW w:w="788"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r>
              <w:rPr>
                <w:sz w:val="20"/>
                <w:lang w:eastAsia="lt-LT"/>
              </w:rPr>
              <w:t>x</w:t>
            </w:r>
          </w:p>
        </w:tc>
        <w:tc>
          <w:tcPr>
            <w:tcW w:w="788"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r>
              <w:rPr>
                <w:sz w:val="20"/>
                <w:lang w:eastAsia="lt-LT"/>
              </w:rPr>
              <w:t>x</w:t>
            </w:r>
          </w:p>
        </w:tc>
        <w:tc>
          <w:tcPr>
            <w:tcW w:w="788"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p>
        </w:tc>
        <w:tc>
          <w:tcPr>
            <w:tcW w:w="695"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r>
              <w:rPr>
                <w:sz w:val="20"/>
                <w:lang w:eastAsia="lt-LT"/>
              </w:rPr>
              <w:t>x</w:t>
            </w:r>
          </w:p>
        </w:tc>
        <w:tc>
          <w:tcPr>
            <w:tcW w:w="755" w:type="dxa"/>
            <w:tcBorders>
              <w:top w:val="single" w:sz="4" w:space="0" w:color="auto"/>
              <w:left w:val="nil"/>
              <w:bottom w:val="single" w:sz="4" w:space="0" w:color="auto"/>
              <w:right w:val="single" w:sz="4" w:space="0" w:color="auto"/>
            </w:tcBorders>
            <w:noWrap/>
            <w:vAlign w:val="bottom"/>
          </w:tcPr>
          <w:p>
            <w:pPr>
              <w:widowControl w:val="0"/>
              <w:ind w:firstLine="60"/>
              <w:jc w:val="both"/>
              <w:rPr>
                <w:sz w:val="20"/>
                <w:lang w:eastAsia="lt-LT"/>
              </w:rPr>
            </w:pPr>
          </w:p>
        </w:tc>
      </w:tr>
    </w:tbl>
    <w:p>
      <w:pPr>
        <w:widowControl w:val="0"/>
        <w:ind w:firstLine="720"/>
        <w:jc w:val="both"/>
        <w:rPr>
          <w:szCs w:val="24"/>
          <w:lang w:eastAsia="lt-LT"/>
        </w:rPr>
      </w:pPr>
    </w:p>
    <w:p>
      <w:pPr>
        <w:widowControl w:val="0"/>
        <w:jc w:val="both"/>
        <w:rPr>
          <w:sz w:val="22"/>
          <w:szCs w:val="22"/>
          <w:lang w:eastAsia="lt-LT"/>
        </w:rPr>
      </w:pPr>
      <w:r>
        <w:rPr>
          <w:sz w:val="22"/>
          <w:szCs w:val="22"/>
          <w:lang w:eastAsia="lt-LT"/>
        </w:rPr>
        <w:t xml:space="preserve">* Pradedama pildyti antriesiems reguliavimo periodo metais pildant 5 ir 6 skiltis. Skaičiuojant sąnaudas antriesiems reguliavimo periodo metams įvertinamas skirtumas tarp praėjusio reguliavimo periodo nustatytų ir faktinių OPEX ir ROI. </w:t>
      </w:r>
    </w:p>
    <w:p>
      <w:pPr>
        <w:widowControl w:val="0"/>
        <w:jc w:val="both"/>
        <w:rPr>
          <w:sz w:val="22"/>
          <w:szCs w:val="22"/>
          <w:lang w:eastAsia="lt-LT"/>
        </w:rPr>
      </w:pPr>
      <w:r>
        <w:rPr>
          <w:sz w:val="22"/>
          <w:szCs w:val="22"/>
          <w:lang w:eastAsia="lt-LT"/>
        </w:rPr>
        <w:t xml:space="preserve">** Pradedama pildyti tretiesiems reguliavimo periodo metais turint faktinius (patikslintus) pirmųjų metų duomenis (5 skiltis) ir pildant prognozuojamus duomenis tretiesiems metams. </w:t>
      </w:r>
    </w:p>
    <w:p>
      <w:pPr>
        <w:widowControl w:val="0"/>
        <w:jc w:val="both"/>
        <w:rPr>
          <w:sz w:val="22"/>
          <w:szCs w:val="22"/>
          <w:lang w:eastAsia="lt-LT"/>
        </w:rPr>
      </w:pPr>
      <w:r>
        <w:rPr>
          <w:sz w:val="22"/>
          <w:szCs w:val="22"/>
          <w:lang w:eastAsia="lt-LT"/>
        </w:rPr>
        <w:t>*** Pradedama pildyti ketvirtiesiems reguliavimo periodo metams, turint faktinius pirmųjų ir antrųjų metų duomenis ir suskaičiavus XI.3 ir XI.4 eilučių rezultatus.</w:t>
      </w:r>
    </w:p>
    <w:p>
      <w:pPr>
        <w:widowControl w:val="0"/>
        <w:jc w:val="both"/>
        <w:rPr>
          <w:sz w:val="22"/>
          <w:szCs w:val="22"/>
          <w:lang w:eastAsia="lt-LT"/>
        </w:rPr>
      </w:pPr>
    </w:p>
    <w:tbl>
      <w:tblPr>
        <w:tblW w:w="5000" w:type="pct"/>
        <w:tblLook w:val="0000" w:firstRow="0" w:lastRow="0" w:firstColumn="0" w:lastColumn="0" w:noHBand="0" w:noVBand="0"/>
      </w:tblPr>
      <w:tblGrid>
        <w:gridCol w:w="1095"/>
        <w:gridCol w:w="1656"/>
        <w:gridCol w:w="1656"/>
        <w:gridCol w:w="1693"/>
        <w:gridCol w:w="1693"/>
        <w:gridCol w:w="2061"/>
      </w:tblGrid>
      <w:tr>
        <w:trPr>
          <w:trHeight w:val="300"/>
        </w:trPr>
        <w:tc>
          <w:tcPr>
            <w:tcW w:w="555" w:type="pct"/>
            <w:shd w:val="clear" w:color="auto" w:fill="FFFFFF"/>
            <w:noWrap/>
          </w:tcPr>
          <w:p>
            <w:pPr>
              <w:widowControl w:val="0"/>
              <w:jc w:val="both"/>
              <w:rPr>
                <w:szCs w:val="24"/>
                <w:lang w:eastAsia="lt-LT"/>
              </w:rPr>
            </w:pPr>
            <w:r>
              <w:rPr>
                <w:szCs w:val="24"/>
                <w:lang w:eastAsia="lt-LT"/>
              </w:rPr>
              <w:t>Tvirtinu:</w:t>
            </w:r>
          </w:p>
        </w:tc>
        <w:tc>
          <w:tcPr>
            <w:tcW w:w="840" w:type="pct"/>
            <w:shd w:val="clear" w:color="auto" w:fill="FFFFFF"/>
          </w:tcPr>
          <w:p>
            <w:pPr>
              <w:widowControl w:val="0"/>
              <w:jc w:val="center"/>
              <w:rPr>
                <w:szCs w:val="24"/>
                <w:lang w:eastAsia="lt-LT"/>
              </w:rPr>
            </w:pPr>
          </w:p>
        </w:tc>
        <w:tc>
          <w:tcPr>
            <w:tcW w:w="840" w:type="pct"/>
            <w:shd w:val="clear" w:color="auto" w:fill="FFFFFF"/>
          </w:tcPr>
          <w:p>
            <w:pPr>
              <w:widowControl w:val="0"/>
              <w:jc w:val="center"/>
              <w:rPr>
                <w:szCs w:val="24"/>
                <w:lang w:eastAsia="lt-LT"/>
              </w:rPr>
            </w:pPr>
          </w:p>
        </w:tc>
        <w:tc>
          <w:tcPr>
            <w:tcW w:w="859" w:type="pct"/>
            <w:shd w:val="clear" w:color="auto" w:fill="FFFFFF"/>
            <w:noWrap/>
          </w:tcPr>
          <w:p>
            <w:pPr>
              <w:widowControl w:val="0"/>
              <w:jc w:val="center"/>
              <w:rPr>
                <w:szCs w:val="24"/>
                <w:lang w:eastAsia="lt-LT"/>
              </w:rPr>
            </w:pPr>
            <w:r>
              <w:rPr>
                <w:szCs w:val="24"/>
                <w:lang w:eastAsia="lt-LT"/>
              </w:rPr>
              <w:t>____________</w:t>
            </w:r>
          </w:p>
          <w:p>
            <w:pPr>
              <w:widowControl w:val="0"/>
              <w:jc w:val="center"/>
              <w:rPr>
                <w:szCs w:val="24"/>
                <w:lang w:eastAsia="lt-LT"/>
              </w:rPr>
            </w:pPr>
            <w:r>
              <w:rPr>
                <w:szCs w:val="24"/>
                <w:lang w:eastAsia="lt-LT"/>
              </w:rPr>
              <w:t>Pareigos</w:t>
            </w:r>
          </w:p>
        </w:tc>
        <w:tc>
          <w:tcPr>
            <w:tcW w:w="859" w:type="pct"/>
            <w:shd w:val="clear" w:color="auto" w:fill="FFFFFF"/>
            <w:noWrap/>
          </w:tcPr>
          <w:p>
            <w:pPr>
              <w:widowControl w:val="0"/>
              <w:jc w:val="center"/>
              <w:rPr>
                <w:szCs w:val="24"/>
                <w:lang w:eastAsia="lt-LT"/>
              </w:rPr>
            </w:pPr>
            <w:r>
              <w:rPr>
                <w:szCs w:val="24"/>
                <w:lang w:eastAsia="lt-LT"/>
              </w:rPr>
              <w:t>____________</w:t>
            </w:r>
          </w:p>
          <w:p>
            <w:pPr>
              <w:widowControl w:val="0"/>
              <w:jc w:val="center"/>
              <w:rPr>
                <w:szCs w:val="24"/>
                <w:lang w:eastAsia="lt-LT"/>
              </w:rPr>
            </w:pPr>
            <w:r>
              <w:rPr>
                <w:szCs w:val="24"/>
                <w:lang w:eastAsia="lt-LT"/>
              </w:rPr>
              <w:t>Parašas</w:t>
            </w:r>
          </w:p>
        </w:tc>
        <w:tc>
          <w:tcPr>
            <w:tcW w:w="1046" w:type="pct"/>
            <w:shd w:val="clear" w:color="auto" w:fill="FFFFFF"/>
            <w:noWrap/>
          </w:tcPr>
          <w:p>
            <w:pPr>
              <w:widowControl w:val="0"/>
              <w:jc w:val="right"/>
              <w:rPr>
                <w:szCs w:val="24"/>
                <w:lang w:eastAsia="lt-LT"/>
              </w:rPr>
            </w:pPr>
            <w:r>
              <w:rPr>
                <w:szCs w:val="24"/>
                <w:lang w:eastAsia="lt-LT"/>
              </w:rPr>
              <w:t>_______________</w:t>
            </w:r>
          </w:p>
          <w:p>
            <w:pPr>
              <w:widowControl w:val="0"/>
              <w:jc w:val="right"/>
              <w:rPr>
                <w:szCs w:val="24"/>
                <w:lang w:eastAsia="lt-LT"/>
              </w:rPr>
            </w:pPr>
            <w:r>
              <w:rPr>
                <w:szCs w:val="24"/>
                <w:lang w:eastAsia="lt-LT"/>
              </w:rPr>
              <w:t>Vardas, pavardė“</w:t>
            </w:r>
          </w:p>
        </w:tc>
      </w:tr>
    </w:tbl>
    <w:p>
      <w:pPr>
        <w:ind w:firstLine="720"/>
        <w:jc w:val="both"/>
        <w:textAlignment w:val="center"/>
        <w:rPr>
          <w:szCs w:val="24"/>
        </w:rPr>
      </w:pPr>
    </w:p>
    <w:p>
      <w:pPr>
        <w:suppressAutoHyphens/>
        <w:ind w:firstLine="709"/>
        <w:jc w:val="both"/>
        <w:textAlignment w:val="baseline"/>
        <w:rPr>
          <w:szCs w:val="24"/>
          <w:lang w:eastAsia="lt-LT"/>
        </w:rPr>
      </w:pPr>
    </w:p>
    <w:p>
      <w:pPr>
        <w:jc w:val="both"/>
        <w:rPr>
          <w:szCs w:val="24"/>
          <w:lang w:eastAsia="lt-LT"/>
        </w:rPr>
      </w:pPr>
    </w:p>
    <w:sectPr>
      <w:headerReference w:type="default" r:id="rId11"/>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jc w:val="right"/>
      <w:rPr>
        <w:b/>
        <w:bCs/>
        <w:szCs w:val="24"/>
      </w:rPr>
    </w:pPr>
    <w:r>
      <w:rPr>
        <w:b/>
        <w:bCs/>
        <w:szCs w:val="24"/>
      </w:rPr>
      <w:t>Projektas</w:t>
    </w:r>
  </w:p>
  <w:p>
    <w:pPr>
      <w:tabs>
        <w:tab w:val="center" w:pos="4680"/>
        <w:tab w:val="right" w:pos="9360"/>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504519080">
      <w:bodyDiv w:val="1"/>
      <w:marLeft w:val="0"/>
      <w:marRight w:val="0"/>
      <w:marTop w:val="0"/>
      <w:marBottom w:val="0"/>
      <w:divBdr>
        <w:top w:val="none" w:sz="0" w:space="0" w:color="auto"/>
        <w:left w:val="none" w:sz="0" w:space="0" w:color="auto"/>
        <w:bottom w:val="none" w:sz="0" w:space="0" w:color="auto"/>
        <w:right w:val="none" w:sz="0" w:space="0" w:color="auto"/>
      </w:divBdr>
    </w:div>
    <w:div w:id="8106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4.jpeg"/>
  <Relationship Id="rId11" Type="http://schemas.openxmlformats.org/officeDocument/2006/relationships/header" Target="header1.xml"/>
  <Relationship Id="rId12" Type="http://schemas.openxmlformats.org/officeDocument/2006/relationships/fontTable" Target="fontTable.xml"/>
  <Relationship Id="rId13"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2342</Words>
  <Characters>16236</Characters>
  <Application>Microsoft Office Word</Application>
  <DocSecurity>4</DocSecurity>
  <Lines>738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2020-10-07T12:37:00Z</dcterms:created>
  <dc:creator>Lina Karpavičiūtė</dc:creator>
  <lastModifiedBy>adlibuser</lastModifiedBy>
  <dcterms:modified xsi:type="dcterms:W3CDTF">2020-10-07T12:37:00Z</dcterms:modified>
  <revision>2</revision>
</coreProperties>
</file>