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4bfbfc083343c49c0c06db70fc2a15"/>
        <w:lock w:val="sdtLocked"/>
        <w:richText/>
      </w:sdtPr>
      <w:sdtContent>
        <w:p>
          <w:pPr>
            <w:tabs>
              <w:tab w:val="center" w:pos="4819"/>
            </w:tabs>
            <w:rPr>
              <w:b/>
              <w:bCs/>
            </w:rPr>
          </w:pPr>
          <w:r>
            <w:rPr>
              <w:b/>
              <w:bCs/>
            </w:rPr>
            <w:tab/>
            <w:tab/>
            <w:tab/>
            <w:tab/>
            <w:t>Projektas</w:t>
          </w:r>
        </w:p>
        <w:sdt>
          <w:sdtPr>
            <w:alias w:val="preambule"/>
            <w:tag w:val="part_6cee3e01b9bc46919d34c077fb868b32"/>
            <w:lock w:val="sdtLocked"/>
            <w:richText/>
          </w:sdtPr>
          <w:sdtContent>
            <w:p>
              <w:pPr>
                <w:tabs>
                  <w:tab w:val="center" w:pos="4819"/>
                </w:tabs>
                <w:rPr>
                  <w:b/>
                  <w:bCs/>
                </w:rPr>
              </w:pPr>
              <w:r>
                <w:tab/>
                <w:tab/>
                <w:tab/>
                <w:tab/>
                <w:t>Nr. TSP-</w:t>
              </w:r>
            </w:p>
            <w:p>
              <w:pPr>
                <w:ind w:right="278"/>
                <w:jc w:val="center"/>
                <w:rPr>
                  <w:b/>
                  <w:lang w:eastAsia="lt-LT"/>
                </w:rPr>
              </w:pPr>
            </w:p>
          </w:sdtContent>
        </w:sdt>
        <w:sdt>
          <w:sdtPr>
            <w:alias w:val="skirsnis"/>
            <w:tag w:val="part_d15a7e9284964e298277f07cdf2044a2"/>
            <w:lock w:val="sdtLocked"/>
            <w:richText/>
          </w:sdtPr>
          <w:sdtContent>
            <w:p>
              <w:pPr>
                <w:ind w:right="278"/>
                <w:jc w:val="center"/>
                <w:rPr>
                  <w:b/>
                  <w:lang w:eastAsia="lt-LT"/>
                </w:rPr>
              </w:pPr>
              <w:sdt>
                <w:sdtPr>
                  <w:alias w:val="Pavadinimas"/>
                  <w:tag w:val="title_d15a7e9284964e298277f07cdf2044a2"/>
                  <w:lock w:val="sdtLocked"/>
                  <w:richText/>
                </w:sdtPr>
                <w:sdtContent>
                  <w:r>
                    <w:rPr>
                      <w:b/>
                      <w:lang w:eastAsia="lt-LT"/>
                    </w:rPr>
                    <w:t>RADVILIŠKIO RAJONO SAVIVALDYBĖS TARYBA</w:t>
                  </w:r>
                </w:sdtContent>
              </w:sdt>
            </w:p>
            <w:p>
              <w:pPr>
                <w:ind w:right="278"/>
                <w:jc w:val="center"/>
                <w:rPr>
                  <w:b/>
                  <w:lang w:eastAsia="lt-LT"/>
                </w:rPr>
              </w:pPr>
            </w:p>
          </w:sdtContent>
        </w:sdt>
        <w:sdt>
          <w:sdtPr>
            <w:alias w:val="skirsnis"/>
            <w:tag w:val="part_4f8b76d422604b6491b2fee663757770"/>
            <w:lock w:val="sdtLocked"/>
            <w:richText/>
          </w:sdtPr>
          <w:sdtContent>
            <w:p>
              <w:pPr>
                <w:ind w:right="278"/>
                <w:jc w:val="center"/>
                <w:rPr>
                  <w:b/>
                  <w:lang w:eastAsia="lt-LT"/>
                </w:rPr>
              </w:pPr>
              <w:sdt>
                <w:sdtPr>
                  <w:alias w:val="Pavadinimas"/>
                  <w:tag w:val="title_4f8b76d422604b6491b2fee663757770"/>
                  <w:lock w:val="sdtLocked"/>
                  <w:richText/>
                </w:sdtPr>
                <w:sdtContent>
                  <w:r>
                    <w:rPr>
                      <w:b/>
                      <w:lang w:eastAsia="lt-LT"/>
                    </w:rPr>
                    <w:t>SPRENDIMAS</w:t>
                  </w:r>
                </w:sdtContent>
              </w:sdt>
            </w:p>
            <w:p>
              <w:pPr>
                <w:ind w:right="-1"/>
                <w:jc w:val="center"/>
                <w:rPr>
                  <w:b/>
                  <w:bCs/>
                  <w:lang w:eastAsia="lt-LT"/>
                </w:rPr>
              </w:pPr>
              <w:r>
                <w:rPr>
                  <w:b/>
                  <w:lang w:eastAsia="lt-LT"/>
                </w:rPr>
                <w:t>DĖL RADVILIŠKIO RAJONO SAVIVALDYBĖS TARYBOS 2025 M. KOVO 27 D. SPRENDIMO NR. T-615 „</w:t>
              </w:r>
              <w:r>
                <w:rPr>
                  <w:b/>
                  <w:bCs/>
                  <w:lang w:eastAsia="lt-LT"/>
                </w:rPr>
                <w:t xml:space="preserve">DĖL RADVILIŠKIO RAJONO SAVIVALDYBĖS ŠVIETIMO ĮSTAIGŲ IKIMOKYKLINIO IR  PRIEŠMOKYKLINIO UGDYMO GRUPIŲ, VAIKŲ SKAIČIAUS, IKIMOKYKLINIO UGDYMO GRUPIŲ VEIKLOS TRUKMĖS, PRIEŠMOKYKLINIO UGDYMO  ORGANIZAVIMO MODELIŲ, BENDROJO  UGDYMO MOKYKLŲ KLASIŲ KOMPLEKTŲ, MOKINIŲ SKAIČIAUS 2025–2026 MOKSLO METAIS NUSTATYMO</w:t>
              </w:r>
              <w:r>
                <w:rPr>
                  <w:lang w:eastAsia="lt-LT"/>
                </w:rPr>
                <w:t>“</w:t>
              </w:r>
              <w:r>
                <w:rPr>
                  <w:b/>
                  <w:bCs/>
                  <w:lang w:eastAsia="lt-LT"/>
                </w:rPr>
                <w:t xml:space="preserve"> PAKEITIMO</w:t>
              </w:r>
            </w:p>
            <w:p>
              <w:pPr>
                <w:ind w:right="278"/>
                <w:rPr>
                  <w:b/>
                  <w:lang w:eastAsia="lt-LT"/>
                </w:rPr>
              </w:pPr>
            </w:p>
            <w:p>
              <w:pPr>
                <w:ind w:right="278"/>
                <w:jc w:val="center"/>
                <w:rPr>
                  <w:lang w:eastAsia="lt-LT"/>
                </w:rPr>
              </w:pPr>
              <w:r>
                <w:rPr>
                  <w:lang w:eastAsia="lt-LT"/>
                </w:rPr>
                <w:t xml:space="preserve">2025 m.                     d. Nr. T-</w:t>
              </w:r>
            </w:p>
            <w:p>
              <w:pPr>
                <w:ind w:right="278"/>
                <w:jc w:val="center"/>
                <w:rPr>
                  <w:lang w:eastAsia="lt-LT"/>
                </w:rPr>
              </w:pPr>
              <w:r>
                <w:rPr>
                  <w:lang w:eastAsia="lt-LT"/>
                </w:rPr>
                <w:t>Radviliškis</w:t>
              </w:r>
            </w:p>
            <w:p>
              <w:pPr>
                <w:ind w:right="278"/>
                <w:rPr>
                  <w:lang w:eastAsia="lt-LT"/>
                </w:rPr>
              </w:pPr>
            </w:p>
            <w:p>
              <w:pPr>
                <w:tabs>
                  <w:tab w:val="left" w:pos="993"/>
                </w:tabs>
                <w:ind w:right="-57" w:firstLine="851"/>
                <w:jc w:val="both"/>
                <w:rPr>
                  <w:color w:val="000000"/>
                  <w:szCs w:val="24"/>
                  <w:lang w:eastAsia="lt-LT"/>
                </w:rPr>
              </w:pPr>
              <w:r>
                <w:rPr>
                  <w:color w:val="000000"/>
                  <w:szCs w:val="24"/>
                  <w:lang w:eastAsia="lt-LT"/>
                </w:rPr>
                <w:t xml:space="preserve">Radviliškio rajono savivaldybės taryba </w:t>
              </w:r>
              <w:r>
                <w:rPr>
                  <w:color w:val="000000"/>
                  <w:spacing w:val="50"/>
                  <w:szCs w:val="24"/>
                  <w:lang w:eastAsia="lt-LT"/>
                </w:rPr>
                <w:t>nusprendži</w:t>
              </w:r>
              <w:r>
                <w:rPr>
                  <w:color w:val="000000"/>
                  <w:szCs w:val="24"/>
                  <w:lang w:eastAsia="lt-LT"/>
                </w:rPr>
                <w:t>a:</w:t>
              </w:r>
            </w:p>
            <w:p>
              <w:pPr>
                <w:ind w:right="-1" w:firstLine="851"/>
                <w:jc w:val="both"/>
                <w:rPr>
                  <w:bCs/>
                  <w:color w:val="000000"/>
                  <w:szCs w:val="24"/>
                  <w:lang w:eastAsia="lt-LT"/>
                </w:rPr>
              </w:pPr>
              <w:r>
                <w:rPr>
                  <w:color w:val="000000"/>
                  <w:szCs w:val="24"/>
                  <w:lang w:eastAsia="lt-LT"/>
                </w:rPr>
                <w:t xml:space="preserve">Pakeisti Radviliškio rajono savivaldybės tarybos 2025 m. kovo 27 d. sprendimo Nr. T-615 „Dėl </w:t>
              </w:r>
              <w:r>
                <w:rPr>
                  <w:color w:val="000000"/>
                  <w:lang w:eastAsia="lt-LT"/>
                </w:rPr>
                <w:t xml:space="preserve">Radviliškio rajono savivaldybės švietimo įstaigų ikimokyklinio ir priešmokyklinio  ugdymo grupių, vaikų skaičiaus, ikimokyklinio ugdymo grupių veiklos trukmės, priešmokyklinio ugdymo organizavimo modelių, bendrojo ugdymo įstaigų klasių komplektų, mokinių skaičius 2025–2026 mokslo metais nustatymo</w:t>
              </w:r>
              <w:r>
                <w:rPr>
                  <w:bCs/>
                  <w:color w:val="000000"/>
                  <w:szCs w:val="24"/>
                  <w:lang w:eastAsia="lt-LT"/>
                </w:rPr>
                <w:t xml:space="preserve">“ (toliau – Sprendimas) </w:t>
              </w:r>
              <w:r>
                <w:rPr>
                  <w:color w:val="000000"/>
                  <w:lang w:eastAsia="lt-LT"/>
                </w:rPr>
                <w:t>1 priedą ir išdėstyti jį nauja redakcija (pridedama).</w:t>
              </w:r>
            </w:p>
            <w:p>
              <w:pPr>
                <w:ind w:right="-1" w:firstLine="782"/>
                <w:rPr>
                  <w:color w:val="000000"/>
                  <w:szCs w:val="24"/>
                  <w:lang w:eastAsia="lt-LT"/>
                </w:rPr>
              </w:pPr>
            </w:p>
            <w:p>
              <w:pPr>
                <w:ind w:right="235"/>
                <w:rPr>
                  <w:color w:val="000000"/>
                  <w:szCs w:val="24"/>
                  <w:lang w:eastAsia="lt-LT"/>
                </w:rPr>
              </w:pPr>
            </w:p>
            <w:p>
              <w:pPr>
                <w:ind w:right="235"/>
                <w:rPr>
                  <w:b/>
                  <w:szCs w:val="24"/>
                  <w:lang w:eastAsia="lt-LT"/>
                </w:rPr>
              </w:pPr>
            </w:p>
          </w:sdtContent>
        </w:sdt>
        <w:sdt>
          <w:sdtPr>
            <w:alias w:val="signatura"/>
            <w:tag w:val="part_5a9829ad55b948858efa9c5b9449e7ef"/>
            <w:lock w:val="sdtLocked"/>
            <w:richText/>
          </w:sdtPr>
          <w:sdtContent>
            <w:p>
              <w:pPr>
                <w:ind w:right="-1080" w:firstLine="62"/>
                <w:rPr>
                  <w:szCs w:val="24"/>
                  <w:lang w:eastAsia="lt-LT"/>
                </w:rPr>
              </w:pPr>
              <w:r>
                <w:rPr>
                  <w:szCs w:val="24"/>
                  <w:lang w:eastAsia="lt-LT"/>
                </w:rPr>
                <w:t xml:space="preserve">Savivaldybės meras                                                                                </w:t>
              </w: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ind w:right="-1080"/>
                <w:rPr>
                  <w:szCs w:val="24"/>
                  <w:lang w:eastAsia="lt-LT"/>
                </w:rPr>
              </w:pPr>
            </w:p>
            <w:p>
              <w:pPr>
                <w:rPr>
                  <w:sz w:val="8"/>
                  <w:szCs w:val="8"/>
                </w:rPr>
              </w:pPr>
            </w:p>
            <w:p>
              <w:pPr>
                <w:tabs>
                  <w:tab w:val="left" w:pos="7410"/>
                </w:tabs>
                <w:ind w:right="-1151"/>
                <w:rPr>
                  <w:szCs w:val="24"/>
                  <w:lang w:eastAsia="lt-LT"/>
                </w:rPr>
                <w:sectPr>
                  <w:pgSz w:w="11906" w:h="16838"/>
                  <w:pgMar w:top="1134" w:right="567" w:bottom="1134" w:left="1701" w:header="567" w:footer="567" w:gutter="0"/>
                  <w:cols w:space="1296"/>
                  <w:docGrid w:linePitch="360"/>
                </w:sectPr>
              </w:pPr>
            </w:p>
          </w:sdtContent>
        </w:sdt>
      </w:sdtContent>
    </w:sdt>
    <w:sdt>
      <w:sdtPr>
        <w:alias w:val="1 pr."/>
        <w:tag w:val="part_b2c99893564e441ea872663c6ed1908f"/>
        <w:lock w:val="sdtLocked"/>
        <w:richText/>
      </w:sdtPr>
      <w:sdtContent>
        <w:p>
          <w:pPr>
            <w:tabs>
              <w:tab w:val="left" w:pos="7980"/>
            </w:tabs>
            <w:ind w:left="9639" w:firstLine="7980"/>
            <w:rPr>
              <w:szCs w:val="24"/>
              <w:lang w:eastAsia="lt-LT"/>
            </w:rPr>
          </w:pPr>
          <w:r>
            <w:rPr>
              <w:szCs w:val="24"/>
              <w:lang w:eastAsia="lt-LT"/>
            </w:rPr>
            <w:t>PATVIRTINTA</w:t>
          </w:r>
        </w:p>
        <w:p>
          <w:pPr>
            <w:tabs>
              <w:tab w:val="left" w:pos="7980"/>
            </w:tabs>
            <w:ind w:left="9639" w:firstLine="709"/>
            <w:rPr>
              <w:szCs w:val="24"/>
              <w:lang w:eastAsia="lt-LT"/>
            </w:rPr>
          </w:pPr>
          <w:r>
            <w:rPr>
              <w:szCs w:val="24"/>
              <w:lang w:eastAsia="lt-LT"/>
            </w:rPr>
            <w:t>Radviliškio rajono savivaldybės tarybos</w:t>
          </w:r>
        </w:p>
        <w:p>
          <w:pPr>
            <w:tabs>
              <w:tab w:val="left" w:pos="7980"/>
            </w:tabs>
            <w:ind w:left="9639" w:firstLine="709"/>
            <w:rPr>
              <w:szCs w:val="24"/>
              <w:lang w:eastAsia="lt-LT"/>
            </w:rPr>
          </w:pPr>
          <w:r>
            <w:rPr>
              <w:szCs w:val="24"/>
              <w:lang w:eastAsia="lt-LT"/>
            </w:rPr>
            <w:t>2025 m. kovo 27 d. sprendimu Nr. T-615</w:t>
          </w:r>
        </w:p>
        <w:p>
          <w:pPr>
            <w:tabs>
              <w:tab w:val="left" w:pos="7980"/>
            </w:tabs>
            <w:ind w:left="9639" w:firstLine="709"/>
            <w:rPr>
              <w:szCs w:val="24"/>
              <w:lang w:eastAsia="lt-LT"/>
            </w:rPr>
          </w:pPr>
          <w:r>
            <w:rPr>
              <w:szCs w:val="24"/>
              <w:lang w:eastAsia="lt-LT"/>
            </w:rPr>
            <w:t xml:space="preserve">(2025 m. rugsėjo       d. sprendimo Nr. T</w:t>
          </w:r>
        </w:p>
        <w:p>
          <w:pPr>
            <w:tabs>
              <w:tab w:val="left" w:pos="7980"/>
            </w:tabs>
            <w:ind w:left="9639" w:firstLine="709"/>
            <w:rPr>
              <w:szCs w:val="24"/>
              <w:lang w:eastAsia="lt-LT"/>
            </w:rPr>
          </w:pPr>
          <w:r>
            <w:rPr>
              <w:szCs w:val="24"/>
              <w:lang w:eastAsia="lt-LT"/>
            </w:rPr>
            <w:t>redakcija)</w:t>
          </w:r>
        </w:p>
        <w:p>
          <w:pPr>
            <w:tabs>
              <w:tab w:val="left" w:pos="7980"/>
            </w:tabs>
            <w:ind w:firstLine="9360"/>
            <w:rPr>
              <w:szCs w:val="24"/>
              <w:lang w:eastAsia="lt-LT"/>
            </w:rPr>
          </w:pPr>
          <w:sdt>
            <w:sdtPr>
              <w:alias w:val="Numeris"/>
              <w:tag w:val="nr_b2c99893564e441ea872663c6ed1908f"/>
              <w:lock w:val="sdtLocked"/>
              <w:richText/>
            </w:sdtPr>
            <w:sdtContent>
              <w:r>
                <w:rPr>
                  <w:szCs w:val="24"/>
                  <w:lang w:eastAsia="lt-LT"/>
                </w:rPr>
                <w:t>1</w:t>
              </w:r>
            </w:sdtContent>
          </w:sdt>
          <w:r>
            <w:rPr>
              <w:szCs w:val="24"/>
              <w:lang w:eastAsia="lt-LT"/>
            </w:rPr>
            <w:t xml:space="preserve"> priedas</w:t>
          </w:r>
        </w:p>
        <w:p>
          <w:pPr>
            <w:tabs>
              <w:tab w:val="left" w:pos="7980"/>
            </w:tabs>
            <w:ind w:left="7980"/>
            <w:jc w:val="right"/>
            <w:rPr>
              <w:szCs w:val="24"/>
              <w:lang w:eastAsia="lt-LT"/>
            </w:rPr>
          </w:pPr>
        </w:p>
        <w:p>
          <w:pPr>
            <w:ind w:right="235" w:firstLine="790"/>
            <w:jc w:val="center"/>
            <w:rPr>
              <w:b/>
              <w:szCs w:val="24"/>
              <w:lang w:eastAsia="lt-LT"/>
            </w:rPr>
          </w:pPr>
          <w:sdt>
            <w:sdtPr>
              <w:alias w:val="Pavadinimas"/>
              <w:tag w:val="title_b2c99893564e441ea872663c6ed1908f"/>
              <w:lock w:val="sdtLocked"/>
              <w:richText/>
            </w:sdtPr>
            <w:sdtContent>
              <w:r>
                <w:rPr>
                  <w:b/>
                  <w:szCs w:val="24"/>
                  <w:lang w:eastAsia="lt-LT"/>
                </w:rPr>
                <w:t>RADVILIŠKIO RAJONO SAVIVALDYBĖS ŠVIETIMO ĮSTAIGŲ IKIMOKYKLINIO IR PRIEŠMOKYKLINIO UGDYMO GRUPIŲ, VAIKŲ SKAIČIUS, IKIMOKYKLINIO UGDYMO GRUPIŲ VEIKLOS TRUKMĖ, PRIEŠMOKYKLINIO UGDYMO ORGANIZAVIMO MODELIAI 2025–2026 M. M.</w:t>
              </w:r>
            </w:sdtContent>
          </w:sdt>
        </w:p>
        <w:p>
          <w:pPr>
            <w:ind w:right="235"/>
            <w:jc w:val="right"/>
            <w:rPr>
              <w:b/>
              <w:szCs w:val="24"/>
              <w:lang w:eastAsia="lt-LT"/>
            </w:rPr>
          </w:pPr>
        </w:p>
        <w:tbl>
          <w:tblPr>
            <w:tblW w:w="15308" w:type="dxa"/>
            <w:tblLayout w:type="fixed"/>
            <w:tblLook w:val="04A0" w:firstRow="1" w:lastRow="0" w:firstColumn="1" w:lastColumn="0" w:noHBand="0" w:noVBand="1"/>
          </w:tblPr>
          <w:tblGrid>
            <w:gridCol w:w="704"/>
            <w:gridCol w:w="6280"/>
            <w:gridCol w:w="1134"/>
            <w:gridCol w:w="1984"/>
            <w:gridCol w:w="992"/>
            <w:gridCol w:w="1134"/>
            <w:gridCol w:w="1517"/>
            <w:gridCol w:w="851"/>
            <w:gridCol w:w="712"/>
          </w:tblGrid>
          <w:tr>
            <w:trPr>
              <w:trHeight w:val="300"/>
            </w:trPr>
            <w:tc>
              <w:tcPr>
                <w:tcW w:w="704"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right"/>
                  <w:rPr>
                    <w:rFonts w:ascii="Times New Roman Baltic" w:hAnsi="Times New Roman Baltic" w:cs="Times New Roman Baltic"/>
                    <w:b/>
                    <w:szCs w:val="24"/>
                    <w:lang w:eastAsia="lt-LT"/>
                  </w:rPr>
                </w:pPr>
                <w:r>
                  <w:rPr>
                    <w:rFonts w:ascii="Times New Roman Baltic" w:hAnsi="Times New Roman Baltic" w:cs="Times New Roman Baltic"/>
                    <w:b/>
                    <w:szCs w:val="24"/>
                    <w:lang w:eastAsia="lt-LT"/>
                  </w:rPr>
                  <w:t>Eil. Nr.</w:t>
                </w:r>
              </w:p>
            </w:tc>
            <w:tc>
              <w:tcPr>
                <w:tcW w:w="6280" w:type="dxa"/>
                <w:vMerge w:val="restart"/>
                <w:tcBorders>
                  <w:top w:val="single" w:sz="4" w:space="0" w:color="auto"/>
                  <w:left w:val="single" w:sz="4" w:space="0" w:color="auto"/>
                  <w:bottom w:val="single" w:sz="4" w:space="0" w:color="auto"/>
                  <w:right w:val="single" w:sz="4" w:space="0" w:color="auto"/>
                </w:tcBorders>
                <w:noWrap/>
                <w:hideMark/>
              </w:tcPr>
              <w:p>
                <w:pPr>
                  <w:spacing w:line="276" w:lineRule="auto"/>
                  <w:jc w:val="right"/>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Švietimo įstaiga</w:t>
                </w:r>
              </w:p>
            </w:tc>
            <w:tc>
              <w:tcPr>
                <w:tcW w:w="4110" w:type="dxa"/>
                <w:gridSpan w:val="3"/>
                <w:vMerge w:val="restart"/>
                <w:tcBorders>
                  <w:top w:val="single" w:sz="4" w:space="0" w:color="auto"/>
                  <w:left w:val="single" w:sz="4" w:space="0" w:color="auto"/>
                  <w:bottom w:val="single" w:sz="4" w:space="0" w:color="000000"/>
                  <w:right w:val="single" w:sz="4" w:space="0" w:color="000000"/>
                </w:tcBorders>
                <w:hideMark/>
              </w:tcPr>
              <w:p>
                <w:pPr>
                  <w:spacing w:line="276" w:lineRule="auto"/>
                  <w:jc w:val="right"/>
                  <w:rPr>
                    <w:rFonts w:ascii="Times New Roman Baltic" w:hAnsi="Times New Roman Baltic" w:cs="Times New Roman Baltic"/>
                    <w:b/>
                    <w:bCs/>
                    <w:sz w:val="20"/>
                    <w:lang w:eastAsia="lt-LT"/>
                  </w:rPr>
                </w:pPr>
                <w:r>
                  <w:rPr>
                    <w:rFonts w:ascii="Times New Roman Baltic" w:hAnsi="Times New Roman Baltic" w:cs="Times New Roman Baltic"/>
                    <w:b/>
                    <w:bCs/>
                    <w:sz w:val="20"/>
                    <w:lang w:eastAsia="lt-LT"/>
                  </w:rPr>
                  <w:t>Priešmokyklinis ugdymas (PU)</w:t>
                </w:r>
              </w:p>
            </w:tc>
            <w:tc>
              <w:tcPr>
                <w:tcW w:w="3502" w:type="dxa"/>
                <w:gridSpan w:val="3"/>
                <w:vMerge w:val="restart"/>
                <w:tcBorders>
                  <w:top w:val="single" w:sz="4" w:space="0" w:color="auto"/>
                  <w:left w:val="single" w:sz="4" w:space="0" w:color="auto"/>
                  <w:bottom w:val="single" w:sz="4" w:space="0" w:color="000000"/>
                  <w:right w:val="single" w:sz="4" w:space="0" w:color="000000"/>
                </w:tcBorders>
                <w:hideMark/>
              </w:tcPr>
              <w:p>
                <w:pPr>
                  <w:spacing w:line="276" w:lineRule="auto"/>
                  <w:jc w:val="right"/>
                  <w:rPr>
                    <w:rFonts w:ascii="Times New Roman Baltic" w:hAnsi="Times New Roman Baltic" w:cs="Times New Roman Baltic"/>
                    <w:b/>
                    <w:bCs/>
                    <w:sz w:val="20"/>
                    <w:lang w:eastAsia="lt-LT"/>
                  </w:rPr>
                </w:pPr>
                <w:r>
                  <w:rPr>
                    <w:rFonts w:ascii="Times New Roman Baltic" w:hAnsi="Times New Roman Baltic" w:cs="Times New Roman Baltic"/>
                    <w:b/>
                    <w:bCs/>
                    <w:sz w:val="20"/>
                    <w:lang w:eastAsia="lt-LT"/>
                  </w:rPr>
                  <w:t>Ankstyvasis ikimokyklinis/ikimokyklinis</w:t>
                </w:r>
              </w:p>
              <w:p>
                <w:pPr>
                  <w:spacing w:line="276" w:lineRule="auto"/>
                  <w:jc w:val="right"/>
                  <w:rPr>
                    <w:rFonts w:ascii="Times New Roman Baltic" w:hAnsi="Times New Roman Baltic" w:cs="Times New Roman Baltic"/>
                    <w:b/>
                    <w:bCs/>
                    <w:sz w:val="20"/>
                    <w:lang w:eastAsia="lt-LT"/>
                  </w:rPr>
                </w:pPr>
                <w:r>
                  <w:rPr>
                    <w:rFonts w:ascii="Times New Roman Baltic" w:hAnsi="Times New Roman Baltic" w:cs="Times New Roman Baltic"/>
                    <w:b/>
                    <w:bCs/>
                    <w:sz w:val="20"/>
                    <w:lang w:eastAsia="lt-LT"/>
                  </w:rPr>
                  <w:t>ugdymas (IU)</w:t>
                </w:r>
              </w:p>
            </w:tc>
            <w:tc>
              <w:tcPr>
                <w:tcW w:w="712" w:type="dxa"/>
                <w:noWrap/>
                <w:hideMark/>
              </w:tcPr>
              <w:p>
                <w:pPr>
                  <w:spacing w:line="276" w:lineRule="auto"/>
                  <w:jc w:val="right"/>
                  <w:rPr>
                    <w:sz w:val="22"/>
                    <w:szCs w:val="22"/>
                  </w:rPr>
                </w:pPr>
              </w:p>
            </w:tc>
          </w:tr>
          <w:tr>
            <w:trPr>
              <w:trHeight w:val="229"/>
            </w:trPr>
            <w:tc>
              <w:tcPr>
                <w:tcW w:w="704" w:type="dxa"/>
                <w:vMerge/>
                <w:tcBorders>
                  <w:top w:val="single" w:sz="4" w:space="0" w:color="auto"/>
                  <w:left w:val="single" w:sz="4" w:space="0" w:color="auto"/>
                  <w:bottom w:val="single" w:sz="4" w:space="0" w:color="auto"/>
                  <w:right w:val="single" w:sz="4" w:space="0" w:color="auto"/>
                </w:tcBorders>
                <w:vAlign w:val="center"/>
                <w:hideMark/>
              </w:tcPr>
              <w:p>
                <w:pPr>
                  <w:jc w:val="right"/>
                  <w:rPr>
                    <w:rFonts w:ascii="Times New Roman Baltic" w:hAnsi="Times New Roman Baltic" w:cs="Times New Roman Baltic"/>
                    <w:b/>
                    <w:szCs w:val="24"/>
                    <w:lang w:eastAsia="lt-LT"/>
                  </w:rPr>
                </w:pPr>
              </w:p>
            </w:tc>
            <w:tc>
              <w:tcPr>
                <w:tcW w:w="6280" w:type="dxa"/>
                <w:vMerge/>
                <w:tcBorders>
                  <w:top w:val="single" w:sz="4" w:space="0" w:color="auto"/>
                  <w:left w:val="single" w:sz="4" w:space="0" w:color="auto"/>
                  <w:bottom w:val="single" w:sz="4" w:space="0" w:color="auto"/>
                  <w:right w:val="single" w:sz="4" w:space="0" w:color="auto"/>
                </w:tcBorders>
                <w:vAlign w:val="center"/>
                <w:hideMark/>
              </w:tcPr>
              <w:p>
                <w:pPr>
                  <w:jc w:val="right"/>
                  <w:rPr>
                    <w:rFonts w:ascii="Times New Roman Baltic" w:hAnsi="Times New Roman Baltic" w:cs="Times New Roman Baltic"/>
                    <w:b/>
                    <w:sz w:val="20"/>
                    <w:lang w:eastAsia="lt-LT"/>
                  </w:rPr>
                </w:pPr>
              </w:p>
            </w:tc>
            <w:tc>
              <w:tcPr>
                <w:tcW w:w="4110" w:type="dxa"/>
                <w:gridSpan w:val="3"/>
                <w:vMerge/>
                <w:tcBorders>
                  <w:top w:val="single" w:sz="4" w:space="0" w:color="auto"/>
                  <w:left w:val="single" w:sz="4" w:space="0" w:color="auto"/>
                  <w:bottom w:val="single" w:sz="4" w:space="0" w:color="000000"/>
                  <w:right w:val="single" w:sz="4" w:space="0" w:color="000000"/>
                </w:tcBorders>
                <w:vAlign w:val="center"/>
                <w:hideMark/>
              </w:tcPr>
              <w:p>
                <w:pPr>
                  <w:jc w:val="right"/>
                  <w:rPr>
                    <w:rFonts w:ascii="Times New Roman Baltic" w:hAnsi="Times New Roman Baltic" w:cs="Times New Roman Baltic"/>
                    <w:b/>
                    <w:bCs/>
                    <w:sz w:val="20"/>
                    <w:lang w:eastAsia="lt-LT"/>
                  </w:rPr>
                </w:pPr>
              </w:p>
            </w:tc>
            <w:tc>
              <w:tcPr>
                <w:tcW w:w="3502" w:type="dxa"/>
                <w:gridSpan w:val="3"/>
                <w:vMerge/>
                <w:tcBorders>
                  <w:top w:val="single" w:sz="4" w:space="0" w:color="auto"/>
                  <w:left w:val="single" w:sz="4" w:space="0" w:color="auto"/>
                  <w:bottom w:val="single" w:sz="4" w:space="0" w:color="000000"/>
                  <w:right w:val="single" w:sz="4" w:space="0" w:color="000000"/>
                </w:tcBorders>
                <w:vAlign w:val="center"/>
                <w:hideMark/>
              </w:tcPr>
              <w:p>
                <w:pPr>
                  <w:jc w:val="right"/>
                  <w:rPr>
                    <w:rFonts w:ascii="Times New Roman Baltic" w:hAnsi="Times New Roman Baltic" w:cs="Times New Roman Baltic"/>
                    <w:b/>
                    <w:bCs/>
                    <w:sz w:val="20"/>
                    <w:lang w:eastAsia="lt-LT"/>
                  </w:rPr>
                </w:pPr>
              </w:p>
            </w:tc>
            <w:tc>
              <w:tcPr>
                <w:tcW w:w="712" w:type="dxa"/>
                <w:noWrap/>
                <w:hideMark/>
              </w:tcPr>
              <w:p>
                <w:pPr>
                  <w:spacing w:line="276" w:lineRule="auto"/>
                  <w:jc w:val="right"/>
                  <w:rPr>
                    <w:sz w:val="22"/>
                    <w:szCs w:val="22"/>
                  </w:rPr>
                </w:pPr>
              </w:p>
            </w:tc>
          </w:tr>
          <w:tr>
            <w:trPr>
              <w:trHeight w:val="3122"/>
            </w:trPr>
            <w:tc>
              <w:tcPr>
                <w:tcW w:w="704" w:type="dxa"/>
                <w:vMerge/>
                <w:tcBorders>
                  <w:top w:val="single" w:sz="4" w:space="0" w:color="auto"/>
                  <w:left w:val="single" w:sz="4" w:space="0" w:color="auto"/>
                  <w:bottom w:val="single" w:sz="4" w:space="0" w:color="auto"/>
                  <w:right w:val="single" w:sz="4" w:space="0" w:color="auto"/>
                </w:tcBorders>
                <w:vAlign w:val="center"/>
                <w:hideMark/>
              </w:tcPr>
              <w:p>
                <w:pPr>
                  <w:jc w:val="right"/>
                  <w:rPr>
                    <w:rFonts w:ascii="Times New Roman Baltic" w:hAnsi="Times New Roman Baltic" w:cs="Times New Roman Baltic"/>
                    <w:b/>
                    <w:szCs w:val="24"/>
                    <w:lang w:eastAsia="lt-LT"/>
                  </w:rPr>
                </w:pPr>
              </w:p>
            </w:tc>
            <w:tc>
              <w:tcPr>
                <w:tcW w:w="6280" w:type="dxa"/>
                <w:vMerge/>
                <w:tcBorders>
                  <w:top w:val="single" w:sz="4" w:space="0" w:color="auto"/>
                  <w:left w:val="single" w:sz="4" w:space="0" w:color="auto"/>
                  <w:bottom w:val="single" w:sz="4" w:space="0" w:color="auto"/>
                  <w:right w:val="single" w:sz="4" w:space="0" w:color="auto"/>
                </w:tcBorders>
                <w:vAlign w:val="center"/>
                <w:hideMark/>
              </w:tcPr>
              <w:p>
                <w:pPr>
                  <w:jc w:val="right"/>
                  <w:rPr>
                    <w:rFonts w:ascii="Times New Roman Baltic" w:hAnsi="Times New Roman Baltic" w:cs="Times New Roman Baltic"/>
                    <w:b/>
                    <w:sz w:val="20"/>
                    <w:lang w:eastAsia="lt-LT"/>
                  </w:rPr>
                </w:pPr>
              </w:p>
            </w:tc>
            <w:tc>
              <w:tcPr>
                <w:tcW w:w="1134" w:type="dxa"/>
                <w:tcBorders>
                  <w:top w:val="nil"/>
                  <w:left w:val="nil"/>
                  <w:bottom w:val="single" w:sz="4" w:space="0" w:color="auto"/>
                  <w:right w:val="single" w:sz="4" w:space="0" w:color="auto"/>
                </w:tcBorders>
                <w:noWrap/>
                <w:textDirection w:val="btLr"/>
                <w:hideMark/>
              </w:tcPr>
              <w:p>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Grupių skaičius</w:t>
                </w:r>
              </w:p>
            </w:tc>
            <w:tc>
              <w:tcPr>
                <w:tcW w:w="1984" w:type="dxa"/>
                <w:tcBorders>
                  <w:top w:val="nil"/>
                  <w:left w:val="nil"/>
                  <w:bottom w:val="single" w:sz="4" w:space="0" w:color="auto"/>
                  <w:right w:val="single" w:sz="4" w:space="0" w:color="auto"/>
                </w:tcBorders>
                <w:noWrap/>
                <w:textDirection w:val="btLr"/>
                <w:hideMark/>
              </w:tcPr>
              <w:p>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Grupių modeliai</w:t>
                </w:r>
              </w:p>
            </w:tc>
            <w:tc>
              <w:tcPr>
                <w:tcW w:w="992" w:type="dxa"/>
                <w:tcBorders>
                  <w:top w:val="nil"/>
                  <w:left w:val="nil"/>
                  <w:bottom w:val="single" w:sz="4" w:space="0" w:color="auto"/>
                  <w:right w:val="single" w:sz="4" w:space="0" w:color="auto"/>
                </w:tcBorders>
                <w:noWrap/>
                <w:textDirection w:val="btLr"/>
                <w:hideMark/>
              </w:tcPr>
              <w:p>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 xml:space="preserve">Didžiausias leistinas vaikų skaičius  grupėse</w:t>
                </w:r>
              </w:p>
            </w:tc>
            <w:tc>
              <w:tcPr>
                <w:tcW w:w="1134" w:type="dxa"/>
                <w:tcBorders>
                  <w:top w:val="nil"/>
                  <w:left w:val="nil"/>
                  <w:bottom w:val="single" w:sz="4" w:space="0" w:color="auto"/>
                  <w:right w:val="single" w:sz="4" w:space="0" w:color="auto"/>
                </w:tcBorders>
                <w:textDirection w:val="btLr"/>
                <w:hideMark/>
              </w:tcPr>
              <w:p>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Grupių skaičius</w:t>
                </w:r>
              </w:p>
            </w:tc>
            <w:tc>
              <w:tcPr>
                <w:tcW w:w="1517" w:type="dxa"/>
                <w:tcBorders>
                  <w:top w:val="nil"/>
                  <w:left w:val="nil"/>
                  <w:bottom w:val="single" w:sz="4" w:space="0" w:color="auto"/>
                  <w:right w:val="single" w:sz="4" w:space="0" w:color="auto"/>
                </w:tcBorders>
                <w:textDirection w:val="btLr"/>
                <w:hideMark/>
              </w:tcPr>
              <w:p>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Grupių modeliai</w:t>
                </w:r>
              </w:p>
            </w:tc>
            <w:tc>
              <w:tcPr>
                <w:tcW w:w="851" w:type="dxa"/>
                <w:tcBorders>
                  <w:top w:val="nil"/>
                  <w:left w:val="nil"/>
                  <w:bottom w:val="single" w:sz="4" w:space="0" w:color="auto"/>
                  <w:right w:val="single" w:sz="4" w:space="0" w:color="auto"/>
                </w:tcBorders>
                <w:textDirection w:val="btLr"/>
                <w:hideMark/>
              </w:tcPr>
              <w:p>
                <w:pPr>
                  <w:spacing w:line="276" w:lineRule="auto"/>
                  <w:jc w:val="center"/>
                  <w:rPr>
                    <w:rFonts w:ascii="Times New Roman Baltic" w:hAnsi="Times New Roman Baltic" w:cs="Times New Roman Baltic"/>
                    <w:b/>
                    <w:sz w:val="20"/>
                    <w:lang w:eastAsia="lt-LT"/>
                  </w:rPr>
                </w:pPr>
                <w:r>
                  <w:rPr>
                    <w:rFonts w:ascii="Times New Roman Baltic" w:hAnsi="Times New Roman Baltic" w:cs="Times New Roman Baltic"/>
                    <w:b/>
                    <w:sz w:val="20"/>
                    <w:lang w:eastAsia="lt-LT"/>
                  </w:rPr>
                  <w:t xml:space="preserve">Didžiausias leistinas vaikų skaičius  grupėse</w:t>
                </w: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Grinkiškio Jono Poderio pagrindinė mokykla</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0</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712" w:type="dxa"/>
                <w:noWrap/>
                <w:hideMark/>
              </w:tcPr>
              <w:p>
                <w:pPr>
                  <w:spacing w:line="276" w:lineRule="auto"/>
                  <w:jc w:val="right"/>
                  <w:rPr>
                    <w:sz w:val="22"/>
                    <w:szCs w:val="22"/>
                  </w:rPr>
                </w:pPr>
              </w:p>
            </w:tc>
          </w:tr>
          <w:tr>
            <w:trPr>
              <w:trHeight w:val="283"/>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1.1</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Grinkiškio pagrindinės mokyklos Pašušvio ikimokyklinio ugdymo skyrius</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 / 1</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VI / XI</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15 / 20</w:t>
                </w: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2</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Sidabravo pagrindinė mokykla</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w:t>
                </w:r>
              </w:p>
            </w:tc>
            <w:tc>
              <w:tcPr>
                <w:tcW w:w="1517" w:type="dxa"/>
                <w:tcBorders>
                  <w:top w:val="nil"/>
                  <w:left w:val="nil"/>
                  <w:bottom w:val="single" w:sz="4" w:space="0" w:color="auto"/>
                  <w:right w:val="single" w:sz="4" w:space="0" w:color="auto"/>
                </w:tcBorders>
                <w:shd w:val="clear" w:color="auto" w:fill="FFFFFF"/>
              </w:tcPr>
              <w:p>
                <w:pPr>
                  <w:tabs>
                    <w:tab w:val="left" w:pos="375"/>
                    <w:tab w:val="center" w:pos="741"/>
                  </w:tabs>
                  <w:spacing w:line="276" w:lineRule="auto"/>
                  <w:ind w:firstLine="375"/>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ab/>
                  <w:t>XII / V</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15 / 20</w:t>
                </w: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3</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 xml:space="preserve">Radviliškio r. Šiaulėnų Marcelino Šikšnio gimnazija </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XIV</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712" w:type="dxa"/>
                <w:noWrap/>
                <w:hideMark/>
              </w:tcPr>
              <w:p>
                <w:pPr>
                  <w:spacing w:line="276" w:lineRule="auto"/>
                  <w:jc w:val="right"/>
                  <w:rPr>
                    <w:sz w:val="22"/>
                    <w:szCs w:val="22"/>
                  </w:rPr>
                </w:pPr>
              </w:p>
            </w:tc>
          </w:tr>
          <w:tr>
            <w:trPr>
              <w:trHeight w:val="445"/>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4</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Alksniupių pagrindinė mokykla</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2</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III</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16 / 20</w:t>
                </w:r>
              </w:p>
            </w:tc>
            <w:tc>
              <w:tcPr>
                <w:tcW w:w="712" w:type="dxa"/>
                <w:noWrap/>
                <w:hideMark/>
              </w:tcPr>
              <w:p>
                <w:pPr>
                  <w:spacing w:line="276" w:lineRule="auto"/>
                  <w:jc w:val="right"/>
                  <w:rPr>
                    <w:sz w:val="22"/>
                    <w:szCs w:val="22"/>
                  </w:rPr>
                </w:pPr>
              </w:p>
            </w:tc>
          </w:tr>
          <w:tr>
            <w:trPr>
              <w:trHeight w:val="344"/>
            </w:trPr>
            <w:tc>
              <w:tcPr>
                <w:tcW w:w="704" w:type="dxa"/>
                <w:tcBorders>
                  <w:top w:val="single" w:sz="4" w:space="0" w:color="auto"/>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5</w:t>
                </w:r>
              </w:p>
            </w:tc>
            <w:tc>
              <w:tcPr>
                <w:tcW w:w="6280" w:type="dxa"/>
                <w:tcBorders>
                  <w:top w:val="single" w:sz="4" w:space="0" w:color="auto"/>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Baisogalos gimnazijos Pociūnėlių skyrius</w:t>
                </w:r>
              </w:p>
            </w:tc>
            <w:tc>
              <w:tcPr>
                <w:tcW w:w="1134" w:type="dxa"/>
                <w:tcBorders>
                  <w:top w:val="single" w:sz="4" w:space="0" w:color="auto"/>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single" w:sz="4" w:space="0" w:color="auto"/>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II</w:t>
                </w:r>
              </w:p>
            </w:tc>
            <w:tc>
              <w:tcPr>
                <w:tcW w:w="992" w:type="dxa"/>
                <w:tcBorders>
                  <w:top w:val="single" w:sz="4" w:space="0" w:color="auto"/>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single" w:sz="4" w:space="0" w:color="auto"/>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517" w:type="dxa"/>
                <w:tcBorders>
                  <w:top w:val="single" w:sz="4" w:space="0" w:color="auto"/>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851" w:type="dxa"/>
                <w:tcBorders>
                  <w:top w:val="single" w:sz="4" w:space="0" w:color="auto"/>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16</w:t>
                </w: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6</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Gražinos pagrindinė mokykla</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3</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XV(2), XVII</w:t>
                </w: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60</w:t>
                </w: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7</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Vinco Kudirkos progimnazija</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3</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XIII</w:t>
                </w: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60</w:t>
                </w: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712" w:type="dxa"/>
                <w:noWrap/>
                <w:hideMark/>
              </w:tcPr>
              <w:p>
                <w:pPr>
                  <w:spacing w:line="276" w:lineRule="auto"/>
                  <w:jc w:val="right"/>
                  <w:rPr>
                    <w:sz w:val="22"/>
                    <w:szCs w:val="22"/>
                  </w:rPr>
                </w:pPr>
              </w:p>
            </w:tc>
          </w:tr>
          <w:tr>
            <w:trPr>
              <w:trHeight w:val="525"/>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7.1 </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Vinco Kudirkos progimnazijos Aukštelkų ikimokyklinio ir pradinio ugdymo skyrius</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XVI</w:t>
                </w: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16</w:t>
                </w: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8</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highlight w:val="green"/>
                    <w:lang w:eastAsia="lt-LT"/>
                  </w:rPr>
                </w:pPr>
                <w:r>
                  <w:rPr>
                    <w:rFonts w:ascii="Times New Roman Baltic" w:hAnsi="Times New Roman Baltic" w:cs="Times New Roman Baltic"/>
                    <w:color w:val="000000"/>
                    <w:sz w:val="20"/>
                    <w:lang w:eastAsia="lt-LT"/>
                  </w:rPr>
                  <w:t>Radviliškio Vaižganto progimnazija</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2</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XVII</w:t>
                </w: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40</w:t>
                </w: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9</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Baisogalos mokykla-darželis</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XV</w:t>
                </w: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nil"/>
                  <w:left w:val="nil"/>
                  <w:bottom w:val="single" w:sz="4" w:space="0" w:color="auto"/>
                  <w:right w:val="single" w:sz="4" w:space="0" w:color="auto"/>
                </w:tcBorders>
                <w:shd w:val="clear" w:color="auto" w:fill="FFFFFF"/>
              </w:tcPr>
              <w:p>
                <w:pPr>
                  <w:spacing w:line="276" w:lineRule="auto"/>
                  <w:ind w:firstLine="53"/>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 / 3</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XII(2) / XII(2), XIII (1)</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27 / 60</w:t>
                </w:r>
              </w:p>
            </w:tc>
            <w:tc>
              <w:tcPr>
                <w:tcW w:w="712" w:type="dxa"/>
                <w:noWrap/>
                <w:hideMark/>
              </w:tcPr>
              <w:p>
                <w:pPr>
                  <w:spacing w:line="276" w:lineRule="auto"/>
                  <w:jc w:val="right"/>
                  <w:rPr>
                    <w:sz w:val="22"/>
                    <w:szCs w:val="22"/>
                  </w:rPr>
                </w:pPr>
              </w:p>
            </w:tc>
          </w:tr>
          <w:tr>
            <w:trPr>
              <w:trHeight w:val="525"/>
            </w:trPr>
            <w:tc>
              <w:tcPr>
                <w:tcW w:w="704" w:type="dxa"/>
                <w:tcBorders>
                  <w:top w:val="nil"/>
                  <w:left w:val="single" w:sz="4" w:space="0" w:color="auto"/>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9.1</w:t>
                </w:r>
              </w:p>
            </w:tc>
            <w:tc>
              <w:tcPr>
                <w:tcW w:w="6280"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sz w:val="20"/>
                    <w:lang w:eastAsia="lt-LT"/>
                  </w:rPr>
                  <w:t>Radviliškio r. Baisogalos mokyklos-darželio Pakiršinio ikimokyklinio ir pradinio ugdymo skyrius</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II</w:t>
                </w: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20</w:t>
                </w: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0 / 1</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16</w:t>
                </w:r>
              </w:p>
            </w:tc>
            <w:tc>
              <w:tcPr>
                <w:tcW w:w="712" w:type="dxa"/>
                <w:noWrap/>
                <w:hideMark/>
              </w:tcPr>
              <w:p>
                <w:pPr>
                  <w:spacing w:line="276" w:lineRule="auto"/>
                  <w:jc w:val="right"/>
                  <w:rPr>
                    <w:sz w:val="22"/>
                    <w:szCs w:val="22"/>
                  </w:rPr>
                </w:pPr>
              </w:p>
            </w:tc>
          </w:tr>
          <w:tr>
            <w:trPr>
              <w:trHeight w:val="51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10</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Šeduvos lopšelis-darželis</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3</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VII(2), IX(1)</w:t>
                </w: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40/20</w:t>
                </w:r>
              </w:p>
            </w:tc>
            <w:tc>
              <w:tcPr>
                <w:tcW w:w="1134" w:type="dxa"/>
                <w:tcBorders>
                  <w:top w:val="nil"/>
                  <w:left w:val="nil"/>
                  <w:bottom w:val="single" w:sz="4" w:space="0" w:color="auto"/>
                  <w:right w:val="single" w:sz="4" w:space="0" w:color="auto"/>
                </w:tcBorders>
                <w:shd w:val="clear" w:color="auto" w:fill="FFFFFF"/>
              </w:tcPr>
              <w:p>
                <w:pPr>
                  <w:spacing w:line="276" w:lineRule="auto"/>
                  <w:ind w:firstLine="53"/>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3 / 5</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VI(3) / XII(2),VI(3)</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40 / 100</w:t>
                </w: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themeFill="background1"/>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11</w:t>
                </w:r>
              </w:p>
            </w:tc>
            <w:tc>
              <w:tcPr>
                <w:tcW w:w="6280" w:type="dxa"/>
                <w:tcBorders>
                  <w:top w:val="nil"/>
                  <w:left w:val="nil"/>
                  <w:bottom w:val="single" w:sz="4" w:space="0" w:color="auto"/>
                  <w:right w:val="single" w:sz="4" w:space="0" w:color="auto"/>
                </w:tcBorders>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lopšelis-darželis „Žvaigždutė“</w:t>
                </w:r>
              </w:p>
            </w:tc>
            <w:tc>
              <w:tcPr>
                <w:tcW w:w="1134"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hideMark/>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3 / 9</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45 / 180</w:t>
                </w:r>
              </w:p>
            </w:tc>
            <w:tc>
              <w:tcPr>
                <w:tcW w:w="712" w:type="dxa"/>
                <w:noWrap/>
                <w:hideMark/>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12</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lopšelis-darželis „Kregždutė“</w:t>
                </w:r>
              </w:p>
            </w:tc>
            <w:tc>
              <w:tcPr>
                <w:tcW w:w="113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w:t>
                </w:r>
              </w:p>
            </w:tc>
            <w:tc>
              <w:tcPr>
                <w:tcW w:w="1984"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XXVIII (1gr.)</w:t>
                </w:r>
              </w:p>
            </w:tc>
            <w:tc>
              <w:tcPr>
                <w:tcW w:w="992" w:type="dxa"/>
                <w:tcBorders>
                  <w:top w:val="nil"/>
                  <w:left w:val="nil"/>
                  <w:bottom w:val="single" w:sz="4" w:space="0" w:color="auto"/>
                  <w:right w:val="single" w:sz="4" w:space="0" w:color="auto"/>
                </w:tcBorders>
                <w:shd w:val="clear" w:color="auto" w:fill="FFFFFF"/>
                <w:noWrap/>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10</w:t>
                </w: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3 / 5</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 xml:space="preserve">XII(3) /  XII(3), XXI(1), XXVII(1)</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40 / 80</w:t>
                </w:r>
              </w:p>
            </w:tc>
            <w:tc>
              <w:tcPr>
                <w:tcW w:w="712" w:type="dxa"/>
                <w:noWrap/>
                <w:hideMark/>
              </w:tcPr>
              <w:p>
                <w:pPr>
                  <w:spacing w:line="276" w:lineRule="auto"/>
                  <w:jc w:val="right"/>
                  <w:rPr>
                    <w:sz w:val="22"/>
                    <w:szCs w:val="22"/>
                  </w:rPr>
                </w:pPr>
              </w:p>
            </w:tc>
          </w:tr>
          <w:tr>
            <w:trPr>
              <w:trHeight w:val="475"/>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13</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lopšelis-darželis „Eglutė“</w:t>
                </w:r>
              </w:p>
            </w:tc>
            <w:tc>
              <w:tcPr>
                <w:tcW w:w="1134" w:type="dxa"/>
                <w:tcBorders>
                  <w:top w:val="nil"/>
                  <w:left w:val="nil"/>
                  <w:bottom w:val="single" w:sz="4" w:space="0" w:color="auto"/>
                  <w:right w:val="single" w:sz="4" w:space="0" w:color="auto"/>
                </w:tcBorders>
                <w:shd w:val="clear" w:color="auto" w:fill="FFFFFF"/>
                <w:noWrap/>
              </w:tcPr>
              <w:p>
                <w:pPr>
                  <w:spacing w:line="276" w:lineRule="auto"/>
                  <w:ind w:firstLine="53"/>
                  <w:jc w:val="right"/>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tcPr>
              <w:p>
                <w:pPr>
                  <w:spacing w:line="276" w:lineRule="auto"/>
                  <w:ind w:firstLine="53"/>
                  <w:jc w:val="right"/>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tcPr>
              <w:p>
                <w:pPr>
                  <w:spacing w:line="276" w:lineRule="auto"/>
                  <w:ind w:firstLine="53"/>
                  <w:jc w:val="right"/>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5 / 6</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69 / 120</w:t>
                </w:r>
              </w:p>
            </w:tc>
            <w:tc>
              <w:tcPr>
                <w:tcW w:w="712" w:type="dxa"/>
                <w:noWrap/>
              </w:tcPr>
              <w:p>
                <w:pPr>
                  <w:spacing w:line="276" w:lineRule="auto"/>
                  <w:jc w:val="right"/>
                  <w:rPr>
                    <w:sz w:val="22"/>
                    <w:szCs w:val="22"/>
                  </w:rPr>
                </w:pPr>
              </w:p>
            </w:tc>
          </w:tr>
          <w:tr>
            <w:trPr>
              <w:trHeight w:val="300"/>
            </w:trPr>
            <w:tc>
              <w:tcPr>
                <w:tcW w:w="704" w:type="dxa"/>
                <w:tcBorders>
                  <w:top w:val="nil"/>
                  <w:left w:val="single" w:sz="4" w:space="0" w:color="auto"/>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14</w:t>
                </w:r>
              </w:p>
            </w:tc>
            <w:tc>
              <w:tcPr>
                <w:tcW w:w="6280"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color w:val="000000"/>
                    <w:sz w:val="20"/>
                    <w:lang w:eastAsia="lt-LT"/>
                  </w:rPr>
                </w:pPr>
                <w:r>
                  <w:rPr>
                    <w:rFonts w:ascii="Times New Roman Baltic" w:hAnsi="Times New Roman Baltic" w:cs="Times New Roman Baltic"/>
                    <w:color w:val="000000"/>
                    <w:sz w:val="20"/>
                    <w:lang w:eastAsia="lt-LT"/>
                  </w:rPr>
                  <w:t>Radviliškio r. Kutiškių daugiafunkcinis centras</w:t>
                </w:r>
              </w:p>
            </w:tc>
            <w:tc>
              <w:tcPr>
                <w:tcW w:w="1134"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sz w:val="20"/>
                    <w:lang w:eastAsia="lt-LT"/>
                  </w:rPr>
                </w:pPr>
              </w:p>
            </w:tc>
            <w:tc>
              <w:tcPr>
                <w:tcW w:w="1984"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sz w:val="20"/>
                    <w:lang w:eastAsia="lt-LT"/>
                  </w:rPr>
                </w:pPr>
              </w:p>
            </w:tc>
            <w:tc>
              <w:tcPr>
                <w:tcW w:w="992" w:type="dxa"/>
                <w:tcBorders>
                  <w:top w:val="nil"/>
                  <w:left w:val="nil"/>
                  <w:bottom w:val="single" w:sz="4" w:space="0" w:color="auto"/>
                  <w:right w:val="single" w:sz="4" w:space="0" w:color="auto"/>
                </w:tcBorders>
                <w:shd w:val="clear" w:color="auto" w:fill="FFFFFF"/>
                <w:noWrap/>
                <w:hideMark/>
              </w:tcPr>
              <w:p>
                <w:pPr>
                  <w:spacing w:line="276" w:lineRule="auto"/>
                  <w:jc w:val="right"/>
                  <w:rPr>
                    <w:rFonts w:ascii="Times New Roman Baltic" w:hAnsi="Times New Roman Baltic" w:cs="Times New Roman Baltic"/>
                    <w:sz w:val="20"/>
                    <w:lang w:eastAsia="lt-LT"/>
                  </w:rPr>
                </w:pPr>
              </w:p>
            </w:tc>
            <w:tc>
              <w:tcPr>
                <w:tcW w:w="1134"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 / 1</w:t>
                </w:r>
              </w:p>
            </w:tc>
            <w:tc>
              <w:tcPr>
                <w:tcW w:w="1517"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XII(2) / XIII(1)</w:t>
                </w:r>
              </w:p>
            </w:tc>
            <w:tc>
              <w:tcPr>
                <w:tcW w:w="851" w:type="dxa"/>
                <w:tcBorders>
                  <w:top w:val="nil"/>
                  <w:left w:val="nil"/>
                  <w:bottom w:val="single" w:sz="4" w:space="0" w:color="auto"/>
                  <w:right w:val="single" w:sz="4" w:space="0" w:color="auto"/>
                </w:tcBorders>
                <w:shd w:val="clear" w:color="auto" w:fill="FFFFFF"/>
              </w:tcPr>
              <w:p>
                <w:pPr>
                  <w:spacing w:line="276" w:lineRule="auto"/>
                  <w:jc w:val="right"/>
                  <w:rPr>
                    <w:rFonts w:ascii="Times New Roman Baltic" w:hAnsi="Times New Roman Baltic" w:cs="Times New Roman Baltic"/>
                    <w:sz w:val="20"/>
                    <w:lang w:eastAsia="lt-LT"/>
                  </w:rPr>
                </w:pPr>
                <w:r>
                  <w:rPr>
                    <w:rFonts w:ascii="Times New Roman Baltic" w:hAnsi="Times New Roman Baltic" w:cs="Times New Roman Baltic"/>
                    <w:sz w:val="20"/>
                    <w:lang w:eastAsia="lt-LT"/>
                  </w:rPr>
                  <w:t>27 / 20</w:t>
                </w:r>
              </w:p>
            </w:tc>
            <w:tc>
              <w:tcPr>
                <w:tcW w:w="712" w:type="dxa"/>
                <w:noWrap/>
                <w:hideMark/>
              </w:tcPr>
              <w:p>
                <w:pPr>
                  <w:spacing w:line="276" w:lineRule="auto"/>
                  <w:jc w:val="right"/>
                  <w:rPr>
                    <w:sz w:val="22"/>
                    <w:szCs w:val="22"/>
                  </w:rPr>
                </w:pPr>
              </w:p>
            </w:tc>
          </w:tr>
          <w:tr>
            <w:trPr>
              <w:trHeight w:val="300"/>
            </w:trPr>
            <w:tc>
              <w:tcPr>
                <w:tcW w:w="704" w:type="dxa"/>
                <w:noWrap/>
                <w:hideMark/>
              </w:tcPr>
              <w:p>
                <w:pPr>
                  <w:spacing w:line="276" w:lineRule="auto"/>
                  <w:jc w:val="right"/>
                  <w:rPr>
                    <w:sz w:val="22"/>
                    <w:szCs w:val="22"/>
                  </w:rPr>
                </w:pPr>
              </w:p>
            </w:tc>
            <w:tc>
              <w:tcPr>
                <w:tcW w:w="6280" w:type="dxa"/>
                <w:noWrap/>
                <w:hideMark/>
              </w:tcPr>
              <w:p>
                <w:pPr>
                  <w:spacing w:line="276" w:lineRule="auto"/>
                  <w:rPr>
                    <w:color w:val="000000"/>
                    <w:sz w:val="20"/>
                    <w:lang w:eastAsia="lt-LT"/>
                  </w:rPr>
                </w:pPr>
                <w:r>
                  <w:rPr>
                    <w:color w:val="000000"/>
                    <w:sz w:val="20"/>
                    <w:lang w:eastAsia="lt-LT"/>
                  </w:rPr>
                  <w:t xml:space="preserve">Sutrumpinimo reikšmės: </w:t>
                </w:r>
              </w:p>
              <w:p>
                <w:pPr>
                  <w:spacing w:line="276" w:lineRule="auto"/>
                  <w:rPr>
                    <w:color w:val="000000"/>
                    <w:sz w:val="20"/>
                    <w:lang w:eastAsia="lt-LT"/>
                  </w:rPr>
                </w:pPr>
                <w:r>
                  <w:rPr>
                    <w:color w:val="000000"/>
                    <w:sz w:val="20"/>
                    <w:lang w:eastAsia="lt-LT"/>
                  </w:rPr>
                  <w:t xml:space="preserve">IU – ikimokyklinis ugdymas; </w:t>
                </w:r>
              </w:p>
              <w:p>
                <w:pPr>
                  <w:spacing w:line="276" w:lineRule="auto"/>
                  <w:rPr>
                    <w:color w:val="000000"/>
                    <w:sz w:val="20"/>
                    <w:lang w:eastAsia="lt-LT"/>
                  </w:rPr>
                </w:pPr>
                <w:r>
                  <w:rPr>
                    <w:color w:val="000000"/>
                    <w:sz w:val="20"/>
                    <w:lang w:eastAsia="lt-LT"/>
                  </w:rPr>
                  <w:t>PU – priešmokyklinis ugdymas.</w:t>
                </w:r>
              </w:p>
            </w:tc>
            <w:tc>
              <w:tcPr>
                <w:tcW w:w="1134" w:type="dxa"/>
                <w:noWrap/>
                <w:hideMark/>
              </w:tcPr>
              <w:p>
                <w:pPr>
                  <w:spacing w:line="276" w:lineRule="auto"/>
                  <w:jc w:val="right"/>
                  <w:rPr>
                    <w:sz w:val="20"/>
                  </w:rPr>
                </w:pPr>
              </w:p>
            </w:tc>
            <w:tc>
              <w:tcPr>
                <w:tcW w:w="1984" w:type="dxa"/>
                <w:noWrap/>
                <w:hideMark/>
              </w:tcPr>
              <w:p>
                <w:pPr>
                  <w:spacing w:line="276" w:lineRule="auto"/>
                  <w:jc w:val="right"/>
                  <w:rPr>
                    <w:sz w:val="20"/>
                  </w:rPr>
                </w:pPr>
              </w:p>
            </w:tc>
            <w:tc>
              <w:tcPr>
                <w:tcW w:w="992" w:type="dxa"/>
                <w:noWrap/>
                <w:hideMark/>
              </w:tcPr>
              <w:p>
                <w:pPr>
                  <w:spacing w:line="276" w:lineRule="auto"/>
                  <w:jc w:val="right"/>
                  <w:rPr>
                    <w:sz w:val="20"/>
                  </w:rPr>
                </w:pPr>
              </w:p>
            </w:tc>
            <w:tc>
              <w:tcPr>
                <w:tcW w:w="2651" w:type="dxa"/>
                <w:gridSpan w:val="2"/>
                <w:hideMark/>
              </w:tcPr>
              <w:p>
                <w:pPr>
                  <w:spacing w:line="276" w:lineRule="auto"/>
                  <w:jc w:val="right"/>
                  <w:rPr>
                    <w:sz w:val="20"/>
                  </w:rPr>
                </w:pPr>
              </w:p>
            </w:tc>
            <w:tc>
              <w:tcPr>
                <w:tcW w:w="851" w:type="dxa"/>
                <w:hideMark/>
              </w:tcPr>
              <w:p>
                <w:pPr>
                  <w:spacing w:line="276" w:lineRule="auto"/>
                  <w:jc w:val="right"/>
                  <w:rPr>
                    <w:sz w:val="20"/>
                  </w:rPr>
                </w:pPr>
              </w:p>
            </w:tc>
            <w:tc>
              <w:tcPr>
                <w:tcW w:w="712" w:type="dxa"/>
                <w:noWrap/>
                <w:hideMark/>
              </w:tcPr>
              <w:p>
                <w:pPr>
                  <w:spacing w:line="276" w:lineRule="auto"/>
                  <w:jc w:val="right"/>
                  <w:rPr>
                    <w:sz w:val="22"/>
                    <w:szCs w:val="22"/>
                  </w:rPr>
                </w:pPr>
              </w:p>
            </w:tc>
          </w:tr>
        </w:tbl>
        <w:p>
          <w:pPr>
            <w:jc w:val="right"/>
            <w:rPr>
              <w:szCs w:val="24"/>
              <w:lang w:eastAsia="lt-LT"/>
            </w:rPr>
            <w:sectPr>
              <w:pgSz w:w="16840" w:h="11907" w:orient="landscape" w:code="9"/>
              <w:pgMar w:top="1134" w:right="567" w:bottom="1134" w:left="1701" w:header="567" w:footer="567" w:gutter="0"/>
              <w:cols w:space="1296"/>
              <w:docGrid w:linePitch="360"/>
            </w:sectPr>
          </w:pPr>
        </w:p>
        <w:sdt>
          <w:sdtPr>
            <w:alias w:val="skirsnis"/>
            <w:tag w:val="part_167d08bf740e48ffb361832a6be4de15"/>
            <w:lock w:val="sdtLocked"/>
            <w:richText/>
          </w:sdtPr>
          <w:sdtContent>
            <w:p>
              <w:pPr>
                <w:ind w:right="278"/>
                <w:jc w:val="center"/>
                <w:rPr>
                  <w:b/>
                  <w:color w:val="000000"/>
                  <w:szCs w:val="24"/>
                  <w:lang w:eastAsia="lt-LT"/>
                </w:rPr>
              </w:pPr>
              <w:sdt>
                <w:sdtPr>
                  <w:alias w:val="Pavadinimas"/>
                  <w:tag w:val="title_167d08bf740e48ffb361832a6be4de15"/>
                  <w:lock w:val="sdtLocked"/>
                  <w:richText/>
                </w:sdtPr>
                <w:sdtContent>
                  <w:r>
                    <w:rPr>
                      <w:b/>
                      <w:color w:val="000000"/>
                      <w:szCs w:val="24"/>
                      <w:lang w:eastAsia="lt-LT"/>
                    </w:rPr>
                    <w:t>RADVILIŠKIO RAJONO SAVIVALDYBĖS TARYBOS SPRENDIMO PROJEKTO</w:t>
                  </w:r>
                </w:sdtContent>
              </w:sdt>
            </w:p>
            <w:p>
              <w:pPr>
                <w:ind w:right="278"/>
                <w:jc w:val="center"/>
                <w:rPr>
                  <w:b/>
                  <w:bCs/>
                  <w:lang w:eastAsia="lt-LT"/>
                </w:rPr>
              </w:pPr>
              <w:r>
                <w:rPr>
                  <w:b/>
                  <w:lang w:eastAsia="lt-LT"/>
                </w:rPr>
                <w:t xml:space="preserve">„DĖL RADVILIŠKIO RAJONO SAVIVALDYBĖS TARYBOS 2025 M. KOVO 27D. SPRENDIMO NR. T-615  „</w:t>
              </w:r>
              <w:r>
                <w:rPr>
                  <w:b/>
                  <w:bCs/>
                  <w:lang w:eastAsia="lt-LT"/>
                </w:rPr>
                <w:t xml:space="preserve">DĖL RADVILIŠKIO RAJONO SAVIVALDYBĖS ŠVIETIMO ĮSTAIGŲ IKIMOKYKLINIO IR  PRIEŠMOKYKLINIO UGDYMO GRUPIŲ, VAIKŲ SKAIČIAUS, IKIMOKYKLINIO UGDYMO GRUPIŲ VEIKLOS TRUKMĖS, PRIEŠMOKYKLINIO UGDYMO  ORGANIZAVIMO MODELIŲ, BENDROJO  UGDYMO MOKYKLŲ KLASIŲ KOMPLEKTŲ, MOKINIŲ SKAIČIAUS 2025–2026 MOKSLO METAIS NUSTATYMO</w:t>
              </w:r>
              <w:r>
                <w:rPr>
                  <w:lang w:eastAsia="lt-LT"/>
                </w:rPr>
                <w:t>“</w:t>
              </w:r>
              <w:r>
                <w:rPr>
                  <w:b/>
                  <w:bCs/>
                  <w:lang w:eastAsia="lt-LT"/>
                </w:rPr>
                <w:t xml:space="preserve"> PAKEITIMO“</w:t>
              </w:r>
            </w:p>
          </w:sdtContent>
        </w:sdt>
        <w:sdt>
          <w:sdtPr>
            <w:alias w:val="skirsnis"/>
            <w:tag w:val="part_0869ffd820f046708557ca5d5dd2cb4b"/>
            <w:lock w:val="sdtLocked"/>
            <w:richText/>
          </w:sdtPr>
          <w:sdtContent>
            <w:p>
              <w:pPr>
                <w:ind w:right="278"/>
                <w:jc w:val="center"/>
                <w:rPr>
                  <w:b/>
                  <w:bCs/>
                  <w:color w:val="000000"/>
                  <w:szCs w:val="24"/>
                  <w:lang w:eastAsia="lt-LT"/>
                </w:rPr>
              </w:pPr>
              <w:sdt>
                <w:sdtPr>
                  <w:alias w:val="Pavadinimas"/>
                  <w:tag w:val="title_0869ffd820f046708557ca5d5dd2cb4b"/>
                  <w:lock w:val="sdtLocked"/>
                  <w:richText/>
                </w:sdtPr>
                <w:sdtContent>
                  <w:r>
                    <w:rPr>
                      <w:b/>
                      <w:bCs/>
                      <w:color w:val="000000"/>
                      <w:szCs w:val="24"/>
                      <w:lang w:eastAsia="lt-LT"/>
                    </w:rPr>
                    <w:t>AIŠKINAMASIS RAŠTAS</w:t>
                  </w:r>
                </w:sdtContent>
              </w:sdt>
            </w:p>
            <w:p>
              <w:pPr>
                <w:ind w:right="278"/>
                <w:jc w:val="center"/>
                <w:rPr>
                  <w:b/>
                  <w:bCs/>
                  <w:color w:val="000000"/>
                  <w:szCs w:val="24"/>
                  <w:lang w:eastAsia="lt-LT"/>
                </w:rPr>
              </w:pPr>
            </w:p>
            <w:sdt>
              <w:sdtPr>
                <w:alias w:val="1 pr. 1 p."/>
                <w:tag w:val="part_876b908b8d644bd186ee0952761b167f"/>
                <w:lock w:val="sdtLocked"/>
                <w:richText/>
              </w:sdtPr>
              <w:sdtContent>
                <w:p>
                  <w:pPr>
                    <w:tabs>
                      <w:tab w:val="left" w:pos="1134"/>
                    </w:tabs>
                    <w:ind w:firstLine="709"/>
                    <w:jc w:val="both"/>
                    <w:rPr>
                      <w:color w:val="000000"/>
                      <w:lang w:bidi="he-IL"/>
                    </w:rPr>
                  </w:pPr>
                  <w:sdt>
                    <w:sdtPr>
                      <w:alias w:val="Numeris"/>
                      <w:tag w:val="nr_876b908b8d644bd186ee0952761b167f"/>
                      <w:lock w:val="sdtLocked"/>
                      <w:richText/>
                    </w:sdtPr>
                    <w:sdtContent>
                      <w:r>
                        <w:rPr>
                          <w:b/>
                          <w:color w:val="000000"/>
                          <w:lang w:bidi="he-IL"/>
                        </w:rPr>
                        <w:t>1</w:t>
                      </w:r>
                    </w:sdtContent>
                  </w:sdt>
                  <w:r>
                    <w:rPr>
                      <w:b/>
                      <w:color w:val="000000"/>
                      <w:lang w:bidi="he-IL"/>
                    </w:rPr>
                    <w:t>.</w:t>
                    <w:tab/>
                    <w:t>Parengto rengimą paskatinusios priežastys, parengto projekto tikslai, sprendimo projekto tikslai ir uždaviniai</w:t>
                  </w:r>
                  <w:r>
                    <w:rPr>
                      <w:color w:val="000000"/>
                      <w:lang w:bidi="he-IL"/>
                    </w:rPr>
                    <w:t>.</w:t>
                  </w:r>
                </w:p>
                <w:p>
                  <w:pPr>
                    <w:ind w:right="177" w:firstLine="709"/>
                    <w:jc w:val="both"/>
                    <w:rPr>
                      <w:b/>
                      <w:bCs/>
                      <w:color w:val="000000"/>
                      <w:szCs w:val="24"/>
                    </w:rPr>
                  </w:pPr>
                  <w:r>
                    <w:rPr>
                      <w:color w:val="000000"/>
                      <w:szCs w:val="24"/>
                      <w:lang w:eastAsia="lt-LT"/>
                    </w:rPr>
                    <w:t>Rengiamo sprendimo projekto tikslas – patikslinti 2025–2026 m. m. patvirtintus</w:t>
                  </w:r>
                  <w:r>
                    <w:rPr>
                      <w:color w:val="000000"/>
                      <w:lang w:eastAsia="lt-LT"/>
                    </w:rPr>
                    <w:t xml:space="preserve"> ikimokyklinio ugdymo organizavimo modelius</w:t>
                  </w:r>
                  <w:r>
                    <w:rPr>
                      <w:color w:val="EE0000"/>
                      <w:lang w:eastAsia="lt-LT"/>
                    </w:rPr>
                    <w:t xml:space="preserve">  </w:t>
                  </w:r>
                  <w:r>
                    <w:rPr>
                      <w:rFonts w:ascii="Times New Roman Baltic" w:hAnsi="Times New Roman Baltic" w:cs="Times New Roman Baltic"/>
                      <w:color w:val="000000"/>
                      <w:szCs w:val="24"/>
                      <w:lang w:eastAsia="lt-LT"/>
                    </w:rPr>
                    <w:t>Radviliškio r. Sidabravo pagrindinė mokykloje.</w:t>
                  </w:r>
                  <w:r>
                    <w:rPr>
                      <w:b/>
                      <w:bCs/>
                      <w:color w:val="000000"/>
                      <w:szCs w:val="24"/>
                    </w:rPr>
                    <w:t xml:space="preserve"> </w:t>
                  </w:r>
                </w:p>
              </w:sdtContent>
            </w:sdt>
          </w:sdtContent>
        </w:sdt>
        <w:sdt>
          <w:sdtPr>
            <w:alias w:val="skirsnis"/>
            <w:tag w:val="part_9a57f0a02c5e48ee8a4fab528b267f9c"/>
            <w:lock w:val="sdtLocked"/>
            <w:richText/>
          </w:sdtPr>
          <w:sdtContent>
            <w:p>
              <w:pPr>
                <w:ind w:right="177" w:firstLine="709"/>
                <w:jc w:val="both"/>
                <w:rPr>
                  <w:color w:val="000000"/>
                  <w:lang w:bidi="he-IL"/>
                </w:rPr>
              </w:pPr>
              <w:sdt>
                <w:sdtPr>
                  <w:alias w:val="Pavadinimas"/>
                  <w:tag w:val="title_9a57f0a02c5e48ee8a4fab528b267f9c"/>
                  <w:lock w:val="sdtLocked"/>
                  <w:richText/>
                </w:sdtPr>
                <w:sdtContent>
                  <w:r>
                    <w:rPr>
                      <w:b/>
                      <w:bCs/>
                      <w:color w:val="000000"/>
                    </w:rPr>
                    <w:t>Projekto iniciatoriai (institucija, asmenys ar piliečių atstovai) ir rengėjai.</w:t>
                  </w:r>
                </w:sdtContent>
              </w:sdt>
            </w:p>
            <w:p>
              <w:pPr>
                <w:ind w:right="232" w:firstLine="709"/>
                <w:jc w:val="both"/>
                <w:rPr>
                  <w:color w:val="000000"/>
                  <w:szCs w:val="24"/>
                  <w:lang w:eastAsia="lt-LT"/>
                </w:rPr>
              </w:pPr>
              <w:r>
                <w:rPr>
                  <w:color w:val="000000"/>
                </w:rPr>
                <w:t>Projekto iniciatoriai yra ugdymo įstaigos</w:t>
              </w:r>
              <w:r>
                <w:rPr>
                  <w:lang w:eastAsia="lt-LT"/>
                </w:rPr>
                <w:t>.</w:t>
              </w:r>
              <w:r>
                <w:rPr>
                  <w:szCs w:val="24"/>
                  <w:lang w:eastAsia="lt-LT"/>
                </w:rPr>
                <w:t xml:space="preserve"> </w:t>
              </w:r>
            </w:p>
            <w:p>
              <w:pPr>
                <w:ind w:right="232" w:firstLine="709"/>
                <w:jc w:val="both"/>
                <w:rPr>
                  <w:color w:val="000000"/>
                  <w:szCs w:val="24"/>
                  <w:lang w:eastAsia="lt-LT"/>
                </w:rPr>
              </w:pPr>
              <w:r>
                <w:rPr>
                  <w:color w:val="000000"/>
                  <w:lang w:eastAsia="lt-LT"/>
                </w:rPr>
                <w:t xml:space="preserve">Projekto rengėja – </w:t>
              </w:r>
              <w:r>
                <w:rPr>
                  <w:color w:val="000000"/>
                  <w:szCs w:val="24"/>
                  <w:lang w:eastAsia="lt-LT"/>
                </w:rPr>
                <w:t>Radviliškio rajono savivaldybės administracijos švietimo ir sporto skyriaus ekonomistė Auksė Verpetinskienė.</w:t>
              </w:r>
            </w:p>
            <w:sdt>
              <w:sdtPr>
                <w:alias w:val="1 pr. 2 p."/>
                <w:tag w:val="part_30e3b9ae28a04278a5839f3c0cec5074"/>
                <w:lock w:val="sdtLocked"/>
                <w:richText/>
              </w:sdtPr>
              <w:sdtContent>
                <w:p>
                  <w:pPr>
                    <w:spacing w:line="259" w:lineRule="auto"/>
                    <w:ind w:left="1134" w:hanging="425"/>
                    <w:jc w:val="both"/>
                    <w:rPr>
                      <w:color w:val="000000"/>
                      <w:shd w:val="clear" w:color="auto" w:fill="FFFFFF"/>
                    </w:rPr>
                  </w:pPr>
                  <w:sdt>
                    <w:sdtPr>
                      <w:alias w:val="Numeris"/>
                      <w:tag w:val="nr_30e3b9ae28a04278a5839f3c0cec5074"/>
                      <w:lock w:val="sdtLocked"/>
                      <w:richText/>
                    </w:sdtPr>
                    <w:sdtContent>
                      <w:r>
                        <w:rPr>
                          <w:b/>
                          <w:color w:val="000000"/>
                        </w:rPr>
                        <w:t>2</w:t>
                      </w:r>
                    </w:sdtContent>
                  </w:sdt>
                  <w:r>
                    <w:rPr>
                      <w:b/>
                      <w:color w:val="000000"/>
                    </w:rPr>
                    <w:t>.</w:t>
                    <w:tab/>
                  </w:r>
                  <w:r>
                    <w:rPr>
                      <w:b/>
                      <w:color w:val="000000"/>
                      <w:szCs w:val="24"/>
                      <w:lang w:eastAsia="lt-LT"/>
                    </w:rPr>
                    <w:t xml:space="preserve"> </w:t>
                  </w:r>
                  <w:r>
                    <w:rPr>
                      <w:b/>
                      <w:color w:val="000000"/>
                      <w:szCs w:val="24"/>
                    </w:rPr>
                    <w:t>Kaip šiuo metu yra reguliuo</w:t>
                  </w:r>
                  <w:r>
                    <w:rPr>
                      <w:b/>
                      <w:color w:val="000000"/>
                    </w:rPr>
                    <w:t>jami</w:t>
                  </w:r>
                  <w:r>
                    <w:rPr>
                      <w:b/>
                      <w:color w:val="000000"/>
                      <w:szCs w:val="24"/>
                    </w:rPr>
                    <w:t xml:space="preserve"> sprendimo projekte aptarti </w:t>
                  </w:r>
                  <w:r>
                    <w:rPr>
                      <w:b/>
                      <w:color w:val="000000"/>
                    </w:rPr>
                    <w:t>teisiniai santykiai</w:t>
                  </w:r>
                  <w:r>
                    <w:rPr>
                      <w:b/>
                      <w:color w:val="000000"/>
                      <w:szCs w:val="24"/>
                    </w:rPr>
                    <w:t>.</w:t>
                  </w:r>
                </w:p>
                <w:p>
                  <w:pPr>
                    <w:ind w:right="-1" w:firstLine="709"/>
                    <w:jc w:val="both"/>
                    <w:rPr>
                      <w:b/>
                      <w:bCs/>
                      <w:iCs/>
                      <w:color w:val="000000"/>
                      <w:szCs w:val="24"/>
                      <w:lang w:eastAsia="lt-LT"/>
                    </w:rPr>
                  </w:pPr>
                  <w:r>
                    <w:rPr>
                      <w:color w:val="000000"/>
                      <w:szCs w:val="24"/>
                      <w:lang w:eastAsia="lt-LT"/>
                    </w:rPr>
                    <w:t xml:space="preserve">Klasių komplektų skaičius ir </w:t>
                  </w:r>
                  <w:r>
                    <w:rPr>
                      <w:color w:val="000000"/>
                      <w:lang w:eastAsia="lt-LT"/>
                    </w:rPr>
                    <w:t>priešmokyklinio ugdymo organizavimo modeliai</w:t>
                  </w:r>
                  <w:r>
                    <w:rPr>
                      <w:color w:val="000000"/>
                      <w:szCs w:val="24"/>
                    </w:rPr>
                    <w:t xml:space="preserve"> </w:t>
                  </w:r>
                  <w:r>
                    <w:rPr>
                      <w:color w:val="000000"/>
                      <w:szCs w:val="24"/>
                      <w:lang w:eastAsia="lt-LT"/>
                    </w:rPr>
                    <w:t>jau buvo patvirtinti, tačiau yra poreikis juos tikslinti</w:t>
                  </w:r>
                  <w:r>
                    <w:rPr>
                      <w:bCs/>
                      <w:color w:val="000000"/>
                      <w:szCs w:val="24"/>
                      <w:lang w:eastAsia="lt-LT"/>
                    </w:rPr>
                    <w:t xml:space="preserve">. </w:t>
                  </w:r>
                  <w:r>
                    <w:rPr>
                      <w:b/>
                      <w:bCs/>
                      <w:color w:val="000000"/>
                      <w:szCs w:val="24"/>
                      <w:lang w:eastAsia="lt-LT"/>
                    </w:rPr>
                    <w:t>Nuo 2025 m. rugsėjo 1 d. planuojami</w:t>
                  </w:r>
                  <w:r>
                    <w:rPr>
                      <w:bCs/>
                      <w:color w:val="000000"/>
                      <w:szCs w:val="24"/>
                      <w:lang w:eastAsia="lt-LT"/>
                    </w:rPr>
                    <w:t xml:space="preserve"> </w:t>
                  </w:r>
                  <w:r>
                    <w:rPr>
                      <w:b/>
                      <w:bCs/>
                      <w:color w:val="000000"/>
                      <w:szCs w:val="24"/>
                      <w:lang w:eastAsia="lt-LT"/>
                    </w:rPr>
                    <w:t>šie</w:t>
                  </w:r>
                  <w:r>
                    <w:rPr>
                      <w:b/>
                      <w:bCs/>
                      <w:iCs/>
                      <w:color w:val="000000"/>
                      <w:szCs w:val="24"/>
                      <w:lang w:eastAsia="lt-LT"/>
                    </w:rPr>
                    <w:t xml:space="preserve"> pokyčiai:</w:t>
                  </w:r>
                </w:p>
                <w:sdt>
                  <w:sdtPr>
                    <w:alias w:val="lentele"/>
                    <w:tag w:val="part_3b623df6263041238b4aa1706b2ead57"/>
                    <w:lock w:val="sdtLocked"/>
                    <w:richText/>
                  </w:sdtPr>
                  <w:sdtContent>
                    <w:p>
                      <w:pPr>
                        <w:ind w:firstLine="709"/>
                        <w:jc w:val="both"/>
                        <w:rPr>
                          <w:b/>
                          <w:iCs/>
                          <w:color w:val="000000"/>
                          <w:szCs w:val="24"/>
                        </w:rPr>
                      </w:pPr>
                      <w:sdt>
                        <w:sdtPr>
                          <w:alias w:val="Pavadinimas"/>
                          <w:tag w:val="title_3b623df6263041238b4aa1706b2ead57"/>
                          <w:lock w:val="sdtLocked"/>
                          <w:richText/>
                        </w:sdtPr>
                        <w:sdtContent>
                          <w:r>
                            <w:rPr>
                              <w:b/>
                              <w:iCs/>
                              <w:color w:val="000000"/>
                              <w:szCs w:val="24"/>
                            </w:rPr>
                            <w:t xml:space="preserve">Rajono švietimo įstaigose planuojami  pokyčiai:</w:t>
                          </w:r>
                        </w:sdtContent>
                      </w:sdt>
                    </w:p>
                    <w:p>
                      <w:pPr>
                        <w:ind w:firstLine="709"/>
                        <w:jc w:val="both"/>
                        <w:rPr>
                          <w:b/>
                          <w:iCs/>
                          <w:color w:val="000000"/>
                          <w:szCs w:val="24"/>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0"/>
                        <w:gridCol w:w="680"/>
                        <w:gridCol w:w="709"/>
                        <w:gridCol w:w="850"/>
                        <w:gridCol w:w="993"/>
                        <w:gridCol w:w="850"/>
                        <w:gridCol w:w="992"/>
                        <w:gridCol w:w="2722"/>
                      </w:tblGrid>
                      <w:tr>
                        <w:trPr>
                          <w:trHeight w:val="580"/>
                        </w:trPr>
                        <w:tc>
                          <w:tcPr>
                            <w:tcW w:w="1730" w:type="dxa"/>
                            <w:vMerge w:val="restart"/>
                          </w:tcPr>
                          <w:p>
                            <w:pPr>
                              <w:ind w:right="177"/>
                              <w:jc w:val="center"/>
                              <w:rPr>
                                <w:b/>
                                <w:color w:val="000000"/>
                                <w:sz w:val="16"/>
                                <w:szCs w:val="16"/>
                              </w:rPr>
                            </w:pPr>
                            <w:r>
                              <w:rPr>
                                <w:b/>
                                <w:color w:val="000000"/>
                                <w:sz w:val="16"/>
                                <w:szCs w:val="16"/>
                              </w:rPr>
                              <w:t>Švietimo įstaiga</w:t>
                            </w:r>
                          </w:p>
                        </w:tc>
                        <w:tc>
                          <w:tcPr>
                            <w:tcW w:w="2239" w:type="dxa"/>
                            <w:gridSpan w:val="3"/>
                          </w:tcPr>
                          <w:p>
                            <w:pPr>
                              <w:ind w:right="177"/>
                              <w:jc w:val="center"/>
                              <w:rPr>
                                <w:b/>
                                <w:color w:val="000000"/>
                                <w:sz w:val="16"/>
                                <w:szCs w:val="16"/>
                              </w:rPr>
                            </w:pPr>
                            <w:r>
                              <w:rPr>
                                <w:b/>
                                <w:color w:val="000000"/>
                                <w:sz w:val="16"/>
                                <w:szCs w:val="16"/>
                              </w:rPr>
                              <w:t>2025 m. iki 09 01</w:t>
                            </w:r>
                          </w:p>
                          <w:p>
                            <w:pPr>
                              <w:ind w:right="177"/>
                              <w:jc w:val="center"/>
                              <w:rPr>
                                <w:b/>
                                <w:color w:val="000000"/>
                                <w:sz w:val="16"/>
                                <w:szCs w:val="16"/>
                              </w:rPr>
                            </w:pPr>
                          </w:p>
                        </w:tc>
                        <w:tc>
                          <w:tcPr>
                            <w:tcW w:w="2835" w:type="dxa"/>
                            <w:gridSpan w:val="3"/>
                            <w:shd w:val="clear" w:color="auto" w:fill="D9D9D9"/>
                          </w:tcPr>
                          <w:p>
                            <w:pPr>
                              <w:ind w:right="177"/>
                              <w:jc w:val="center"/>
                              <w:rPr>
                                <w:b/>
                                <w:color w:val="000000"/>
                                <w:sz w:val="16"/>
                                <w:szCs w:val="16"/>
                              </w:rPr>
                            </w:pPr>
                            <w:r>
                              <w:rPr>
                                <w:b/>
                                <w:color w:val="000000"/>
                                <w:sz w:val="16"/>
                                <w:szCs w:val="16"/>
                              </w:rPr>
                              <w:t>2025–09-01</w:t>
                            </w:r>
                          </w:p>
                        </w:tc>
                        <w:tc>
                          <w:tcPr>
                            <w:tcW w:w="2722" w:type="dxa"/>
                            <w:shd w:val="clear" w:color="auto" w:fill="D9D9D9"/>
                          </w:tcPr>
                          <w:p>
                            <w:pPr>
                              <w:tabs>
                                <w:tab w:val="left" w:pos="465"/>
                                <w:tab w:val="center" w:pos="938"/>
                              </w:tabs>
                              <w:ind w:right="177"/>
                              <w:jc w:val="center"/>
                              <w:rPr>
                                <w:b/>
                                <w:color w:val="000000"/>
                                <w:sz w:val="16"/>
                                <w:szCs w:val="16"/>
                              </w:rPr>
                            </w:pPr>
                            <w:r>
                              <w:rPr>
                                <w:b/>
                                <w:color w:val="000000"/>
                                <w:sz w:val="16"/>
                                <w:szCs w:val="16"/>
                              </w:rPr>
                              <w:t>Pastabos</w:t>
                            </w:r>
                          </w:p>
                        </w:tc>
                      </w:tr>
                      <w:tr>
                        <w:trPr>
                          <w:cantSplit/>
                          <w:trHeight w:val="1368"/>
                        </w:trPr>
                        <w:tc>
                          <w:tcPr>
                            <w:tcW w:w="1730" w:type="dxa"/>
                            <w:vMerge/>
                          </w:tcPr>
                          <w:p>
                            <w:pPr>
                              <w:ind w:right="177"/>
                              <w:jc w:val="center"/>
                              <w:rPr>
                                <w:b/>
                                <w:color w:val="000000"/>
                                <w:sz w:val="16"/>
                                <w:szCs w:val="16"/>
                              </w:rPr>
                            </w:pPr>
                          </w:p>
                        </w:tc>
                        <w:tc>
                          <w:tcPr>
                            <w:tcW w:w="680" w:type="dxa"/>
                            <w:textDirection w:val="btLr"/>
                          </w:tcPr>
                          <w:p>
                            <w:pPr>
                              <w:ind w:left="113" w:right="177"/>
                              <w:jc w:val="center"/>
                              <w:rPr>
                                <w:color w:val="000000"/>
                                <w:sz w:val="16"/>
                                <w:szCs w:val="16"/>
                              </w:rPr>
                            </w:pPr>
                            <w:r>
                              <w:rPr>
                                <w:color w:val="000000"/>
                                <w:sz w:val="16"/>
                                <w:szCs w:val="16"/>
                              </w:rPr>
                              <w:t>Klasių komplektų skaičius</w:t>
                            </w:r>
                          </w:p>
                          <w:p>
                            <w:pPr>
                              <w:ind w:left="113" w:right="177"/>
                              <w:jc w:val="center"/>
                              <w:rPr>
                                <w:color w:val="000000"/>
                                <w:sz w:val="16"/>
                                <w:szCs w:val="16"/>
                              </w:rPr>
                            </w:pPr>
                            <w:r>
                              <w:rPr>
                                <w:color w:val="000000"/>
                                <w:sz w:val="16"/>
                                <w:szCs w:val="16"/>
                              </w:rPr>
                              <w:t>(1–12 kl.)</w:t>
                            </w:r>
                          </w:p>
                        </w:tc>
                        <w:tc>
                          <w:tcPr>
                            <w:tcW w:w="709" w:type="dxa"/>
                            <w:textDirection w:val="btLr"/>
                          </w:tcPr>
                          <w:p>
                            <w:pPr>
                              <w:ind w:left="113" w:right="177"/>
                              <w:jc w:val="center"/>
                              <w:rPr>
                                <w:color w:val="000000"/>
                                <w:sz w:val="16"/>
                                <w:szCs w:val="16"/>
                              </w:rPr>
                            </w:pPr>
                            <w:r>
                              <w:rPr>
                                <w:color w:val="000000"/>
                                <w:sz w:val="16"/>
                                <w:szCs w:val="16"/>
                              </w:rPr>
                              <w:t xml:space="preserve">Priešmokyklinė ugdymo  grupė</w:t>
                            </w:r>
                          </w:p>
                        </w:tc>
                        <w:tc>
                          <w:tcPr>
                            <w:tcW w:w="850" w:type="dxa"/>
                            <w:textDirection w:val="btLr"/>
                          </w:tcPr>
                          <w:p>
                            <w:pPr>
                              <w:ind w:left="113" w:right="177"/>
                              <w:jc w:val="center"/>
                              <w:rPr>
                                <w:color w:val="000000"/>
                                <w:sz w:val="16"/>
                                <w:szCs w:val="16"/>
                              </w:rPr>
                            </w:pPr>
                            <w:r>
                              <w:rPr>
                                <w:color w:val="000000"/>
                                <w:sz w:val="16"/>
                                <w:szCs w:val="16"/>
                              </w:rPr>
                              <w:t>Ikimokyklinė ugdymo grupė</w:t>
                            </w:r>
                          </w:p>
                        </w:tc>
                        <w:tc>
                          <w:tcPr>
                            <w:tcW w:w="993" w:type="dxa"/>
                            <w:shd w:val="clear" w:color="auto" w:fill="D9D9D9"/>
                            <w:textDirection w:val="btLr"/>
                          </w:tcPr>
                          <w:p>
                            <w:pPr>
                              <w:ind w:left="113" w:right="177"/>
                              <w:jc w:val="center"/>
                              <w:rPr>
                                <w:b/>
                                <w:color w:val="000000"/>
                                <w:sz w:val="16"/>
                                <w:szCs w:val="16"/>
                              </w:rPr>
                            </w:pPr>
                            <w:r>
                              <w:rPr>
                                <w:b/>
                                <w:color w:val="000000"/>
                                <w:sz w:val="16"/>
                                <w:szCs w:val="16"/>
                              </w:rPr>
                              <w:t>Klasių komplektų skaičius</w:t>
                            </w:r>
                          </w:p>
                          <w:p>
                            <w:pPr>
                              <w:ind w:left="113" w:right="177"/>
                              <w:jc w:val="center"/>
                              <w:rPr>
                                <w:b/>
                                <w:color w:val="000000"/>
                                <w:sz w:val="16"/>
                                <w:szCs w:val="16"/>
                              </w:rPr>
                            </w:pPr>
                            <w:r>
                              <w:rPr>
                                <w:b/>
                                <w:color w:val="000000"/>
                                <w:sz w:val="16"/>
                                <w:szCs w:val="16"/>
                              </w:rPr>
                              <w:t>(1–12 kl.)</w:t>
                            </w:r>
                          </w:p>
                        </w:tc>
                        <w:tc>
                          <w:tcPr>
                            <w:tcW w:w="850" w:type="dxa"/>
                            <w:shd w:val="clear" w:color="auto" w:fill="D9D9D9"/>
                            <w:textDirection w:val="btLr"/>
                          </w:tcPr>
                          <w:p>
                            <w:pPr>
                              <w:ind w:left="113" w:right="177"/>
                              <w:jc w:val="center"/>
                              <w:rPr>
                                <w:b/>
                                <w:color w:val="000000"/>
                                <w:sz w:val="16"/>
                                <w:szCs w:val="16"/>
                              </w:rPr>
                            </w:pPr>
                            <w:r>
                              <w:rPr>
                                <w:b/>
                                <w:color w:val="000000"/>
                                <w:sz w:val="16"/>
                                <w:szCs w:val="16"/>
                              </w:rPr>
                              <w:t>Priešmokyklinė ugdymo grupė</w:t>
                            </w:r>
                          </w:p>
                        </w:tc>
                        <w:tc>
                          <w:tcPr>
                            <w:tcW w:w="992" w:type="dxa"/>
                            <w:shd w:val="clear" w:color="auto" w:fill="D9D9D9"/>
                            <w:textDirection w:val="btLr"/>
                          </w:tcPr>
                          <w:p>
                            <w:pPr>
                              <w:ind w:left="113" w:right="177"/>
                              <w:jc w:val="center"/>
                              <w:rPr>
                                <w:b/>
                                <w:color w:val="000000"/>
                                <w:sz w:val="16"/>
                                <w:szCs w:val="16"/>
                              </w:rPr>
                            </w:pPr>
                            <w:r>
                              <w:rPr>
                                <w:b/>
                                <w:color w:val="000000"/>
                                <w:sz w:val="16"/>
                                <w:szCs w:val="16"/>
                              </w:rPr>
                              <w:t>Ikimokyklinė ugdymo grupė</w:t>
                            </w:r>
                          </w:p>
                        </w:tc>
                        <w:tc>
                          <w:tcPr>
                            <w:tcW w:w="2722" w:type="dxa"/>
                            <w:shd w:val="clear" w:color="auto" w:fill="D9D9D9"/>
                          </w:tcPr>
                          <w:p>
                            <w:pPr>
                              <w:ind w:right="177"/>
                              <w:jc w:val="center"/>
                              <w:rPr>
                                <w:b/>
                                <w:color w:val="000000"/>
                                <w:sz w:val="16"/>
                                <w:szCs w:val="16"/>
                              </w:rPr>
                            </w:pPr>
                          </w:p>
                        </w:tc>
                      </w:tr>
                      <w:tr>
                        <w:tc>
                          <w:tcPr>
                            <w:tcW w:w="1730" w:type="dxa"/>
                          </w:tcPr>
                          <w:p>
                            <w:pPr>
                              <w:ind w:right="177"/>
                              <w:rPr>
                                <w:color w:val="000000"/>
                                <w:sz w:val="20"/>
                              </w:rPr>
                            </w:pPr>
                            <w:r>
                              <w:rPr>
                                <w:color w:val="000000"/>
                                <w:sz w:val="20"/>
                              </w:rPr>
                              <w:t>Radviliškio r. Sidabravo pagrindinė mokykla</w:t>
                            </w:r>
                          </w:p>
                        </w:tc>
                        <w:tc>
                          <w:tcPr>
                            <w:tcW w:w="680" w:type="dxa"/>
                          </w:tcPr>
                          <w:p>
                            <w:pPr>
                              <w:ind w:right="177"/>
                              <w:jc w:val="center"/>
                              <w:rPr>
                                <w:color w:val="000000"/>
                                <w:sz w:val="16"/>
                                <w:szCs w:val="16"/>
                              </w:rPr>
                            </w:pPr>
                            <w:r>
                              <w:rPr>
                                <w:color w:val="000000"/>
                                <w:sz w:val="16"/>
                                <w:szCs w:val="16"/>
                              </w:rPr>
                              <w:t>9</w:t>
                            </w:r>
                          </w:p>
                        </w:tc>
                        <w:tc>
                          <w:tcPr>
                            <w:tcW w:w="709" w:type="dxa"/>
                          </w:tcPr>
                          <w:p>
                            <w:pPr>
                              <w:ind w:right="177"/>
                              <w:jc w:val="center"/>
                              <w:rPr>
                                <w:color w:val="000000"/>
                                <w:sz w:val="16"/>
                                <w:szCs w:val="16"/>
                              </w:rPr>
                            </w:pPr>
                          </w:p>
                        </w:tc>
                        <w:tc>
                          <w:tcPr>
                            <w:tcW w:w="850" w:type="dxa"/>
                          </w:tcPr>
                          <w:p>
                            <w:pPr>
                              <w:ind w:right="177"/>
                              <w:jc w:val="center"/>
                              <w:rPr>
                                <w:color w:val="000000"/>
                                <w:sz w:val="16"/>
                                <w:szCs w:val="16"/>
                              </w:rPr>
                            </w:pPr>
                            <w:r>
                              <w:rPr>
                                <w:color w:val="000000"/>
                                <w:sz w:val="16"/>
                                <w:szCs w:val="16"/>
                              </w:rPr>
                              <w:t>2</w:t>
                            </w:r>
                          </w:p>
                        </w:tc>
                        <w:tc>
                          <w:tcPr>
                            <w:tcW w:w="993" w:type="dxa"/>
                            <w:shd w:val="clear" w:color="auto" w:fill="D9D9D9"/>
                          </w:tcPr>
                          <w:p>
                            <w:pPr>
                              <w:ind w:right="177"/>
                              <w:jc w:val="center"/>
                              <w:rPr>
                                <w:b/>
                                <w:color w:val="000000"/>
                                <w:sz w:val="16"/>
                                <w:szCs w:val="16"/>
                              </w:rPr>
                            </w:pPr>
                            <w:r>
                              <w:rPr>
                                <w:b/>
                                <w:color w:val="000000"/>
                                <w:sz w:val="16"/>
                                <w:szCs w:val="16"/>
                              </w:rPr>
                              <w:t>9</w:t>
                            </w:r>
                          </w:p>
                        </w:tc>
                        <w:tc>
                          <w:tcPr>
                            <w:tcW w:w="850" w:type="dxa"/>
                            <w:shd w:val="clear" w:color="auto" w:fill="D9D9D9"/>
                          </w:tcPr>
                          <w:p>
                            <w:pPr>
                              <w:ind w:right="177"/>
                              <w:jc w:val="center"/>
                              <w:rPr>
                                <w:b/>
                                <w:color w:val="000000"/>
                                <w:sz w:val="16"/>
                                <w:szCs w:val="16"/>
                              </w:rPr>
                            </w:pPr>
                          </w:p>
                        </w:tc>
                        <w:tc>
                          <w:tcPr>
                            <w:tcW w:w="992" w:type="dxa"/>
                            <w:shd w:val="clear" w:color="auto" w:fill="D9D9D9"/>
                          </w:tcPr>
                          <w:p>
                            <w:pPr>
                              <w:ind w:right="177"/>
                              <w:jc w:val="center"/>
                              <w:rPr>
                                <w:color w:val="000000"/>
                                <w:sz w:val="16"/>
                                <w:szCs w:val="16"/>
                              </w:rPr>
                            </w:pPr>
                            <w:r>
                              <w:rPr>
                                <w:color w:val="000000"/>
                                <w:sz w:val="16"/>
                                <w:szCs w:val="16"/>
                              </w:rPr>
                              <w:t>2</w:t>
                            </w:r>
                          </w:p>
                        </w:tc>
                        <w:tc>
                          <w:tcPr>
                            <w:tcW w:w="2722" w:type="dxa"/>
                            <w:shd w:val="clear" w:color="auto" w:fill="D9D9D9"/>
                          </w:tcPr>
                          <w:p>
                            <w:pPr>
                              <w:ind w:right="177"/>
                              <w:jc w:val="center"/>
                              <w:rPr>
                                <w:b/>
                                <w:color w:val="000000"/>
                                <w:sz w:val="20"/>
                                <w:u w:val="single"/>
                              </w:rPr>
                            </w:pPr>
                            <w:r>
                              <w:rPr>
                                <w:b/>
                                <w:color w:val="000000"/>
                                <w:sz w:val="20"/>
                                <w:u w:val="single"/>
                              </w:rPr>
                              <w:t>Nuo 2025-09-01</w:t>
                            </w:r>
                          </w:p>
                          <w:p>
                            <w:pPr>
                              <w:ind w:right="177"/>
                              <w:jc w:val="center"/>
                              <w:rPr>
                                <w:b/>
                                <w:color w:val="000000"/>
                                <w:sz w:val="20"/>
                              </w:rPr>
                            </w:pPr>
                            <w:r>
                              <w:rPr>
                                <w:b/>
                                <w:color w:val="000000"/>
                                <w:sz w:val="20"/>
                              </w:rPr>
                              <w:t>Komplektų skaičius nesikeičia.</w:t>
                            </w:r>
                          </w:p>
                          <w:p>
                            <w:pPr>
                              <w:spacing w:line="259" w:lineRule="auto"/>
                              <w:rPr>
                                <w:b/>
                                <w:color w:val="000000"/>
                                <w:sz w:val="16"/>
                                <w:szCs w:val="16"/>
                                <w:u w:val="single"/>
                              </w:rPr>
                            </w:pPr>
                            <w:r>
                              <w:rPr>
                                <w:color w:val="000000"/>
                                <w:sz w:val="20"/>
                              </w:rPr>
                              <w:t xml:space="preserve">Keičiasi tik modeliai. Pagal tėvų prašymus </w:t>
                            </w:r>
                            <w:r>
                              <w:rPr>
                                <w:rFonts w:ascii="Times New Roman Baltic" w:hAnsi="Times New Roman Baltic" w:cs="Times New Roman Baltic"/>
                                <w:color w:val="000000"/>
                                <w:sz w:val="20"/>
                                <w:lang w:eastAsia="lt-LT"/>
                              </w:rPr>
                              <w:t xml:space="preserve"> nuo rugsėjo 1 d. bus 1 grupė XII ir 1 grupė V modelio.</w:t>
                            </w:r>
                          </w:p>
                        </w:tc>
                      </w:tr>
                    </w:tbl>
                    <w:p/>
                  </w:sdtContent>
                </w:sdt>
              </w:sdtContent>
            </w:sdt>
            <w:sdt>
              <w:sdtPr>
                <w:alias w:val="1 pr. 3 p."/>
                <w:tag w:val="part_43a5f1bdc7994c5cbcbbe6247711b9af"/>
                <w:lock w:val="sdtLocked"/>
                <w:richText/>
              </w:sdtPr>
              <w:sdtContent>
                <w:p>
                  <w:pPr>
                    <w:spacing w:line="259" w:lineRule="auto"/>
                    <w:ind w:firstLine="709"/>
                    <w:jc w:val="both"/>
                    <w:rPr>
                      <w:color w:val="000000"/>
                      <w:shd w:val="clear" w:color="auto" w:fill="FFFFFF"/>
                    </w:rPr>
                  </w:pPr>
                  <w:sdt>
                    <w:sdtPr>
                      <w:alias w:val="Numeris"/>
                      <w:tag w:val="nr_43a5f1bdc7994c5cbcbbe6247711b9af"/>
                      <w:lock w:val="sdtLocked"/>
                      <w:richText/>
                    </w:sdtPr>
                    <w:sdtContent>
                      <w:r>
                        <w:rPr>
                          <w:b/>
                          <w:color w:val="000000"/>
                        </w:rPr>
                        <w:t>3</w:t>
                      </w:r>
                    </w:sdtContent>
                  </w:sdt>
                  <w:r>
                    <w:rPr>
                      <w:b/>
                      <w:color w:val="000000"/>
                    </w:rPr>
                    <w:t>.</w:t>
                    <w:tab/>
                    <w:t>Kokios siūlomos naujos teisinio reguliavimo nuostatos, kokių teigiamų rezultatų laukiama</w:t>
                  </w:r>
                  <w:r>
                    <w:rPr>
                      <w:b/>
                      <w:color w:val="000000"/>
                      <w:szCs w:val="24"/>
                    </w:rPr>
                    <w:t>.</w:t>
                  </w:r>
                </w:p>
                <w:p>
                  <w:pPr>
                    <w:spacing w:line="259" w:lineRule="auto"/>
                    <w:ind w:firstLine="709"/>
                    <w:jc w:val="both"/>
                    <w:rPr>
                      <w:color w:val="000000"/>
                      <w:shd w:val="clear" w:color="auto" w:fill="FFFFFF"/>
                    </w:rPr>
                  </w:pPr>
                  <w:r>
                    <w:rPr>
                      <w:color w:val="000000"/>
                      <w:szCs w:val="24"/>
                    </w:rPr>
                    <w:t xml:space="preserve">Šiuo metu projekte aptariamų klausimų reguliavimas buvo patvirtintas Radviliškio rajono savivaldybės tarybos </w:t>
                  </w:r>
                  <w:r>
                    <w:rPr>
                      <w:color w:val="000000"/>
                      <w:szCs w:val="24"/>
                      <w:lang w:eastAsia="lt-LT"/>
                    </w:rPr>
                    <w:t xml:space="preserve">2025 m. kovo 27 d.  sprendimu Nr. T-615 „Dėl </w:t>
                  </w:r>
                  <w:r>
                    <w:rPr>
                      <w:color w:val="000000"/>
                      <w:lang w:eastAsia="lt-LT"/>
                    </w:rPr>
                    <w:t xml:space="preserve">Radviliškio rajono savivaldybės švietimo įstaigų ikimokyklinio ir priešmokyklinio  ugdymo grupių, vaikų skaičiaus, ikimokyklinio ugdymo grupių veiklos trukmės, priešmokyklinio ugdymo organizavimo modelių, bendrojo ugdymo įstaigų klasių komplektų, mokinių skaičius 2025–2026 mokslo metais nustatymo</w:t>
                  </w:r>
                  <w:r>
                    <w:rPr>
                      <w:bCs/>
                      <w:color w:val="000000"/>
                      <w:szCs w:val="24"/>
                      <w:lang w:eastAsia="lt-LT"/>
                    </w:rPr>
                    <w:t>“.</w:t>
                  </w:r>
                </w:p>
                <w:p>
                  <w:pPr>
                    <w:ind w:right="177" w:firstLine="709"/>
                    <w:jc w:val="both"/>
                    <w:rPr>
                      <w:color w:val="000000"/>
                    </w:rPr>
                  </w:pPr>
                  <w:r>
                    <w:rPr>
                      <w:color w:val="000000"/>
                    </w:rPr>
                    <w:t>Tarybos sprendimu numatoma</w:t>
                  </w:r>
                  <w:r>
                    <w:rPr>
                      <w:b/>
                      <w:bCs/>
                      <w:color w:val="000000"/>
                    </w:rPr>
                    <w:t xml:space="preserve"> </w:t>
                  </w:r>
                  <w:r>
                    <w:rPr>
                      <w:color w:val="000000"/>
                      <w:szCs w:val="24"/>
                      <w:lang w:eastAsia="lt-LT"/>
                    </w:rPr>
                    <w:t xml:space="preserve">patvirtinti </w:t>
                  </w:r>
                  <w:r>
                    <w:rPr>
                      <w:color w:val="000000"/>
                      <w:lang w:eastAsia="lt-LT"/>
                    </w:rPr>
                    <w:t xml:space="preserve"> ikimokyklinio ugdymo organizavimo modelius</w:t>
                  </w:r>
                  <w:r>
                    <w:rPr>
                      <w:color w:val="EE0000"/>
                      <w:lang w:eastAsia="lt-LT"/>
                    </w:rPr>
                    <w:t xml:space="preserve">  </w:t>
                  </w:r>
                  <w:r>
                    <w:rPr>
                      <w:rFonts w:ascii="Times New Roman Baltic" w:hAnsi="Times New Roman Baltic" w:cs="Times New Roman Baltic"/>
                      <w:color w:val="000000"/>
                      <w:szCs w:val="24"/>
                      <w:lang w:eastAsia="lt-LT"/>
                    </w:rPr>
                    <w:t>Radviliškio r. Sidabravo pagrindinė mokykloje.</w:t>
                  </w:r>
                </w:p>
              </w:sdtContent>
            </w:sdt>
            <w:sdt>
              <w:sdtPr>
                <w:alias w:val="1 pr. 5 p."/>
                <w:tag w:val="part_a3416e94f4c840b0b3134aac673a7647"/>
                <w:lock w:val="sdtLocked"/>
                <w:richText/>
              </w:sdtPr>
              <w:sdtContent>
                <w:p>
                  <w:pPr>
                    <w:ind w:right="177" w:firstLine="709"/>
                    <w:jc w:val="both"/>
                    <w:rPr>
                      <w:b/>
                      <w:bCs/>
                      <w:color w:val="000000"/>
                    </w:rPr>
                  </w:pPr>
                  <w:sdt>
                    <w:sdtPr>
                      <w:alias w:val="Numeris"/>
                      <w:tag w:val="nr_a3416e94f4c840b0b3134aac673a7647"/>
                      <w:lock w:val="sdtLocked"/>
                      <w:richText/>
                    </w:sdtPr>
                    <w:sdtContent>
                      <w:r>
                        <w:rPr>
                          <w:b/>
                          <w:bCs/>
                          <w:color w:val="000000"/>
                          <w:lang w:eastAsia="lt-LT"/>
                        </w:rPr>
                        <w:t>5</w:t>
                      </w:r>
                    </w:sdtContent>
                  </w:sdt>
                  <w:r>
                    <w:rPr>
                      <w:b/>
                      <w:bCs/>
                      <w:color w:val="000000"/>
                      <w:lang w:eastAsia="lt-LT"/>
                    </w:rPr>
                    <w:t>.</w:t>
                  </w:r>
                  <w:r>
                    <w:rPr>
                      <w:b/>
                      <w:bCs/>
                      <w:color w:val="000000"/>
                      <w:szCs w:val="24"/>
                      <w:lang w:eastAsia="lt-LT"/>
                    </w:rPr>
                    <w:t xml:space="preserve"> </w:t>
                  </w:r>
                  <w:r>
                    <w:rPr>
                      <w:b/>
                      <w:bCs/>
                      <w:color w:val="000000"/>
                    </w:rPr>
                    <w:t>Galimos neigiamos priimto sprendimo projekto pasekmės ir kokių priemonių reikėtų imtis, kad tokių pasekmių būtų išvengta.</w:t>
                  </w:r>
                </w:p>
                <w:p>
                  <w:pPr>
                    <w:ind w:right="177" w:firstLine="709"/>
                    <w:jc w:val="both"/>
                    <w:rPr>
                      <w:b/>
                      <w:bCs/>
                      <w:color w:val="000000"/>
                    </w:rPr>
                  </w:pPr>
                  <w:r>
                    <w:rPr>
                      <w:bCs/>
                      <w:color w:val="000000"/>
                    </w:rPr>
                    <w:t>Pagal patvirtintus klasių komplektus ir grupių komplektus bus perskaičiuotos Mokymo lėšos ir paskirstytos asignavimų valdytojams.</w:t>
                  </w:r>
                  <w:r>
                    <w:rPr>
                      <w:b/>
                      <w:color w:val="000000"/>
                    </w:rPr>
                    <w:t xml:space="preserve">      </w:t>
                  </w:r>
                </w:p>
              </w:sdtContent>
            </w:sdt>
            <w:sdt>
              <w:sdtPr>
                <w:alias w:val="1 pr. 6 p."/>
                <w:tag w:val="part_a356c9139e964428ba4409109b9d35a7"/>
                <w:lock w:val="sdtLocked"/>
                <w:richText/>
              </w:sdtPr>
              <w:sdtContent>
                <w:p>
                  <w:pPr>
                    <w:ind w:right="177" w:firstLine="709"/>
                    <w:jc w:val="both"/>
                    <w:rPr>
                      <w:b/>
                      <w:bCs/>
                      <w:color w:val="000000"/>
                    </w:rPr>
                  </w:pPr>
                  <w:sdt>
                    <w:sdtPr>
                      <w:alias w:val="Numeris"/>
                      <w:tag w:val="nr_a356c9139e964428ba4409109b9d35a7"/>
                      <w:lock w:val="sdtLocked"/>
                      <w:richText/>
                    </w:sdtPr>
                    <w:sdtContent>
                      <w:r>
                        <w:rPr>
                          <w:b/>
                          <w:bCs/>
                          <w:color w:val="000000"/>
                        </w:rPr>
                        <w:t>6</w:t>
                      </w:r>
                    </w:sdtContent>
                  </w:sdt>
                  <w:r>
                    <w:rPr>
                      <w:b/>
                      <w:bCs/>
                      <w:color w:val="000000"/>
                    </w:rPr>
                    <w:t xml:space="preserve">. Kokius teisės aktus būtina priimti, kokius galiojančius teisės aktus būtina pakeisti ar pripažinti netekusiais galios priėmus sprendimo projektą. </w:t>
                  </w:r>
                </w:p>
                <w:p>
                  <w:pPr>
                    <w:ind w:firstLine="709"/>
                    <w:jc w:val="both"/>
                    <w:rPr>
                      <w:b/>
                      <w:color w:val="000000"/>
                    </w:rPr>
                  </w:pPr>
                  <w:r>
                    <w:rPr>
                      <w:color w:val="000000"/>
                      <w:szCs w:val="24"/>
                    </w:rPr>
                    <w:t xml:space="preserve">Būtinas Radviliškio rajono savivaldybės tarybos </w:t>
                  </w:r>
                  <w:r>
                    <w:rPr>
                      <w:color w:val="000000"/>
                      <w:szCs w:val="24"/>
                      <w:lang w:eastAsia="lt-LT"/>
                    </w:rPr>
                    <w:t xml:space="preserve">2025 m. kovo 27 d. sprendimo Nr. T-615 „Dėl </w:t>
                  </w:r>
                  <w:r>
                    <w:rPr>
                      <w:color w:val="000000"/>
                      <w:lang w:eastAsia="lt-LT"/>
                    </w:rPr>
                    <w:t>Radviliškio rajono savivaldybės švietimo įstaigų ikimokyklinio ir priešmokyklinio ugdymo grupių, vaikų skaičiaus, ikimokyklinio ugdymo grupių veiklos trukmės, priešmokyklinio ugdymo organizavimo modelių, bendrojo ugdymo įstaigų klasių komplektų, mokinių skaičius 2025–2026 mokslo metais nustatymo</w:t>
                  </w:r>
                  <w:r>
                    <w:rPr>
                      <w:bCs/>
                      <w:color w:val="000000"/>
                      <w:szCs w:val="24"/>
                      <w:lang w:eastAsia="lt-LT"/>
                    </w:rPr>
                    <w:t>“</w:t>
                  </w:r>
                  <w:r>
                    <w:rPr>
                      <w:color w:val="000000"/>
                      <w:szCs w:val="24"/>
                      <w:lang w:eastAsia="lt-LT"/>
                    </w:rPr>
                    <w:t xml:space="preserve"> pakeitimas.</w:t>
                  </w:r>
                  <w:r>
                    <w:rPr>
                      <w:b/>
                      <w:color w:val="000000"/>
                    </w:rPr>
                    <w:t xml:space="preserve">     </w:t>
                  </w:r>
                </w:p>
              </w:sdtContent>
            </w:sdt>
            <w:sdt>
              <w:sdtPr>
                <w:alias w:val="1 pr. 7 p."/>
                <w:tag w:val="part_999972c0d0bb4b5b87f27490b8ae47b7"/>
                <w:lock w:val="sdtLocked"/>
                <w:richText/>
              </w:sdtPr>
              <w:sdtContent>
                <w:p>
                  <w:pPr>
                    <w:ind w:firstLine="709"/>
                    <w:jc w:val="both"/>
                    <w:rPr>
                      <w:b/>
                      <w:color w:val="000000"/>
                    </w:rPr>
                  </w:pPr>
                  <w:sdt>
                    <w:sdtPr>
                      <w:alias w:val="Numeris"/>
                      <w:tag w:val="nr_999972c0d0bb4b5b87f27490b8ae47b7"/>
                      <w:lock w:val="sdtLocked"/>
                      <w:richText/>
                    </w:sdtPr>
                    <w:sdtContent>
                      <w:r>
                        <w:rPr>
                          <w:b/>
                          <w:color w:val="000000"/>
                        </w:rPr>
                        <w:t>7</w:t>
                      </w:r>
                    </w:sdtContent>
                  </w:sdt>
                  <w:r>
                    <w:rPr>
                      <w:b/>
                      <w:color w:val="000000"/>
                    </w:rPr>
                    <w:t>. Sprendimo projektui įgyvendinti reikalingos l</w:t>
                  </w:r>
                  <w:r>
                    <w:rPr>
                      <w:b/>
                      <w:color w:val="000000"/>
                      <w:szCs w:val="24"/>
                    </w:rPr>
                    <w:t>ėš</w:t>
                  </w:r>
                  <w:r>
                    <w:rPr>
                      <w:b/>
                      <w:color w:val="000000"/>
                    </w:rPr>
                    <w:t>os, finansavimo šaltiniai.</w:t>
                  </w:r>
                </w:p>
                <w:p>
                  <w:pPr>
                    <w:ind w:firstLine="709"/>
                    <w:jc w:val="both"/>
                    <w:rPr>
                      <w:b/>
                      <w:color w:val="000000"/>
                    </w:rPr>
                  </w:pPr>
                  <w:r>
                    <w:rPr>
                      <w:bCs/>
                      <w:color w:val="000000"/>
                    </w:rPr>
                    <w:t>Pagal patvirtintus klasių komplektus ir grupių komplektus bus perskaičiuotos Mokymo lėšos ir paskirstytos asignavimų valdytojams.</w:t>
                  </w:r>
                  <w:r>
                    <w:rPr>
                      <w:b/>
                      <w:color w:val="000000"/>
                    </w:rPr>
                    <w:t xml:space="preserve">      </w:t>
                  </w:r>
                </w:p>
              </w:sdtContent>
            </w:sdt>
            <w:sdt>
              <w:sdtPr>
                <w:alias w:val="1 pr. 8 p."/>
                <w:tag w:val="part_a5a21e642ae7488992cc3a6169d018c6"/>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rPr>
                  </w:pPr>
                  <w:sdt>
                    <w:sdtPr>
                      <w:alias w:val="Numeris"/>
                      <w:tag w:val="nr_a5a21e642ae7488992cc3a6169d018c6"/>
                      <w:lock w:val="sdtLocked"/>
                      <w:richText/>
                    </w:sdtPr>
                    <w:sdtContent>
                      <w:r>
                        <w:rPr>
                          <w:b/>
                          <w:color w:val="000000"/>
                        </w:rPr>
                        <w:t>8</w:t>
                      </w:r>
                    </w:sdtContent>
                  </w:sdt>
                  <w:r>
                    <w:rPr>
                      <w:b/>
                      <w:color w:val="000000"/>
                    </w:rPr>
                    <w:t xml:space="preserve">. 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rPr>
                  </w:pPr>
                  <w:r>
                    <w:rPr>
                      <w:bCs/>
                      <w:color w:val="000000"/>
                    </w:rPr>
                    <w:t>Sprendimo projektas suderintas.</w:t>
                  </w:r>
                </w:p>
              </w:sdtContent>
            </w:sdt>
            <w:sdt>
              <w:sdtPr>
                <w:alias w:val="1 pr. 9 p."/>
                <w:tag w:val="part_af6b50ae2d1c4b50a062836daafefe62"/>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rPr>
                  </w:pPr>
                  <w:sdt>
                    <w:sdtPr>
                      <w:alias w:val="Numeris"/>
                      <w:tag w:val="nr_af6b50ae2d1c4b50a062836daafefe62"/>
                      <w:lock w:val="sdtLocked"/>
                      <w:richText/>
                    </w:sdtPr>
                    <w:sdtContent>
                      <w:r>
                        <w:rPr>
                          <w:b/>
                          <w:color w:val="000000"/>
                        </w:rPr>
                        <w:t>9</w:t>
                      </w:r>
                    </w:sdtContent>
                  </w:sdt>
                  <w:r>
                    <w:rPr>
                      <w:b/>
                      <w:color w:val="000000"/>
                    </w:rPr>
                    <w:t xml:space="preserve">. 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rPr>
                  </w:pPr>
                  <w:r>
                    <w:rPr>
                      <w:bCs/>
                      <w:color w:val="000000"/>
                    </w:rPr>
                    <w:t xml:space="preserve">Pakoreguoti ikimokyklinio ugdymo grupių  modeliai.</w:t>
                  </w:r>
                </w:p>
              </w:sdtContent>
            </w:sdt>
            <w:sdt>
              <w:sdtPr>
                <w:alias w:val="1 pr. 10 p."/>
                <w:tag w:val="part_680eb972e9334b768c2f72d816e347d4"/>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rPr>
                  </w:pPr>
                  <w:sdt>
                    <w:sdtPr>
                      <w:alias w:val="Numeris"/>
                      <w:tag w:val="nr_680eb972e9334b768c2f72d816e347d4"/>
                      <w:lock w:val="sdtLocked"/>
                      <w:richText/>
                    </w:sdtPr>
                    <w:sdtContent>
                      <w:r>
                        <w:rPr>
                          <w:rFonts w:eastAsia="Calibri"/>
                          <w:b/>
                          <w:color w:val="000000"/>
                          <w:lang w:eastAsia="ar-SA"/>
                        </w:rPr>
                        <w:t>10</w:t>
                      </w:r>
                    </w:sdtContent>
                  </w:sdt>
                  <w:r>
                    <w:rPr>
                      <w:rFonts w:eastAsia="Calibri"/>
                      <w:b/>
                      <w:color w:val="000000"/>
                      <w:lang w:eastAsia="ar-SA"/>
                    </w:rPr>
                    <w:t>. Sprendimo projekto antikorupcinis vertinimas.</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rPr>
                  </w:pPr>
                  <w:r>
                    <w:rPr>
                      <w:rFonts w:eastAsia="Calibri"/>
                      <w:bCs/>
                      <w:color w:val="000000"/>
                      <w:lang w:eastAsia="ar-SA"/>
                    </w:rPr>
                    <w:t>Nereikia.</w:t>
                  </w:r>
                </w:p>
              </w:sdtContent>
            </w:sdt>
            <w:sdt>
              <w:sdtPr>
                <w:alias w:val="1 pr. 11 p."/>
                <w:tag w:val="part_1cb1913d86e94ff39ce65789e37bb9e3"/>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rPr>
                  </w:pPr>
                  <w:sdt>
                    <w:sdtPr>
                      <w:alias w:val="Numeris"/>
                      <w:tag w:val="nr_1cb1913d86e94ff39ce65789e37bb9e3"/>
                      <w:lock w:val="sdtLocked"/>
                      <w:richText/>
                    </w:sdtPr>
                    <w:sdtContent>
                      <w:r>
                        <w:rPr>
                          <w:rFonts w:eastAsia="Calibri"/>
                          <w:b/>
                          <w:bCs/>
                          <w:color w:val="000000"/>
                        </w:rPr>
                        <w:t>11</w:t>
                      </w:r>
                    </w:sdtContent>
                  </w:sdt>
                  <w:r>
                    <w:rPr>
                      <w:rFonts w:eastAsia="Calibri"/>
                      <w:b/>
                      <w:bCs/>
                      <w:color w:val="000000"/>
                    </w:rPr>
                    <w:t xml:space="preserve">. Kiti, iniciatoriaus nuomone, reikalingi pagrindimai ir paaiškinimai.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rFonts w:eastAsia="Calibri"/>
                      <w:color w:val="000000"/>
                    </w:rPr>
                    <w:t xml:space="preserve">Papildomų paaiškinimų nėra. </w:t>
                  </w:r>
                </w:p>
              </w:sdtContent>
            </w:sdt>
            <w:sdt>
              <w:sdtPr>
                <w:alias w:val="1 pr. 12 p."/>
                <w:tag w:val="part_eb237ec65f5d4de1b8aa648fdb120c03"/>
                <w:lock w:val="sdtLocked"/>
                <w:richText/>
              </w:sdtPr>
              <w:sdtContent>
                <w:p>
                  <w:pPr>
                    <w:tabs>
                      <w:tab w:val="left" w:pos="1134"/>
                    </w:tabs>
                    <w:ind w:firstLine="709"/>
                    <w:rPr>
                      <w:rFonts w:eastAsia="Calibri"/>
                      <w:b/>
                      <w:bCs/>
                      <w:color w:val="000000"/>
                    </w:rPr>
                  </w:pPr>
                  <w:sdt>
                    <w:sdtPr>
                      <w:alias w:val="Numeris"/>
                      <w:tag w:val="nr_eb237ec65f5d4de1b8aa648fdb120c03"/>
                      <w:lock w:val="sdtLocked"/>
                      <w:richText/>
                    </w:sdtPr>
                    <w:sdtContent>
                      <w:r>
                        <w:rPr>
                          <w:rFonts w:eastAsia="Calibri"/>
                          <w:b/>
                          <w:bCs/>
                          <w:color w:val="000000"/>
                        </w:rPr>
                        <w:t>12</w:t>
                      </w:r>
                    </w:sdtContent>
                  </w:sdt>
                  <w:r>
                    <w:rPr>
                      <w:rFonts w:eastAsia="Calibri"/>
                      <w:b/>
                      <w:bCs/>
                      <w:color w:val="000000"/>
                    </w:rPr>
                    <w:t xml:space="preserve">. Pridedami dokumentai. </w:t>
                  </w:r>
                </w:p>
                <w:p>
                  <w:pPr>
                    <w:tabs>
                      <w:tab w:val="left" w:pos="1134"/>
                    </w:tabs>
                    <w:ind w:firstLine="709"/>
                    <w:rPr>
                      <w:rFonts w:eastAsia="Calibri"/>
                      <w:color w:val="000000"/>
                    </w:rPr>
                  </w:pPr>
                  <w:r>
                    <w:rPr>
                      <w:rFonts w:eastAsia="Calibri"/>
                      <w:color w:val="000000"/>
                    </w:rPr>
                    <w:t>Nėra.</w:t>
                  </w:r>
                </w:p>
                <w:p>
                  <w:pPr>
                    <w:ind w:right="177" w:firstLine="709"/>
                    <w:jc w:val="both"/>
                    <w:rPr>
                      <w:color w:val="000000"/>
                      <w:szCs w:val="24"/>
                      <w:lang w:eastAsia="lt-LT"/>
                    </w:rPr>
                  </w:pPr>
                </w:p>
                <w:p>
                  <w:pPr>
                    <w:ind w:right="177" w:firstLine="709"/>
                    <w:jc w:val="both"/>
                    <w:rPr>
                      <w:color w:val="000000"/>
                      <w:szCs w:val="24"/>
                      <w:lang w:eastAsia="lt-LT"/>
                    </w:rPr>
                  </w:pPr>
                </w:p>
                <w:p>
                  <w:pPr>
                    <w:ind w:right="177" w:firstLine="709"/>
                    <w:jc w:val="both"/>
                    <w:rPr>
                      <w:color w:val="000000"/>
                      <w:szCs w:val="24"/>
                      <w:lang w:eastAsia="lt-LT"/>
                    </w:rPr>
                  </w:pPr>
                </w:p>
                <w:p>
                  <w:pPr>
                    <w:ind w:right="232"/>
                    <w:rPr>
                      <w:color w:val="000000"/>
                      <w:szCs w:val="24"/>
                      <w:lang w:eastAsia="lt-LT"/>
                    </w:rPr>
                  </w:pPr>
                  <w:r>
                    <w:rPr>
                      <w:color w:val="000000"/>
                      <w:szCs w:val="24"/>
                      <w:lang w:eastAsia="lt-LT"/>
                    </w:rPr>
                    <w:t>Radviliškio rajono savivaldybės administracijos</w:t>
                  </w:r>
                </w:p>
                <w:p>
                  <w:pPr>
                    <w:ind w:right="232"/>
                    <w:rPr>
                      <w:color w:val="000000"/>
                      <w:szCs w:val="24"/>
                      <w:lang w:eastAsia="lt-LT"/>
                    </w:rPr>
                  </w:pPr>
                  <w:r>
                    <w:rPr>
                      <w:color w:val="000000"/>
                      <w:szCs w:val="24"/>
                      <w:lang w:eastAsia="lt-LT"/>
                    </w:rPr>
                    <w:t xml:space="preserve">Švietimo ir sporto skyriaus ekonomistė                                                          Auksė Verpetinskienė</w:t>
                  </w:r>
                </w:p>
                <w:p/>
              </w:sdtContent>
            </w:sdt>
          </w:sdtContent>
        </w:sdt>
      </w:sdtContent>
    </w:sdt>
    <w:sectPr>
      <w:type w:val="oddPage"/>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 Baltic">
    <w:altName w:val="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25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F3DDC7-1A82-47FC-837C-98093C4C26F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c361eca291e4784b640352287b3f079" PartId="6d4bfbfc083343c49c0c06db70fc2a15">
    <Part Type="preambule" DocPartId="90a5cdce412f480ea9ecd07bf0c2ed39" PartId="6cee3e01b9bc46919d34c077fb868b32"/>
    <Part Type="skirsnis" Title="RADVILIŠKIO RAJONO SAVIVALDYBĖS TARYBA" DocPartId="7c4d226c305a4c4d839de80da97b8833" PartId="d15a7e9284964e298277f07cdf2044a2"/>
    <Part Type="skirsnis" Title="SPRENDIMAS" DocPartId="841b9fef75184954b033b59d70a4d976" PartId="4f8b76d422604b6491b2fee663757770"/>
    <Part Type="signatura" DocPartId="46d718c75a1d4c1aa9e93310908fa262" PartId="5a9829ad55b948858efa9c5b9449e7ef"/>
  </Part>
  <Part Type="priedas" Nr="1" Abbr="1 pr." Title="RADVILIŠKIO RAJONO SAVIVALDYBĖS ŠVIETIMO ĮSTAIGŲ IKIMOKYKLINIO IR PRIEŠMOKYKLINIO UGDYMO GRUPIŲ, VAIKŲ SKAIČIUS, IKIMOKYKLINIO UGDYMO GRUPIŲ VEIKLOS TRUKMĖ, PRIEŠMOKYKLINIO UGDYMO ORGANIZAVIMO MODELIAI 2025–2026 M. M." DocPartId="7983ea85b3f440008ffd8f32ee3a0495" PartId="b2c99893564e441ea872663c6ed1908f">
    <Part Type="skirsnis" Title="RADVILIŠKIO RAJONO SAVIVALDYBĖS TARYBOS SPRENDIMO PROJEKTO" DocPartId="5db73b43460f49b7aa52cb8a899c9a80" PartId="167d08bf740e48ffb361832a6be4de15"/>
    <Part Type="skirsnis" Title="AIŠKINAMASIS RAŠTAS" DocPartId="5896cc338aaa4cdbbd754d0d740bea77" PartId="0869ffd820f046708557ca5d5dd2cb4b">
      <Part Type="punktas" Nr="1" Abbr="1 pr. 1 p." DocPartId="eff68e51bb5444c5ae7d0ac2b6b7e36d" PartId="876b908b8d644bd186ee0952761b167f"/>
    </Part>
    <Part Type="skirsnis" Title="Projekto iniciatoriai (institucija, asmenys ar piliečių atstovai) ir rengėjai." DocPartId="cd268dfdf8494281a5c8ba2d0c39085f" PartId="9a57f0a02c5e48ee8a4fab528b267f9c">
      <Part Type="punktas" Nr="2" Abbr="1 pr. 2 p." DocPartId="812b3cbacfb14fcd98097ca624c221d1" PartId="30e3b9ae28a04278a5839f3c0cec5074">
        <Part Type="lentele" Title="Rajono švietimo įstaigose planuojami pokyčiai:" DocPartId="3434bda072d5435180c461958a9db810" PartId="3b623df6263041238b4aa1706b2ead57"/>
      </Part>
      <Part Type="punktas" Nr="3" Abbr="1 pr. 3 p." DocPartId="df4f033d44614878a78d8a9eabd83a3b" PartId="43a5f1bdc7994c5cbcbbe6247711b9af"/>
      <Part Type="punktas" Nr="5" Abbr="1 pr. 5 p." Notes="Numeris ne iš eilės. Trūksta dalių? [DocDalys]" DocPartId="4aff2d0706294510ae4571dd2651235c" PartId="a3416e94f4c840b0b3134aac673a7647"/>
      <Part Type="punktas" Nr="6" Abbr="1 pr. 6 p." DocPartId="45ef05deda834db891077ba31b706c52" PartId="a356c9139e964428ba4409109b9d35a7"/>
      <Part Type="punktas" Nr="7" Abbr="1 pr. 7 p." DocPartId="e9821075e11e43989c6759cec810d994" PartId="999972c0d0bb4b5b87f27490b8ae47b7"/>
      <Part Type="punktas" Nr="8" Abbr="1 pr. 8 p." DocPartId="9444257b2de44af2ae998ab064e7c093" PartId="a5a21e642ae7488992cc3a6169d018c6"/>
      <Part Type="punktas" Nr="9" Abbr="1 pr. 9 p." DocPartId="4da2fd2f95a040f98de0d996d14da912" PartId="af6b50ae2d1c4b50a062836daafefe62"/>
      <Part Type="punktas" Nr="10" Abbr="1 pr. 10 p." DocPartId="c2258ba36bcd485d949787352a1e4936" PartId="680eb972e9334b768c2f72d816e347d4"/>
      <Part Type="punktas" Nr="11" Abbr="1 pr. 11 p." DocPartId="1829f40b71a347b790ab9f0482ff33b2" PartId="1cb1913d86e94ff39ce65789e37bb9e3"/>
      <Part Type="punktas" Nr="12" Abbr="1 pr. 12 p." DocPartId="254a4acd01fe441fbe7b71d9cd3dccc8" PartId="eb237ec65f5d4de1b8aa648fdb120c03"/>
    </Part>
  </Part>
</Parts>
</file>

<file path=customXml/itemProps1.xml><?xml version="1.0" encoding="utf-8"?>
<ds:datastoreItem xmlns:ds="http://schemas.openxmlformats.org/officeDocument/2006/customXml" ds:itemID="{FB65D4D7-9998-42B2-AB2C-E801DC786AED}">
  <ds:schemaRefs>
    <ds:schemaRef ds:uri="http://schemas.openxmlformats.org/officeDocument/2006/bibliography"/>
  </ds:schemaRefs>
</ds:datastoreItem>
</file>

<file path=customXml/itemProps2.xml><?xml version="1.0" encoding="utf-8"?>
<ds:datastoreItem xmlns:ds="http://schemas.openxmlformats.org/officeDocument/2006/customXml" ds:itemID="{EAD64B8D-5E8B-4381-92D1-87CDF07595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965</Words>
  <Characters>6449</Characters>
  <Application>Microsoft Office Word</Application>
  <DocSecurity>4</DocSecurity>
  <Lines>379</Lines>
  <Paragraphs>218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2025-09-12T11:26:00Z</dcterms:created>
  <dc:creator>Auksė Verpetinskienė</dc:creator>
  <lastModifiedBy>adlibuser</lastModifiedBy>
  <dcterms:modified xsi:type="dcterms:W3CDTF">2025-09-12T11:26:00Z</dcterms:modified>
  <revision>2</revision>
</coreProperties>
</file>