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9f39bc637e04aa394b054fb209e9048"/>
        <w:lock w:val="sdtLocked"/>
        <w:richText/>
      </w:sdtPr>
      <w:sdtContent>
        <w:p w14:paraId="0E427785" w14:textId="77777777">
          <w:pPr>
            <w:tabs>
              <w:tab w:val="center" w:pos="4819"/>
              <w:tab w:val="right" w:pos="9638"/>
            </w:tabs>
            <w:suppressAutoHyphens/>
            <w:jc w:val="right"/>
            <w:rPr>
              <w:rFonts w:eastAsia="Calibri"/>
              <w:b/>
              <w:bCs/>
              <w:szCs w:val="24"/>
            </w:rPr>
          </w:pPr>
          <w:r>
            <w:rPr>
              <w:rFonts w:eastAsia="Calibri"/>
              <w:b/>
              <w:bCs/>
              <w:szCs w:val="24"/>
            </w:rPr>
            <w:t>Projektas</w:t>
          </w:r>
        </w:p>
        <w:p w14:paraId="2D2B5332" w14:textId="77777777">
          <w:pPr>
            <w:tabs>
              <w:tab w:val="left" w:pos="1134"/>
            </w:tabs>
            <w:suppressAutoHyphens/>
            <w:jc w:val="center"/>
            <w:rPr>
              <w:rFonts w:eastAsia="Calibri"/>
              <w:szCs w:val="24"/>
            </w:rPr>
          </w:pPr>
        </w:p>
        <w:p w14:paraId="72236ED1" w14:textId="77777777">
          <w:pPr>
            <w:tabs>
              <w:tab w:val="left" w:pos="1134"/>
            </w:tabs>
            <w:suppressAutoHyphens/>
            <w:jc w:val="center"/>
            <w:rPr>
              <w:rFonts w:eastAsia="Calibri"/>
              <w:b/>
              <w:bCs/>
              <w:szCs w:val="24"/>
            </w:rPr>
          </w:pPr>
          <w:r>
            <w:rPr>
              <w:rFonts w:eastAsia="Calibri"/>
              <w:b/>
              <w:bCs/>
              <w:szCs w:val="24"/>
            </w:rPr>
            <w:t>ŠIAULIŲ MIESTO SAVIVALDYBĖS TARYBA</w:t>
          </w:r>
        </w:p>
        <w:p w14:paraId="545F36F8" w14:textId="77777777">
          <w:pPr>
            <w:tabs>
              <w:tab w:val="left" w:pos="1134"/>
            </w:tabs>
            <w:suppressAutoHyphens/>
            <w:jc w:val="center"/>
            <w:rPr>
              <w:rFonts w:eastAsia="Calibri"/>
              <w:b/>
              <w:bCs/>
              <w:szCs w:val="24"/>
            </w:rPr>
          </w:pPr>
        </w:p>
        <w:p w14:paraId="63CCA96C" w14:textId="77777777">
          <w:pPr>
            <w:tabs>
              <w:tab w:val="left" w:pos="1134"/>
            </w:tabs>
            <w:suppressAutoHyphens/>
            <w:jc w:val="center"/>
            <w:rPr>
              <w:rFonts w:eastAsia="Calibri"/>
              <w:b/>
              <w:bCs/>
              <w:szCs w:val="24"/>
            </w:rPr>
          </w:pPr>
          <w:r>
            <w:rPr>
              <w:rFonts w:eastAsia="Calibri"/>
              <w:b/>
              <w:bCs/>
              <w:szCs w:val="24"/>
            </w:rPr>
            <w:t>SPRENDIMAS</w:t>
          </w:r>
        </w:p>
        <w:p w14:paraId="3D8C9290" w14:textId="5CA33262">
          <w:pPr>
            <w:tabs>
              <w:tab w:val="left" w:pos="1134"/>
            </w:tabs>
            <w:suppressAutoHyphens/>
            <w:jc w:val="center"/>
            <w:rPr>
              <w:rFonts w:eastAsia="Calibri"/>
              <w:b/>
              <w:bCs/>
              <w:szCs w:val="24"/>
            </w:rPr>
          </w:pPr>
          <w:r>
            <w:rPr>
              <w:rFonts w:eastAsia="Calibri"/>
              <w:b/>
              <w:bCs/>
              <w:szCs w:val="24"/>
            </w:rPr>
            <w:t>DĖL ŠIAULIŲ MIESTO SAVIVALDYBĖS TARYBOS 2023 M. BIRŽELIO 8 D. SPRENDIMO NR. T-291 „DĖL ŠIAULIŲ MIESTO SAVIVALDYBEI PRIKLAUSANČIŲ AKCIJŲ PRIVATIZAVIMO KOMISIJOS SUDARYMO IR JOS NUOSTATŲ PATVIRTINIMO“ PAKEITIMO</w:t>
          </w:r>
        </w:p>
        <w:p w14:paraId="54DF8197" w14:textId="77777777">
          <w:pPr>
            <w:tabs>
              <w:tab w:val="left" w:pos="1134"/>
            </w:tabs>
            <w:suppressAutoHyphens/>
            <w:jc w:val="center"/>
            <w:rPr>
              <w:rFonts w:eastAsia="Calibri"/>
              <w:szCs w:val="24"/>
            </w:rPr>
          </w:pPr>
        </w:p>
        <w:p w14:paraId="1D7B718C" w14:textId="11699D40">
          <w:pPr>
            <w:tabs>
              <w:tab w:val="left" w:pos="1134"/>
            </w:tabs>
            <w:suppressAutoHyphens/>
            <w:jc w:val="center"/>
            <w:rPr>
              <w:rFonts w:eastAsia="Calibri"/>
              <w:szCs w:val="24"/>
            </w:rPr>
          </w:pPr>
          <w:r>
            <w:rPr>
              <w:rFonts w:eastAsia="Calibri"/>
              <w:szCs w:val="24"/>
            </w:rPr>
            <w:t xml:space="preserve">2025 m.                     d. Nr. T-</w:t>
          </w:r>
        </w:p>
        <w:p w14:paraId="23BFCCB8" w14:textId="77777777">
          <w:pPr>
            <w:tabs>
              <w:tab w:val="left" w:pos="1134"/>
            </w:tabs>
            <w:suppressAutoHyphens/>
            <w:jc w:val="center"/>
            <w:rPr>
              <w:rFonts w:eastAsia="Calibri"/>
              <w:szCs w:val="24"/>
            </w:rPr>
          </w:pPr>
          <w:r>
            <w:rPr>
              <w:rFonts w:eastAsia="Calibri"/>
              <w:szCs w:val="24"/>
            </w:rPr>
            <w:t>Šiauliai</w:t>
          </w:r>
        </w:p>
        <w:p w14:paraId="4051C352" w14:textId="77777777">
          <w:pPr>
            <w:tabs>
              <w:tab w:val="left" w:pos="1134"/>
            </w:tabs>
            <w:suppressAutoHyphens/>
            <w:rPr>
              <w:rFonts w:eastAsia="Calibri"/>
              <w:szCs w:val="24"/>
            </w:rPr>
          </w:pPr>
        </w:p>
        <w:sdt>
          <w:sdtPr>
            <w:alias w:val="preambule"/>
            <w:tag w:val="part_303eb65584964c2aaa77b3efb2e9a7ec"/>
            <w:lock w:val="sdtLocked"/>
            <w:richText/>
          </w:sdtPr>
          <w:sdtContent>
            <w:p w14:paraId="1BBF0785" w14:textId="5931B3AF">
              <w:pPr>
                <w:tabs>
                  <w:tab w:val="left" w:pos="1134"/>
                </w:tabs>
                <w:suppressAutoHyphens/>
                <w:ind w:right="-1" w:firstLine="851"/>
                <w:jc w:val="both"/>
                <w:rPr>
                  <w:rFonts w:eastAsia="Calibri"/>
                  <w:spacing w:val="40"/>
                  <w:szCs w:val="24"/>
                </w:rPr>
              </w:pPr>
              <w:r>
                <w:rPr>
                  <w:rFonts w:eastAsia="Calibri"/>
                  <w:szCs w:val="24"/>
                </w:rPr>
                <w:t xml:space="preserve">Vadovaudamasi Lietuvos Respublikos vietos savivaldos įstatymo </w:t>
              </w:r>
              <w:r>
                <w:rPr>
                  <w:rFonts w:eastAsia="Calibri"/>
                  <w:color w:val="000000"/>
                  <w:szCs w:val="24"/>
                </w:rPr>
                <w:t>15 straipsnio 2 dalies 4 punktu</w:t>
              </w:r>
              <w:r>
                <w:rPr>
                  <w:rFonts w:eastAsia="Calibri"/>
                  <w:szCs w:val="24"/>
                </w:rPr>
                <w:t xml:space="preserve">, 22 straipsniu, Lietuvos Respublikos valstybei ir savivaldybėms priklausančių akcijų privatizavimo įstatymo 6 straipsniu, Šiaulių miesto savivaldybės taryba  </w:t>
              </w:r>
              <w:r>
                <w:rPr>
                  <w:rFonts w:eastAsia="Calibri"/>
                  <w:spacing w:val="40"/>
                  <w:szCs w:val="24"/>
                </w:rPr>
                <w:t>nusprendžia:</w:t>
              </w:r>
            </w:p>
          </w:sdtContent>
        </w:sdt>
        <w:sdt>
          <w:sdtPr>
            <w:alias w:val="pastraipa"/>
            <w:tag w:val="part_86e851bdbb3540da82b5c27c26ccb96c"/>
            <w:lock w:val="sdtLocked"/>
            <w:richText/>
          </w:sdtPr>
          <w:sdtContent>
            <w:p w14:paraId="6AAECB9E" w14:textId="5D45817C">
              <w:pPr>
                <w:tabs>
                  <w:tab w:val="left" w:pos="1134"/>
                </w:tabs>
                <w:suppressAutoHyphens/>
                <w:ind w:right="-1" w:firstLine="794"/>
                <w:jc w:val="both"/>
                <w:rPr>
                  <w:rFonts w:eastAsia="Calibri"/>
                  <w:szCs w:val="24"/>
                </w:rPr>
              </w:pPr>
              <w:r>
                <w:rPr>
                  <w:rFonts w:eastAsia="Calibri"/>
                  <w:szCs w:val="24"/>
                </w:rPr>
                <w:t>Pakeisti Šiaulių miesto savivaldybei priklausančių akcijų privatizavimo komisijos nuostatų, patvirtintų Šiaulių miesto savivaldybės tarybos 2023 m. birželio 8 d. sprendimo Nr. T-291 „Dėl Šiaulių miesto savivaldybei priklausančių akcijų privatizavimo komisijos sudarymo ir jos nuostatų patvirtinimo“ 2.3 punktu, 14 punktą ir jį išdėstyti taip:</w:t>
              </w:r>
            </w:p>
            <w:sdt>
              <w:sdtPr>
                <w:alias w:val="citata"/>
                <w:tag w:val="part_69ff03f9e0ef47d1a19f1f9d86899acf"/>
                <w:lock w:val="sdtLocked"/>
                <w:richText/>
              </w:sdtPr>
              <w:sdtContent>
                <w:sdt>
                  <w:sdtPr>
                    <w:alias w:val="14 p."/>
                    <w:tag w:val="part_560615d551e84423b32d0fdbb7aef099"/>
                    <w:lock w:val="sdtLocked"/>
                    <w:richText/>
                  </w:sdtPr>
                  <w:sdtContent>
                    <w:p w14:paraId="61DA9167" w14:textId="389B4D81">
                      <w:pPr>
                        <w:tabs>
                          <w:tab w:val="left" w:pos="1134"/>
                        </w:tabs>
                        <w:suppressAutoHyphens/>
                        <w:ind w:firstLine="794"/>
                        <w:jc w:val="both"/>
                        <w:rPr>
                          <w:rFonts w:eastAsia="Calibri"/>
                          <w:szCs w:val="24"/>
                        </w:rPr>
                      </w:pPr>
                      <w:r>
                        <w:rPr>
                          <w:rFonts w:eastAsia="Calibri"/>
                          <w:szCs w:val="24"/>
                        </w:rPr>
                        <w:t>„</w:t>
                      </w:r>
                      <w:sdt>
                        <w:sdtPr>
                          <w:alias w:val="Numeris"/>
                          <w:tag w:val="nr_560615d551e84423b32d0fdbb7aef099"/>
                          <w:lock w:val="sdtLocked"/>
                          <w:richText/>
                        </w:sdtPr>
                        <w:sdtContent>
                          <w:r>
                            <w:rPr>
                              <w:rFonts w:eastAsia="Calibri"/>
                              <w:szCs w:val="24"/>
                            </w:rPr>
                            <w:t>14</w:t>
                          </w:r>
                        </w:sdtContent>
                      </w:sdt>
                      <w:r>
                        <w:rPr>
                          <w:rFonts w:eastAsia="Calibri"/>
                          <w:szCs w:val="24"/>
                        </w:rPr>
                        <w:t>. Balsuodami Privatizavimo komisijos nariai turi lygias teises. Privatizavimo komisijos sprendimai priimami posėdyje dalyvaujančių Privatizavimo komisijos narių balsų dauguma. Jeigu balsai pasiskirsto po lygiai (laikoma, kad balsai pasiskirstė po lygiai tada, kai balsų „už“ gauta tiek pat, kiek „prieš“, taip pat kai balsų „už“ gauta tiek pat, kiek „prieš“ ir susilaikiusiųjų balsus kartu sudėjus), balsuojama dar kartą. Jeigu balsavus dar kartą balsai pasiskirsto po lygiai</w:t>
                      </w:r>
                      <w:r>
                        <w:rPr>
                          <w:rFonts w:eastAsia="Calibri"/>
                          <w:color w:val="000000"/>
                          <w:szCs w:val="24"/>
                        </w:rPr>
                        <w:t xml:space="preserve">, </w:t>
                      </w:r>
                      <w:r>
                        <w:rPr>
                          <w:rFonts w:eastAsia="Calibri"/>
                          <w:szCs w:val="24"/>
                        </w:rPr>
                        <w:t>sprendimą lemia Privatizavimo komisijos posėdžio pirmininko balsas.“</w:t>
                      </w:r>
                    </w:p>
                    <w:p w14:paraId="1909108F" w14:textId="77777777">
                      <w:pPr>
                        <w:tabs>
                          <w:tab w:val="left" w:pos="1134"/>
                        </w:tabs>
                        <w:suppressAutoHyphens/>
                        <w:jc w:val="both"/>
                        <w:rPr>
                          <w:rFonts w:eastAsia="Calibri"/>
                          <w:szCs w:val="24"/>
                        </w:rPr>
                      </w:pPr>
                    </w:p>
                    <w:p w14:paraId="0BCD0642" w14:textId="77777777">
                      <w:pPr>
                        <w:tabs>
                          <w:tab w:val="left" w:pos="1134"/>
                        </w:tabs>
                        <w:suppressAutoHyphens/>
                        <w:jc w:val="both"/>
                        <w:rPr>
                          <w:rFonts w:eastAsia="Calibri"/>
                          <w:szCs w:val="24"/>
                        </w:rPr>
                      </w:pPr>
                    </w:p>
                  </w:sdtContent>
                </w:sdt>
              </w:sdtContent>
            </w:sdt>
          </w:sdtContent>
        </w:sdt>
        <w:sdt>
          <w:sdtPr>
            <w:alias w:val="signatura"/>
            <w:tag w:val="part_5038a1550fc546c9baf82ca909f5aa70"/>
            <w:lock w:val="sdtLocked"/>
            <w:richText/>
          </w:sdtPr>
          <w:sdtContent>
            <w:p w14:paraId="69C5920F" w14:textId="00F82F1A">
              <w:pPr>
                <w:tabs>
                  <w:tab w:val="left" w:pos="1134"/>
                </w:tabs>
                <w:suppressAutoHyphens/>
                <w:jc w:val="both"/>
                <w:rPr>
                  <w:rFonts w:ascii="Calibri" w:eastAsia="Calibri" w:hAnsi="Calibri"/>
                  <w:sz w:val="22"/>
                  <w:szCs w:val="22"/>
                </w:rPr>
              </w:pPr>
              <w:r>
                <w:rPr>
                  <w:rFonts w:eastAsia="Calibri"/>
                  <w:szCs w:val="24"/>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567" w:footer="0" w:gutter="0"/>
      <w:cols w:space="1296"/>
      <w:formProt w:val="0"/>
      <w:titlePg/>
      <w:docGrid w:linePitch="360" w:charSpace="40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294B7E" w14:textId="77777777">
      <w:pPr>
        <w:suppressAutoHyphens/>
        <w:rPr>
          <w:rFonts w:ascii="Calibri" w:eastAsia="Calibri" w:hAnsi="Calibri"/>
          <w:sz w:val="22"/>
          <w:szCs w:val="22"/>
        </w:rPr>
      </w:pPr>
      <w:r>
        <w:rPr>
          <w:rFonts w:ascii="Calibri" w:eastAsia="Calibri" w:hAnsi="Calibri"/>
          <w:sz w:val="22"/>
          <w:szCs w:val="22"/>
        </w:rPr>
        <w:separator/>
      </w:r>
    </w:p>
  </w:endnote>
  <w:endnote w:type="continuationSeparator" w:id="0">
    <w:p w14:paraId="6ADBD7D3" w14:textId="77777777">
      <w:pPr>
        <w:suppressAutoHyphens/>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425EED" w14:textId="77777777">
    <w:pPr>
      <w:tabs>
        <w:tab w:val="center" w:pos="4819"/>
        <w:tab w:val="right" w:pos="9638"/>
      </w:tabs>
      <w:suppressAutoHyphen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2FD59" w14:textId="77777777">
    <w:pPr>
      <w:tabs>
        <w:tab w:val="center" w:pos="4819"/>
        <w:tab w:val="right" w:pos="9638"/>
      </w:tabs>
      <w:suppressAutoHyphen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5BE10E" w14:textId="77777777">
    <w:pPr>
      <w:tabs>
        <w:tab w:val="center" w:pos="4819"/>
        <w:tab w:val="right" w:pos="9638"/>
      </w:tabs>
      <w:suppressAutoHyphen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8227EC" w14:textId="77777777">
      <w:pPr>
        <w:suppressAutoHyphens/>
        <w:rPr>
          <w:rFonts w:ascii="Calibri" w:eastAsia="Calibri" w:hAnsi="Calibri"/>
          <w:sz w:val="22"/>
          <w:szCs w:val="22"/>
        </w:rPr>
      </w:pPr>
      <w:r>
        <w:rPr>
          <w:rFonts w:ascii="Calibri" w:eastAsia="Calibri" w:hAnsi="Calibri"/>
          <w:sz w:val="22"/>
          <w:szCs w:val="22"/>
        </w:rPr>
        <w:separator/>
      </w:r>
    </w:p>
  </w:footnote>
  <w:footnote w:type="continuationSeparator" w:id="0">
    <w:p w14:paraId="68E114B2" w14:textId="77777777">
      <w:pPr>
        <w:suppressAutoHyphens/>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B3D281" w14:textId="77777777">
    <w:pPr>
      <w:tabs>
        <w:tab w:val="center" w:pos="4819"/>
        <w:tab w:val="right" w:pos="9638"/>
      </w:tabs>
      <w:suppressAutoHyphen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190FD" w14:textId="77777777">
    <w:pPr>
      <w:tabs>
        <w:tab w:val="left" w:pos="1134"/>
      </w:tabs>
      <w:suppressAutoHyphens/>
      <w:jc w:val="right"/>
      <w:rPr>
        <w:rFonts w:eastAsia="Calibri"/>
        <w:b/>
        <w:bCs/>
        <w:szCs w:val="24"/>
      </w:rPr>
    </w:pPr>
    <w:r>
      <w:rPr>
        <w:rFonts w:eastAsia="Calibri"/>
        <w:b/>
        <w:bCs/>
        <w:szCs w:val="24"/>
      </w:rPr>
      <w:t>Projektas</w:t>
    </w:r>
  </w:p>
  <w:p w14:paraId="6D4420DC" w14:textId="77777777">
    <w:pPr>
      <w:tabs>
        <w:tab w:val="center" w:pos="4819"/>
        <w:tab w:val="right" w:pos="9638"/>
      </w:tabs>
      <w:suppressAutoHyphens/>
      <w:jc w:val="right"/>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925E3" w14:textId="26EFE4A9">
    <w:pPr>
      <w:tabs>
        <w:tab w:val="center" w:pos="4819"/>
        <w:tab w:val="right" w:pos="9638"/>
      </w:tabs>
      <w:suppressAutoHyphen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3DF"/>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1451EB"/>
  <w15:docId w15:val="{DD2BEA8D-1678-4568-8E6B-A00BE6BE608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2699a1b10ea4d638ed26d29dc8e3b42" PartId="f9f39bc637e04aa394b054fb209e9048">
    <Part Type="preambule" DocPartId="28dd4410f0d0457691ddf43eb7e464f9" PartId="303eb65584964c2aaa77b3efb2e9a7ec"/>
    <Part Type="pastraipa" DocPartId="f04faf0385ba41cebf7c45bce79eb791" PartId="86e851bdbb3540da82b5c27c26ccb96c">
      <Part Type="citata" DocPartId="51af05470980493bb2ca9f97a9c86870" PartId="69ff03f9e0ef47d1a19f1f9d86899acf">
        <Part Type="punktas" Nr="14" Abbr="14 p." DocPartId="d67ce789a25e45e2b89680be9c6cc574" PartId="560615d551e84423b32d0fdbb7aef099"/>
      </Part>
    </Part>
    <Part Type="signatura" DocPartId="3ed8b5ac4d9142b1b5c98046ea9e3fc0" PartId="5038a1550fc546c9baf82ca909f5aa70"/>
  </Part>
</Parts>
</file>

<file path=customXml/itemProps1.xml><?xml version="1.0" encoding="utf-8"?>
<ds:datastoreItem xmlns:ds="http://schemas.openxmlformats.org/officeDocument/2006/customXml" ds:itemID="{6A665C33-7D48-4D4F-83D0-F7D9A867C7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189</Words>
  <Characters>1305</Characters>
  <Application>Microsoft Office Word</Application>
  <DocSecurity>4</DocSecurity>
  <Lines>29</Lines>
  <Paragraphs>10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1484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2025-05-06T13:48:00Z</dcterms:created>
  <dc:creator>Edvardas Poderskis</dc:creator>
  <dc:language>en-US</dc:language>
  <lastModifiedBy>adlibuser</lastModifiedBy>
  <dcterms:modified xsi:type="dcterms:W3CDTF">2025-05-06T13:48:00Z</dcterms:modified>
  <revision>2</revision>
</coreProperties>
</file>