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6e1a2880dfa4ec1be54da50ff37adfc"/>
        <w:lock w:val="sdtLocked"/>
        <w:richText/>
      </w:sdtPr>
      <w:sdtContent>
        <w:p>
          <w:pPr>
            <w:tabs>
              <w:tab w:val="center" w:pos="4819"/>
              <w:tab w:val="right" w:pos="9638"/>
            </w:tabs>
          </w:pPr>
        </w:p>
        <w:p>
          <w:pPr>
            <w:widowControl w:val="0"/>
            <w:shd w:val="clear" w:color="auto" w:fill="FFFFFF"/>
            <w:ind w:left="6804"/>
            <w:jc w:val="center"/>
            <w:rPr>
              <w:b/>
            </w:rPr>
          </w:pPr>
          <w:r>
            <w:rPr>
              <w:b/>
            </w:rPr>
            <w:t>Projektas</w:t>
          </w:r>
        </w:p>
        <w:p>
          <w:pPr>
            <w:widowControl w:val="0"/>
            <w:shd w:val="clear" w:color="auto" w:fill="FFFFFF"/>
            <w:ind w:left="6804"/>
            <w:jc w:val="center"/>
            <w:rPr>
              <w:b/>
            </w:rPr>
          </w:pPr>
        </w:p>
        <w:p>
          <w:pPr>
            <w:widowControl w:val="0"/>
            <w:shd w:val="clear" w:color="auto" w:fill="FFFFFF"/>
            <w:jc w:val="center"/>
            <w:rPr>
              <w:b/>
              <w:bCs/>
            </w:rPr>
          </w:pPr>
          <w:r>
            <w:rPr>
              <w:b/>
              <w:bCs/>
              <w:lang w:val="en-US"/>
            </w:rPr>
            <w:drawing>
              <wp:anchor distT="0" distB="0" distL="114300" distR="114300" simplePos="0" relativeHeight="251659264" behindDoc="0" locked="0" layoutInCell="1" allowOverlap="1" wp14:anchorId="10E82234" wp14:editId="3474D884">
                <wp:simplePos x="0" y="0"/>
                <wp:positionH relativeFrom="column">
                  <wp:posOffset>0</wp:posOffset>
                </wp:positionH>
                <wp:positionV relativeFrom="paragraph">
                  <wp:posOffset>0</wp:posOffset>
                </wp:positionV>
                <wp:extent cx="9525" cy="9525"/>
                <wp:effectExtent l="0" t="0" r="0" b="0"/>
                <wp:wrapNone/>
                <wp:docPr id="1" name="Paveikslėlis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rPr>
            <w:t>LIETUVOS RESPUBLIKOS FINANSŲ MINISTRAS</w:t>
          </w:r>
        </w:p>
        <w:p>
          <w:pPr>
            <w:widowControl w:val="0"/>
            <w:shd w:val="clear" w:color="auto" w:fill="FFFFFF"/>
            <w:jc w:val="center"/>
          </w:pPr>
        </w:p>
        <w:p>
          <w:pPr>
            <w:tabs>
              <w:tab w:val="left" w:pos="426"/>
              <w:tab w:val="left" w:pos="567"/>
              <w:tab w:val="left" w:pos="851"/>
              <w:tab w:val="left" w:pos="993"/>
              <w:tab w:val="left" w:pos="1134"/>
            </w:tabs>
            <w:jc w:val="center"/>
            <w:rPr>
              <w:b/>
              <w:bCs/>
            </w:rPr>
          </w:pPr>
          <w:r>
            <w:rPr>
              <w:b/>
              <w:bCs/>
            </w:rPr>
            <w:t>ĮSAKYMAS</w:t>
          </w:r>
        </w:p>
        <w:p>
          <w:pPr>
            <w:tabs>
              <w:tab w:val="left" w:pos="426"/>
              <w:tab w:val="left" w:pos="567"/>
              <w:tab w:val="left" w:pos="851"/>
              <w:tab w:val="left" w:pos="993"/>
              <w:tab w:val="left" w:pos="1134"/>
            </w:tabs>
            <w:jc w:val="center"/>
            <w:rPr>
              <w:b/>
              <w:bCs/>
              <w:szCs w:val="22"/>
            </w:rPr>
          </w:pPr>
          <w:r>
            <w:rPr>
              <w:b/>
              <w:szCs w:val="22"/>
            </w:rPr>
            <w:t xml:space="preserve">DĖL FINANSŲ MINISTRO 2007 M. GRUODŽIO 19 D. ĮSAKYMO NR. 1K-379 „DĖL VIEŠOJO SEKTORIAUS APSKAITOS IR FINANSINĖS ATSKAITOMYBĖS </w:t>
          </w:r>
          <w:r>
            <w:rPr>
              <w:b/>
              <w:bCs/>
              <w:szCs w:val="22"/>
            </w:rPr>
            <w:t>3-IOJO STANDARTO PATVIRTINIMO“ PAKEITIMO</w:t>
          </w:r>
        </w:p>
        <w:p>
          <w:pPr>
            <w:jc w:val="center"/>
          </w:pPr>
        </w:p>
        <w:p>
          <w:pPr>
            <w:widowControl w:val="0"/>
            <w:shd w:val="clear" w:color="auto" w:fill="FFFFFF"/>
            <w:jc w:val="center"/>
          </w:pPr>
          <w:r>
            <w:t xml:space="preserve">2024 m.          d. Nr. 1K-</w:t>
          </w:r>
        </w:p>
        <w:p>
          <w:pPr>
            <w:widowControl w:val="0"/>
            <w:shd w:val="clear" w:color="auto" w:fill="FFFFFF"/>
            <w:jc w:val="center"/>
          </w:pPr>
          <w:r>
            <w:t>Vilnius</w:t>
          </w:r>
        </w:p>
        <w:p/>
        <w:sdt>
          <w:sdtPr>
            <w:alias w:val="1 p."/>
            <w:tag w:val="part_caeef33e6b30400787f0c8f947f8301d"/>
            <w:lock w:val="sdtLocked"/>
            <w:richText/>
          </w:sdtPr>
          <w:sdtContent>
            <w:p>
              <w:pPr>
                <w:ind w:firstLine="567"/>
                <w:jc w:val="both"/>
              </w:pPr>
              <w:sdt>
                <w:sdtPr>
                  <w:alias w:val="Numeris"/>
                  <w:tag w:val="nr_caeef33e6b30400787f0c8f947f8301d"/>
                  <w:lock w:val="sdtLocked"/>
                  <w:richText/>
                </w:sdtPr>
                <w:sdtContent>
                  <w:r>
                    <w:t>1</w:t>
                  </w:r>
                </w:sdtContent>
              </w:sdt>
              <w:r>
                <w:t>. P a k e i č i u Lietuvos Respublikos finansų ministro 2007 m. gruodžio 19 d. įsakymą Nr. 1K-379 „Dėl viešojo sektoriaus apskaitos ir finansinės atskaitomybės 3-iojo standarto patvirtinimo“ ir jį išdėstau nauja redakcija:</w:t>
              </w:r>
            </w:p>
            <w:sdt>
              <w:sdtPr>
                <w:alias w:val="citata"/>
                <w:tag w:val="part_4c96a30dc9ce40c3bc87db4a45ff7f46"/>
                <w:lock w:val="sdtLocked"/>
                <w:richText/>
              </w:sdtPr>
              <w:sdtContent>
                <w:sdt>
                  <w:sdtPr>
                    <w:alias w:val="pagrindine"/>
                    <w:tag w:val="part_c5a54b47411940f7819fab0ed1e9452c"/>
                    <w:lock w:val="sdtLocked"/>
                    <w:richText/>
                  </w:sdtPr>
                  <w:sdtContent>
                    <w:p>
                      <w:pPr>
                        <w:widowControl w:val="0"/>
                        <w:shd w:val="clear" w:color="auto" w:fill="FFFFFF"/>
                        <w:jc w:val="center"/>
                      </w:pPr>
                      <w:r>
                        <w:rPr>
                          <w:lang w:val="en-US"/>
                        </w:rPr>
                        <w:drawing>
                          <wp:anchor distT="0" distB="0" distL="114300" distR="114300" simplePos="0" relativeHeight="251661312" behindDoc="0" locked="0" layoutInCell="1" allowOverlap="1" wp14:anchorId="01A31F91" wp14:editId="084A0B80">
                            <wp:simplePos x="0" y="0"/>
                            <wp:positionH relativeFrom="column">
                              <wp:posOffset>0</wp:posOffset>
                            </wp:positionH>
                            <wp:positionV relativeFrom="paragraph">
                              <wp:posOffset>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t>„</w:t>
                      </w:r>
                      <w:r>
                        <w:rPr>
                          <w:b/>
                          <w:bCs/>
                        </w:rPr>
                        <w:t>LIETUVOS RESPUBLIKOS FINANSŲ MINISTRAS</w:t>
                      </w:r>
                    </w:p>
                    <w:p>
                      <w:pPr>
                        <w:widowControl w:val="0"/>
                        <w:shd w:val="clear" w:color="auto" w:fill="FFFFFF"/>
                        <w:jc w:val="center"/>
                        <w:rPr>
                          <w:spacing w:val="60"/>
                        </w:rPr>
                      </w:pPr>
                    </w:p>
                    <w:p>
                      <w:pPr>
                        <w:jc w:val="center"/>
                        <w:rPr>
                          <w:b/>
                          <w:bCs/>
                        </w:rPr>
                      </w:pPr>
                      <w:r>
                        <w:rPr>
                          <w:b/>
                          <w:bCs/>
                        </w:rPr>
                        <w:t>ĮSAKYMAS</w:t>
                      </w:r>
                    </w:p>
                    <w:p>
                      <w:pPr>
                        <w:widowControl w:val="0"/>
                        <w:shd w:val="clear" w:color="auto" w:fill="FFFFFF"/>
                        <w:jc w:val="center"/>
                      </w:pPr>
                      <w:r>
                        <w:rPr>
                          <w:b/>
                          <w:bCs/>
                        </w:rPr>
                        <w:t>DĖL 3-IOJO VIEŠOJO SEKTORIAUS APSKAITOS IR FINANSINĖS ATSKAITOMYBĖS STANDARTO PATVIRTINIMO</w:t>
                      </w:r>
                    </w:p>
                    <w:p>
                      <w:pPr>
                        <w:jc w:val="center"/>
                      </w:pPr>
                    </w:p>
                    <w:sdt>
                      <w:sdtPr>
                        <w:alias w:val="preambule"/>
                        <w:tag w:val="part_2d93781bc7a449c69b250caabec5c15e"/>
                        <w:lock w:val="sdtLocked"/>
                        <w:richText/>
                      </w:sdtPr>
                      <w:sdtContent>
                        <w:p>
                          <w:pPr>
                            <w:ind w:firstLine="567"/>
                            <w:jc w:val="both"/>
                          </w:pPr>
                          <w:r>
                            <w:t>Vadovaudamasis Lietuvos Respublikos finansinės apskaitos įstatymo 12 straipsnio 2 dalimi,</w:t>
                          </w:r>
                        </w:p>
                      </w:sdtContent>
                    </w:sdt>
                    <w:sdt>
                      <w:sdtPr>
                        <w:alias w:val="pastraipa"/>
                        <w:tag w:val="part_4572dd91c45e41bbbe2dad38d65435fc"/>
                        <w:lock w:val="sdtLocked"/>
                        <w:richText/>
                      </w:sdtPr>
                      <w:sdtContent>
                        <w:p>
                          <w:pPr>
                            <w:ind w:firstLine="567"/>
                          </w:pPr>
                          <w:r>
                            <w:rPr>
                              <w:spacing w:val="60"/>
                            </w:rPr>
                            <w:t>tvirtinu</w:t>
                          </w:r>
                          <w:r>
                            <w:t xml:space="preserve"> 3-iąjį viešojo sektoriaus apskaitos ir finansinės atskaitomybės standartą „Veiklos rezultatų ataskaita“ (pridedama).“</w:t>
                          </w:r>
                        </w:p>
                      </w:sdtContent>
                    </w:sdt>
                  </w:sdtContent>
                </w:sdt>
              </w:sdtContent>
            </w:sdt>
          </w:sdtContent>
        </w:sdt>
        <w:sdt>
          <w:sdtPr>
            <w:alias w:val="2 p."/>
            <w:tag w:val="part_78d2336cad744ba7adb8c027e3a6c1b8"/>
            <w:lock w:val="sdtLocked"/>
            <w:richText/>
          </w:sdtPr>
          <w:sdtContent>
            <w:p>
              <w:pPr>
                <w:ind w:firstLine="567"/>
                <w:jc w:val="both"/>
                <w:rPr>
                  <w:szCs w:val="24"/>
                  <w:lang w:eastAsia="lt-LT"/>
                </w:rPr>
              </w:pPr>
              <w:sdt>
                <w:sdtPr>
                  <w:alias w:val="Numeris"/>
                  <w:tag w:val="nr_78d2336cad744ba7adb8c027e3a6c1b8"/>
                  <w:lock w:val="sdtLocked"/>
                  <w:richText/>
                </w:sdtPr>
                <w:sdtContent>
                  <w:r>
                    <w:t>2</w:t>
                  </w:r>
                </w:sdtContent>
              </w:sdt>
              <w:r>
                <w:t xml:space="preserve">. </w:t>
              </w:r>
              <w:r>
                <w:rPr>
                  <w:szCs w:val="24"/>
                  <w:lang w:eastAsia="lt-LT"/>
                </w:rPr>
                <w:t xml:space="preserve">N u s t a t a u, kad šis įsakymas taikomas finansinių ataskaitų rinkiniams ar </w:t>
              </w:r>
              <w:r>
                <w:t>pagal Lietuvos Respublikos viešojo sektoriaus atskaitomybės įstatymo 9 straipsnio 5 dalį rengiamiems fondų ataskaitų rinkiniams</w:t>
              </w:r>
              <w:r>
                <w:rPr>
                  <w:szCs w:val="24"/>
                  <w:lang w:eastAsia="lt-LT"/>
                </w:rPr>
                <w:t>, rengiamiems už 2026 m. sausio 1 d. ir vėliau prasidedančius ataskaitinius laikotarpius.</w:t>
              </w:r>
            </w:p>
            <w:p/>
            <w:p/>
          </w:sdtContent>
        </w:sdt>
        <w:sdt>
          <w:sdtPr>
            <w:alias w:val="signatura"/>
            <w:tag w:val="part_0d10281687f44ecf840436b257fe3a2a"/>
            <w:lock w:val="sdtLocked"/>
            <w:richText/>
          </w:sdtPr>
          <w:sdtContent>
            <w:p>
              <w:pPr>
                <w:spacing w:line="276" w:lineRule="auto"/>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pgNumType w:start="0"/>
                  <w:cols w:space="1296"/>
                  <w:titlePg/>
                  <w:docGrid w:linePitch="360"/>
                </w:sectPr>
              </w:pPr>
              <w:r>
                <w:t>Finansų ministras</w:t>
              </w:r>
            </w:p>
            <w:p>
              <w:pPr>
                <w:rPr>
                  <w:sz w:val="18"/>
                  <w:szCs w:val="18"/>
                </w:rPr>
              </w:pPr>
            </w:p>
            <w:p>
              <w:pPr>
                <w:tabs>
                  <w:tab w:val="center" w:pos="4819"/>
                  <w:tab w:val="right" w:pos="9638"/>
                </w:tabs>
              </w:pPr>
            </w:p>
          </w:sdtContent>
        </w:sdt>
      </w:sdtContent>
    </w:sdt>
    <w:sdt>
      <w:sdtPr>
        <w:alias w:val="patvirtinta"/>
        <w:tag w:val="part_5d761fa92fd34c05a0f7c5217f1dd0ae"/>
        <w:lock w:val="sdtLocked"/>
        <w:richText/>
      </w:sdtPr>
      <w:sdtContent>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 xml:space="preserve">Lietuvos Respublikos finansų ministro </w:t>
          </w:r>
        </w:p>
        <w:p>
          <w:pPr>
            <w:widowControl w:val="0"/>
            <w:suppressAutoHyphens/>
            <w:ind w:firstLine="5102"/>
            <w:rPr>
              <w:color w:val="000000"/>
            </w:rPr>
          </w:pPr>
          <w:r>
            <w:rPr>
              <w:color w:val="000000"/>
            </w:rPr>
            <w:t>2007 m. gruodžio 19 d. įsakymu Nr. 1K-379</w:t>
          </w:r>
        </w:p>
        <w:p>
          <w:pPr>
            <w:widowControl w:val="0"/>
            <w:suppressAutoHyphens/>
            <w:ind w:firstLine="5102"/>
            <w:rPr>
              <w:color w:val="000000"/>
            </w:rPr>
          </w:pPr>
          <w:r>
            <w:rPr>
              <w:color w:val="000000"/>
            </w:rPr>
            <w:t xml:space="preserve">(Lietuvos Respublikos finansų ministro </w:t>
          </w:r>
        </w:p>
        <w:p>
          <w:pPr>
            <w:widowControl w:val="0"/>
            <w:suppressAutoHyphens/>
            <w:ind w:firstLine="5102"/>
            <w:rPr>
              <w:color w:val="000000"/>
            </w:rPr>
          </w:pPr>
          <w:r>
            <w:rPr>
              <w:color w:val="000000"/>
            </w:rPr>
            <w:t xml:space="preserve">2024 m.         d. įsakymo Nr. 1K-    </w:t>
          </w:r>
        </w:p>
        <w:p>
          <w:pPr>
            <w:widowControl w:val="0"/>
            <w:suppressAutoHyphens/>
            <w:ind w:firstLine="5102"/>
            <w:rPr>
              <w:color w:val="000000"/>
            </w:rPr>
          </w:pPr>
          <w:r>
            <w:rPr>
              <w:color w:val="000000"/>
            </w:rPr>
            <w:t>redakcija)</w:t>
          </w:r>
        </w:p>
        <w:p>
          <w:pPr>
            <w:widowControl w:val="0"/>
            <w:suppressAutoHyphens/>
            <w:jc w:val="both"/>
            <w:rPr>
              <w:color w:val="000000"/>
            </w:rPr>
          </w:pPr>
        </w:p>
        <w:p>
          <w:pPr>
            <w:widowControl w:val="0"/>
            <w:suppressAutoHyphens/>
            <w:jc w:val="center"/>
            <w:rPr>
              <w:b/>
              <w:bCs/>
              <w:caps/>
              <w:color w:val="000000"/>
            </w:rPr>
          </w:pPr>
          <w:sdt>
            <w:sdtPr>
              <w:alias w:val="Pavadinimas"/>
              <w:tag w:val="title_5d761fa92fd34c05a0f7c5217f1dd0ae"/>
              <w:lock w:val="sdtLocked"/>
              <w:richText/>
            </w:sdtPr>
            <w:sdtContent>
              <w:r>
                <w:rPr>
                  <w:b/>
                  <w:bCs/>
                  <w:caps/>
                  <w:color w:val="000000"/>
                </w:rPr>
                <w:t>3-IASIS VIEŠOJO SEKTORIAUS APSKAITOS IR FINANSINĖS ATSKAITOMYBĖS STANDARTAS „VEIKLOS REZULTATŲ ATASKAITA“</w:t>
              </w:r>
            </w:sdtContent>
          </w:sdt>
        </w:p>
        <w:p>
          <w:pPr>
            <w:widowControl w:val="0"/>
            <w:suppressAutoHyphens/>
            <w:jc w:val="center"/>
            <w:rPr>
              <w:b/>
              <w:bCs/>
              <w:caps/>
              <w:color w:val="000000"/>
            </w:rPr>
          </w:pPr>
        </w:p>
        <w:sdt>
          <w:sdtPr>
            <w:alias w:val="skyrius"/>
            <w:tag w:val="part_0eb7ddde87e44cd6816c44acca6571bf"/>
            <w:lock w:val="sdtLocked"/>
            <w:richText/>
          </w:sdtPr>
          <w:sdtContent>
            <w:p>
              <w:pPr>
                <w:widowControl w:val="0"/>
                <w:suppressAutoHyphens/>
                <w:jc w:val="center"/>
                <w:rPr>
                  <w:b/>
                  <w:bCs/>
                  <w:caps/>
                  <w:color w:val="000000"/>
                </w:rPr>
              </w:pPr>
              <w:sdt>
                <w:sdtPr>
                  <w:alias w:val="Numeris"/>
                  <w:tag w:val="nr_0eb7ddde87e44cd6816c44acca6571bf"/>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0eb7ddde87e44cd6816c44acca6571bf"/>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0c3c93c4f51e46f5aeaf4d783df95aa1"/>
                <w:lock w:val="sdtLocked"/>
                <w:richText/>
              </w:sdtPr>
              <w:sdtContent>
                <w:p>
                  <w:pPr>
                    <w:widowControl w:val="0"/>
                    <w:tabs>
                      <w:tab w:val="left" w:pos="851"/>
                      <w:tab w:val="left" w:pos="1134"/>
                    </w:tabs>
                    <w:suppressAutoHyphens/>
                    <w:ind w:firstLine="567"/>
                    <w:jc w:val="both"/>
                  </w:pPr>
                  <w:sdt>
                    <w:sdtPr>
                      <w:alias w:val="Numeris"/>
                      <w:tag w:val="nr_0c3c93c4f51e46f5aeaf4d783df95aa1"/>
                      <w:lock w:val="sdtLocked"/>
                      <w:richText/>
                    </w:sdtPr>
                    <w:sdtContent>
                      <w:r>
                        <w:t>1</w:t>
                      </w:r>
                    </w:sdtContent>
                  </w:sdt>
                  <w:r>
                    <w:t>.</w:t>
                    <w:tab/>
                  </w:r>
                  <w:r>
                    <w:rPr>
                      <w:color w:val="000000"/>
                    </w:rPr>
                    <w:t xml:space="preserve">3-iajame viešojo sektoriaus apskaitos ir finansinės atskaitomybės standarte „Veiklos rezultatų ataskaita“ (toliau – Standartas) nustatomi informacijos apie viešojo sektoriaus subjekto, viešojo sektoriaus subjektų grupės ataskaitinio laikotarpio pajamas, sąnaudas ir veiklos rezultatus grupavimo ir pateikimo finansinėse ataskaitose reikalavimai </w:t>
                  </w:r>
                  <w:r>
                    <w:t>ir veiklos rezultatų ataskaitos (toliau – ataskaita) formos</w:t>
                  </w:r>
                  <w:r>
                    <w:rPr>
                      <w:color w:val="000000"/>
                    </w:rPr>
                    <w:t>.</w:t>
                  </w:r>
                </w:p>
              </w:sdtContent>
            </w:sdt>
            <w:sdt>
              <w:sdtPr>
                <w:alias w:val="2 p."/>
                <w:tag w:val="part_fa127e99406d49ba99eba95000e70c71"/>
                <w:lock w:val="sdtLocked"/>
                <w:richText/>
              </w:sdtPr>
              <w:sdtContent>
                <w:p>
                  <w:pPr>
                    <w:widowControl w:val="0"/>
                    <w:tabs>
                      <w:tab w:val="left" w:pos="851"/>
                      <w:tab w:val="left" w:pos="1134"/>
                    </w:tabs>
                    <w:suppressAutoHyphens/>
                    <w:ind w:firstLine="567"/>
                    <w:jc w:val="both"/>
                  </w:pPr>
                  <w:sdt>
                    <w:sdtPr>
                      <w:alias w:val="Numeris"/>
                      <w:tag w:val="nr_fa127e99406d49ba99eba95000e70c71"/>
                      <w:lock w:val="sdtLocked"/>
                      <w:richText/>
                    </w:sdtPr>
                    <w:sdtContent>
                      <w:r>
                        <w:t>2</w:t>
                      </w:r>
                    </w:sdtContent>
                  </w:sdt>
                  <w:r>
                    <w:t>.</w:t>
                    <w:tab/>
                    <w:t xml:space="preserve">Standartu vadovaujamasi rengiant viešojo sektoriaus subjekto finansinių ataskaitų rinkinį, viešojo sektoriaus subjektų grupės finansinių ataskaitų rinkinį bei išteklių fondo, mokesčių fondo ir fondų fondo (toliau kartu – fondai) ataskaitų rinkinį, rengiamą pagal Lietuvos Respublikos viešojo sektoriaus atskaitomybės įstatymo 9 straipsnio 5 dalį, (toliau – fondo ataskaitų rinkinys). Standartas rengiant fondų finansinių ataskaitų rinkinį ar fondo ataskaitų rinkinį taikomas tiek, kiek nurodyta šiuose viešojo sektoriaus apskaitos ir finansinės atskaitomybės standartuose (toliau – VSAFAS): 26-ajame viešojo sektoriaus apskaitos ir finansinės atskaitomybės standarte „Fondų apskaita ir finansinių ataskaitų rinkinys“, patvirtintame Lietuvos Respublikos finansų ministro 2007 m. gruodžio 7 d. įsakymu Nr. 1K-357 „Dėl 26-ojo viešojo sektoriaus apskaitos ir finansinės atskaitomybės standarto patvirtinimo“, 29-ajame viešojo sektoriaus apskaitos ir finansinės atskaitomybės standarte „Pensijų anuitetų fondo apskaita ir ataskaitų rinkinys“, patvirtintame Lietuvos Respublikos finansų ministro 2020 m. gruodžio 8 d. įsakymu Nr. 1K-423 „Dėl viešojo sektoriaus apskaitos ir finansinės atskaitomybės 29-ojo standarto patvirtinimo“, (toliau – 29-asis VSAFAS „Pensijų anuitetų fondo apskaita ir ataskaitų rinkinys“) ir 32-ajame viešojo sektoriaus apskaitos ir finansinės atskaitomybės standarte „Valstybės socialinių fondų ataskaitų rinkiniai“, patvirtintame Lietuvos Respublikos finansų ministro 202... m. ......... d. įsakymu Nr. 1K- „Dėl 32-ojo viešojo sektoriaus apskaitos ir finansinės atskaitomybės standarto patvirtinimo“, (toliau – 32-asis VSAFAS „Valstybės socialinių fondų ataskaitų rinkiniai“). </w:t>
                  </w:r>
                </w:p>
              </w:sdtContent>
            </w:sdt>
            <w:sdt>
              <w:sdtPr>
                <w:alias w:val="3 p."/>
                <w:tag w:val="part_bb3abec576224f2ea32f2669ae8ece97"/>
                <w:lock w:val="sdtLocked"/>
                <w:richText/>
              </w:sdtPr>
              <w:sdtContent>
                <w:p>
                  <w:pPr>
                    <w:widowControl w:val="0"/>
                    <w:tabs>
                      <w:tab w:val="left" w:pos="851"/>
                      <w:tab w:val="left" w:pos="1134"/>
                    </w:tabs>
                    <w:suppressAutoHyphens/>
                    <w:ind w:firstLine="567"/>
                    <w:jc w:val="both"/>
                  </w:pPr>
                  <w:sdt>
                    <w:sdtPr>
                      <w:alias w:val="Numeris"/>
                      <w:tag w:val="nr_bb3abec576224f2ea32f2669ae8ece97"/>
                      <w:lock w:val="sdtLocked"/>
                      <w:richText/>
                    </w:sdtPr>
                    <w:sdtContent>
                      <w:r>
                        <w:t>3</w:t>
                      </w:r>
                    </w:sdtContent>
                  </w:sdt>
                  <w:r>
                    <w:t>.</w:t>
                    <w:tab/>
                  </w:r>
                  <w:r>
                    <w:rPr>
                      <w:szCs w:val="24"/>
                    </w:rPr>
                    <w:t xml:space="preserve">Kai </w:t>
                  </w:r>
                  <w:r>
                    <w:t xml:space="preserve">fondų </w:t>
                  </w:r>
                  <w:r>
                    <w:rPr>
                      <w:szCs w:val="24"/>
                    </w:rPr>
                    <w:t xml:space="preserve">finansinės ataskaitos įtraukiamos į viešojo sektoriaus subjektų grupės finansines ataskaitas, rengiant </w:t>
                  </w:r>
                  <w:r>
                    <w:rPr>
                      <w:color w:val="000000"/>
                      <w:szCs w:val="24"/>
                    </w:rPr>
                    <w:t>grupės finansinių ataskaitų rinkinį ar fondo ataskaitų rinkinį taikomas Standartas, jeigu kituose VSAFAS dėl informacijos pateikimo finansinėse ataskaitose nenurodyta kitaip.</w:t>
                  </w:r>
                </w:p>
              </w:sdtContent>
            </w:sdt>
            <w:sdt>
              <w:sdtPr>
                <w:alias w:val="4 p."/>
                <w:tag w:val="part_535e1708c0e44717aca5935c3c09bdce"/>
                <w:lock w:val="sdtLocked"/>
                <w:richText/>
              </w:sdtPr>
              <w:sdtContent>
                <w:p>
                  <w:pPr>
                    <w:widowControl w:val="0"/>
                    <w:tabs>
                      <w:tab w:val="left" w:pos="851"/>
                      <w:tab w:val="left" w:pos="1134"/>
                    </w:tabs>
                    <w:suppressAutoHyphens/>
                    <w:ind w:firstLine="567"/>
                    <w:jc w:val="both"/>
                  </w:pPr>
                  <w:sdt>
                    <w:sdtPr>
                      <w:alias w:val="Numeris"/>
                      <w:tag w:val="nr_535e1708c0e44717aca5935c3c09bdce"/>
                      <w:lock w:val="sdtLocked"/>
                      <w:richText/>
                    </w:sdtPr>
                    <w:sdtContent>
                      <w:r>
                        <w:t>4</w:t>
                      </w:r>
                    </w:sdtContent>
                  </w:sdt>
                  <w:r>
                    <w:t>.</w:t>
                    <w:tab/>
                  </w:r>
                  <w:r>
                    <w:rPr>
                      <w:color w:val="000000"/>
                    </w:rPr>
                    <w:t>Standarte vartojamos sąvokos:</w:t>
                  </w:r>
                </w:p>
                <w:sdt>
                  <w:sdtPr>
                    <w:alias w:val="4.1 pp."/>
                    <w:tag w:val="part_453d4aa1e9084515b10ac4a8b8ae7f1b"/>
                    <w:lock w:val="sdtLocked"/>
                    <w:richText/>
                  </w:sdtPr>
                  <w:sdtContent>
                    <w:p>
                      <w:pPr>
                        <w:widowControl w:val="0"/>
                        <w:tabs>
                          <w:tab w:val="left" w:pos="1134"/>
                        </w:tabs>
                        <w:suppressAutoHyphens/>
                        <w:ind w:firstLine="567"/>
                        <w:jc w:val="both"/>
                        <w:rPr>
                          <w:color w:val="000000"/>
                        </w:rPr>
                      </w:pPr>
                      <w:sdt>
                        <w:sdtPr>
                          <w:alias w:val="Numeris"/>
                          <w:tag w:val="nr_453d4aa1e9084515b10ac4a8b8ae7f1b"/>
                          <w:lock w:val="sdtLocked"/>
                          <w:richText/>
                        </w:sdtPr>
                        <w:sdtContent>
                          <w:r>
                            <w:rPr>
                              <w:color w:val="000000"/>
                            </w:rPr>
                            <w:t>4.1</w:t>
                          </w:r>
                        </w:sdtContent>
                      </w:sdt>
                      <w:r>
                        <w:rPr>
                          <w:color w:val="000000"/>
                        </w:rPr>
                        <w:t>.</w:t>
                        <w:tab/>
                      </w:r>
                      <w:r>
                        <w:rPr>
                          <w:b/>
                          <w:bCs/>
                          <w:color w:val="000000"/>
                        </w:rPr>
                        <w:t>Viešojo sektoriaus subjekto grynasis perviršis ar deficitas</w:t>
                      </w:r>
                      <w:r>
                        <w:rPr>
                          <w:color w:val="000000"/>
                        </w:rPr>
                        <w:t xml:space="preserve"> (toliau – grynasis perviršis ar deficitas) – suma, kuri lieka iš visų viešojo sektoriaus subjekto ataskaitinio laikotarpio pajamų atėmus visas to ataskaitinio laikotarpio sąnaudas.</w:t>
                      </w:r>
                    </w:p>
                  </w:sdtContent>
                </w:sdt>
                <w:sdt>
                  <w:sdtPr>
                    <w:alias w:val="4.2 pp."/>
                    <w:tag w:val="part_bd8aa90832e04259a4d3536eec161297"/>
                    <w:lock w:val="sdtLocked"/>
                    <w:richText/>
                  </w:sdtPr>
                  <w:sdtContent>
                    <w:p>
                      <w:pPr>
                        <w:widowControl w:val="0"/>
                        <w:tabs>
                          <w:tab w:val="left" w:pos="1134"/>
                        </w:tabs>
                        <w:suppressAutoHyphens/>
                        <w:ind w:firstLine="567"/>
                        <w:jc w:val="both"/>
                        <w:rPr>
                          <w:color w:val="000000"/>
                        </w:rPr>
                      </w:pPr>
                      <w:sdt>
                        <w:sdtPr>
                          <w:alias w:val="Numeris"/>
                          <w:tag w:val="nr_bd8aa90832e04259a4d3536eec161297"/>
                          <w:lock w:val="sdtLocked"/>
                          <w:richText/>
                        </w:sdtPr>
                        <w:sdtContent>
                          <w:r>
                            <w:rPr>
                              <w:color w:val="000000"/>
                            </w:rPr>
                            <w:t>4.2</w:t>
                          </w:r>
                        </w:sdtContent>
                      </w:sdt>
                      <w:r>
                        <w:rPr>
                          <w:color w:val="000000"/>
                        </w:rPr>
                        <w:t>.</w:t>
                        <w:tab/>
                        <w:t xml:space="preserve">Kitos Standarte vartojamos sąvokos suprantamos taip, kaip jos apibrėžtos Lietuvos Respublikos finansinės apskaitos įstatyme, Viešojo sektoriaus atskaitomybės įstatyme ir kituose VSAFAS. </w:t>
                      </w:r>
                    </w:p>
                    <w:p/>
                  </w:sdtContent>
                </w:sdt>
              </w:sdtContent>
            </w:sdt>
          </w:sdtContent>
        </w:sdt>
        <w:sdt>
          <w:sdtPr>
            <w:alias w:val="skyrius"/>
            <w:tag w:val="part_3750476d896f4740a07bf300aa6b8bb7"/>
            <w:lock w:val="sdtLocked"/>
            <w:richText/>
          </w:sdtPr>
          <w:sdtContent>
            <w:p>
              <w:pPr>
                <w:widowControl w:val="0"/>
                <w:suppressAutoHyphens/>
                <w:jc w:val="center"/>
                <w:rPr>
                  <w:b/>
                  <w:bCs/>
                  <w:caps/>
                  <w:color w:val="000000"/>
                </w:rPr>
              </w:pPr>
              <w:sdt>
                <w:sdtPr>
                  <w:alias w:val="Numeris"/>
                  <w:tag w:val="nr_3750476d896f4740a07bf300aa6b8bb7"/>
                  <w:lock w:val="sdtLocked"/>
                  <w:richText/>
                </w:sdtPr>
                <w:sdtContent>
                  <w:r>
                    <w:rPr>
                      <w:b/>
                      <w:bCs/>
                      <w:caps/>
                      <w:color w:val="000000"/>
                    </w:rPr>
                    <w:t>II</w:t>
                  </w:r>
                </w:sdtContent>
              </w:sdt>
              <w:r>
                <w:rPr>
                  <w:b/>
                  <w:bCs/>
                  <w:caps/>
                  <w:color w:val="000000"/>
                </w:rPr>
                <w:t xml:space="preserve"> SKYRIUS </w:t>
              </w:r>
            </w:p>
            <w:p>
              <w:pPr>
                <w:widowControl w:val="0"/>
                <w:suppressAutoHyphens/>
                <w:jc w:val="center"/>
                <w:rPr>
                  <w:b/>
                  <w:bCs/>
                  <w:caps/>
                  <w:color w:val="000000"/>
                </w:rPr>
              </w:pPr>
              <w:sdt>
                <w:sdtPr>
                  <w:alias w:val="Pavadinimas"/>
                  <w:tag w:val="title_3750476d896f4740a07bf300aa6b8bb7"/>
                  <w:lock w:val="sdtLocked"/>
                  <w:richText/>
                </w:sdtPr>
                <w:sdtContent>
                  <w:r>
                    <w:rPr>
                      <w:b/>
                      <w:bCs/>
                      <w:caps/>
                      <w:color w:val="000000"/>
                    </w:rPr>
                    <w:t>INFORMACIJOS PATEIKIMAS ATASKAITOJE IR JOS GRUPAVIMAS</w:t>
                  </w:r>
                </w:sdtContent>
              </w:sdt>
            </w:p>
            <w:p>
              <w:pPr>
                <w:widowControl w:val="0"/>
                <w:suppressAutoHyphens/>
                <w:ind w:firstLine="567"/>
                <w:jc w:val="both"/>
                <w:rPr>
                  <w:color w:val="000000"/>
                </w:rPr>
              </w:pPr>
            </w:p>
            <w:sdt>
              <w:sdtPr>
                <w:alias w:val="5 p."/>
                <w:tag w:val="part_ab6e61b6046d4e28adb1e4fe985bbc28"/>
                <w:lock w:val="sdtLocked"/>
                <w:richText/>
              </w:sdtPr>
              <w:sdtContent>
                <w:p>
                  <w:pPr>
                    <w:widowControl w:val="0"/>
                    <w:tabs>
                      <w:tab w:val="left" w:pos="851"/>
                    </w:tabs>
                    <w:suppressAutoHyphens/>
                    <w:ind w:firstLine="567"/>
                    <w:jc w:val="both"/>
                    <w:rPr>
                      <w:color w:val="000000"/>
                    </w:rPr>
                  </w:pPr>
                  <w:sdt>
                    <w:sdtPr>
                      <w:alias w:val="Numeris"/>
                      <w:tag w:val="nr_ab6e61b6046d4e28adb1e4fe985bbc28"/>
                      <w:lock w:val="sdtLocked"/>
                      <w:richText/>
                    </w:sdtPr>
                    <w:sdtContent>
                      <w:r>
                        <w:rPr>
                          <w:color w:val="000000"/>
                        </w:rPr>
                        <w:t>5</w:t>
                      </w:r>
                    </w:sdtContent>
                  </w:sdt>
                  <w:r>
                    <w:rPr>
                      <w:color w:val="000000"/>
                    </w:rPr>
                    <w:t>.</w:t>
                    <w:tab/>
                    <w:t>Ataskaitoje informacija turi būti pateikta taip, kad išsamiai ir teisingai parodytų viešojo sektoriaus subjekto, viešojo sektoriaus subjektų grupės veiklos rezultatus, t. y. uždirbtas pajamas ir turėtas sąnaudas per šioje ataskaitoje nurodytą ataskaitinį laikotarpį.</w:t>
                  </w:r>
                </w:p>
              </w:sdtContent>
            </w:sdt>
            <w:sdt>
              <w:sdtPr>
                <w:alias w:val="6 p."/>
                <w:tag w:val="part_1fa1bdbe63a24988b35921ba4de9788f"/>
                <w:lock w:val="sdtLocked"/>
                <w:richText/>
              </w:sdtPr>
              <w:sdtContent>
                <w:p>
                  <w:pPr>
                    <w:widowControl w:val="0"/>
                    <w:tabs>
                      <w:tab w:val="left" w:pos="851"/>
                      <w:tab w:val="left" w:pos="1134"/>
                    </w:tabs>
                    <w:suppressAutoHyphens/>
                    <w:ind w:firstLine="567"/>
                    <w:jc w:val="both"/>
                    <w:rPr>
                      <w:color w:val="000000"/>
                    </w:rPr>
                  </w:pPr>
                  <w:sdt>
                    <w:sdtPr>
                      <w:alias w:val="Numeris"/>
                      <w:tag w:val="nr_1fa1bdbe63a24988b35921ba4de9788f"/>
                      <w:lock w:val="sdtLocked"/>
                      <w:richText/>
                    </w:sdtPr>
                    <w:sdtContent>
                      <w:r>
                        <w:rPr>
                          <w:color w:val="000000"/>
                        </w:rPr>
                        <w:t>6</w:t>
                      </w:r>
                    </w:sdtContent>
                  </w:sdt>
                  <w:r>
                    <w:rPr>
                      <w:color w:val="000000"/>
                    </w:rPr>
                    <w:t>.</w:t>
                    <w:tab/>
                    <w:t xml:space="preserve">Ataskaitoje teikiama informacija priklauso nuo to, kokio viešojo sektoriaus subjekto ar viešojo sektoriaus subjektų grupės ir kurio lygio finansinių ataskaitų rinkinys yra rengiamas. </w:t>
                  </w:r>
                  <w:r>
                    <w:t>Finansinių ataskaitų rinkinių lygiai nustatyti 1-ajame viešojo sektoriaus apskaitos ir finansinės atskaitomybės standarte „Informacijos pateikimas finansinių ataskaitų rinkinyje“, patvirtintame Lietuvos Respublikos finansų ministro 2007 m. gruodžio 28 d. įsakymu Nr. 1K-388 „Dėl viešojo sektoriaus apskaitos ir finansinės atskaitomybės 1-ojo standarto patvirtinimo“, (toliau – 1-asis VSAFAS „Informacijos pateikimas finansinių ataskaitų rinkinyje“).</w:t>
                  </w:r>
                </w:p>
              </w:sdtContent>
            </w:sdt>
            <w:sdt>
              <w:sdtPr>
                <w:alias w:val="7 p."/>
                <w:tag w:val="part_44b30e77f9004970951ecc8975d6a510"/>
                <w:lock w:val="sdtLocked"/>
                <w:richText/>
              </w:sdtPr>
              <w:sdtContent>
                <w:p>
                  <w:pPr>
                    <w:widowControl w:val="0"/>
                    <w:tabs>
                      <w:tab w:val="left" w:pos="851"/>
                      <w:tab w:val="left" w:pos="1134"/>
                    </w:tabs>
                    <w:suppressAutoHyphens/>
                    <w:ind w:firstLine="567"/>
                    <w:jc w:val="both"/>
                    <w:rPr>
                      <w:color w:val="000000"/>
                    </w:rPr>
                  </w:pPr>
                  <w:sdt>
                    <w:sdtPr>
                      <w:alias w:val="Numeris"/>
                      <w:tag w:val="nr_44b30e77f9004970951ecc8975d6a510"/>
                      <w:lock w:val="sdtLocked"/>
                      <w:richText/>
                    </w:sdtPr>
                    <w:sdtContent>
                      <w:r>
                        <w:rPr>
                          <w:color w:val="000000"/>
                        </w:rPr>
                        <w:t>7</w:t>
                      </w:r>
                    </w:sdtContent>
                  </w:sdt>
                  <w:r>
                    <w:rPr>
                      <w:color w:val="000000"/>
                    </w:rPr>
                    <w:t>.</w:t>
                    <w:tab/>
                  </w:r>
                  <w:r>
                    <w:rPr>
                      <w:color w:val="000000"/>
                      <w:szCs w:val="24"/>
                    </w:rPr>
                    <w:t>Ataskaitoje informacija teikiama:</w:t>
                  </w:r>
                </w:p>
                <w:sdt>
                  <w:sdtPr>
                    <w:alias w:val="7.1 pp."/>
                    <w:tag w:val="part_d1c9a8020d4847eb97dc6d3bf924a089"/>
                    <w:lock w:val="sdtLocked"/>
                    <w:richText/>
                  </w:sdtPr>
                  <w:sdtContent>
                    <w:p>
                      <w:pPr>
                        <w:widowControl w:val="0"/>
                        <w:tabs>
                          <w:tab w:val="left" w:pos="567"/>
                          <w:tab w:val="left" w:pos="1134"/>
                        </w:tabs>
                        <w:suppressAutoHyphens/>
                        <w:ind w:firstLine="567"/>
                        <w:jc w:val="both"/>
                        <w:rPr>
                          <w:color w:val="000000"/>
                          <w:szCs w:val="24"/>
                        </w:rPr>
                      </w:pPr>
                      <w:sdt>
                        <w:sdtPr>
                          <w:alias w:val="Numeris"/>
                          <w:tag w:val="nr_d1c9a8020d4847eb97dc6d3bf924a089"/>
                          <w:lock w:val="sdtLocked"/>
                          <w:richText/>
                        </w:sdtPr>
                        <w:sdtContent>
                          <w:r>
                            <w:rPr>
                              <w:color w:val="000000"/>
                              <w:szCs w:val="24"/>
                            </w:rPr>
                            <w:t>7.1</w:t>
                          </w:r>
                        </w:sdtContent>
                      </w:sdt>
                      <w:r>
                        <w:rPr>
                          <w:color w:val="000000"/>
                          <w:szCs w:val="24"/>
                        </w:rPr>
                        <w:t>.</w:t>
                        <w:tab/>
                        <w:t>viešojo sektoriaus subjekto, išskyrus fondus, finansinių ataskaitų rinkinyje – pagal Standarto 1 priede nustatytą formą;</w:t>
                      </w:r>
                    </w:p>
                  </w:sdtContent>
                </w:sdt>
                <w:sdt>
                  <w:sdtPr>
                    <w:alias w:val="7.2 pp."/>
                    <w:tag w:val="part_b2af0e1432174ff8852f929220693691"/>
                    <w:lock w:val="sdtLocked"/>
                    <w:richText/>
                  </w:sdtPr>
                  <w:sdtContent>
                    <w:p>
                      <w:pPr>
                        <w:widowControl w:val="0"/>
                        <w:tabs>
                          <w:tab w:val="left" w:pos="567"/>
                          <w:tab w:val="left" w:pos="1134"/>
                        </w:tabs>
                        <w:suppressAutoHyphens/>
                        <w:ind w:firstLine="567"/>
                        <w:jc w:val="both"/>
                        <w:rPr>
                          <w:color w:val="000000"/>
                          <w:szCs w:val="24"/>
                        </w:rPr>
                      </w:pPr>
                      <w:sdt>
                        <w:sdtPr>
                          <w:alias w:val="Numeris"/>
                          <w:tag w:val="nr_b2af0e1432174ff8852f929220693691"/>
                          <w:lock w:val="sdtLocked"/>
                          <w:richText/>
                        </w:sdtPr>
                        <w:sdtContent>
                          <w:r>
                            <w:rPr>
                              <w:color w:val="000000"/>
                              <w:szCs w:val="24"/>
                            </w:rPr>
                            <w:t>7.2</w:t>
                          </w:r>
                        </w:sdtContent>
                      </w:sdt>
                      <w:r>
                        <w:rPr>
                          <w:color w:val="000000"/>
                          <w:szCs w:val="24"/>
                        </w:rPr>
                        <w:t>.</w:t>
                        <w:tab/>
                        <w:t xml:space="preserve">viešojo sektoriaus subjektų grupės žemesniojo lygio finansinių ataskaitų rinkinyje – </w:t>
                      </w:r>
                      <w:r>
                        <w:t>pagal Standarto 2 priede nustatytą formą</w:t>
                      </w:r>
                      <w:r>
                        <w:rPr>
                          <w:color w:val="000000"/>
                          <w:szCs w:val="24"/>
                        </w:rPr>
                        <w:t>;</w:t>
                      </w:r>
                    </w:p>
                  </w:sdtContent>
                </w:sdt>
                <w:sdt>
                  <w:sdtPr>
                    <w:alias w:val="7.3 pp."/>
                    <w:tag w:val="part_67d0897145b848688606e77c57b8a69f"/>
                    <w:lock w:val="sdtLocked"/>
                    <w:richText/>
                  </w:sdtPr>
                  <w:sdtContent>
                    <w:p>
                      <w:pPr>
                        <w:widowControl w:val="0"/>
                        <w:tabs>
                          <w:tab w:val="left" w:pos="567"/>
                          <w:tab w:val="left" w:pos="1134"/>
                        </w:tabs>
                        <w:suppressAutoHyphens/>
                        <w:ind w:firstLine="567"/>
                        <w:jc w:val="both"/>
                        <w:rPr>
                          <w:color w:val="000000"/>
                        </w:rPr>
                      </w:pPr>
                      <w:sdt>
                        <w:sdtPr>
                          <w:alias w:val="Numeris"/>
                          <w:tag w:val="nr_67d0897145b848688606e77c57b8a69f"/>
                          <w:lock w:val="sdtLocked"/>
                          <w:richText/>
                        </w:sdtPr>
                        <w:sdtContent>
                          <w:r>
                            <w:rPr>
                              <w:color w:val="000000"/>
                            </w:rPr>
                            <w:t>7.3</w:t>
                          </w:r>
                        </w:sdtContent>
                      </w:sdt>
                      <w:r>
                        <w:rPr>
                          <w:color w:val="000000"/>
                        </w:rPr>
                        <w:t>.</w:t>
                        <w:tab/>
                        <w:t xml:space="preserve">valstybės </w:t>
                      </w:r>
                      <w:r>
                        <w:t>metinių finansinių ataskaitų rinkinyje – pagal Standarto 3 priede nustatytą formą</w:t>
                      </w:r>
                      <w:r>
                        <w:rPr>
                          <w:color w:val="000000"/>
                        </w:rPr>
                        <w:t>;</w:t>
                      </w:r>
                    </w:p>
                  </w:sdtContent>
                </w:sdt>
                <w:sdt>
                  <w:sdtPr>
                    <w:alias w:val="7.4 pp."/>
                    <w:tag w:val="part_dd1acd776b61411c8873a05ca60416a1"/>
                    <w:lock w:val="sdtLocked"/>
                    <w:richText/>
                  </w:sdtPr>
                  <w:sdtContent>
                    <w:p>
                      <w:pPr>
                        <w:widowControl w:val="0"/>
                        <w:tabs>
                          <w:tab w:val="left" w:pos="567"/>
                          <w:tab w:val="left" w:pos="1134"/>
                        </w:tabs>
                        <w:suppressAutoHyphens/>
                        <w:ind w:firstLine="567"/>
                        <w:jc w:val="both"/>
                        <w:rPr>
                          <w:color w:val="000000"/>
                        </w:rPr>
                      </w:pPr>
                      <w:sdt>
                        <w:sdtPr>
                          <w:alias w:val="Numeris"/>
                          <w:tag w:val="nr_dd1acd776b61411c8873a05ca60416a1"/>
                          <w:lock w:val="sdtLocked"/>
                          <w:richText/>
                        </w:sdtPr>
                        <w:sdtContent>
                          <w:r>
                            <w:rPr>
                              <w:color w:val="000000"/>
                            </w:rPr>
                            <w:t>7.4</w:t>
                          </w:r>
                        </w:sdtContent>
                      </w:sdt>
                      <w:r>
                        <w:rPr>
                          <w:color w:val="000000"/>
                        </w:rPr>
                        <w:t>.</w:t>
                        <w:tab/>
                        <w:t xml:space="preserve">savivaldybės </w:t>
                      </w:r>
                      <w:r>
                        <w:t>metinių finansinių ataskaitų rinkinyje – pagal Standarto 4 priede nustatytą formą</w:t>
                      </w:r>
                      <w:r>
                        <w:rPr>
                          <w:color w:val="000000"/>
                        </w:rPr>
                        <w:t>;</w:t>
                      </w:r>
                    </w:p>
                  </w:sdtContent>
                </w:sdt>
                <w:sdt>
                  <w:sdtPr>
                    <w:alias w:val="7.5 pp."/>
                    <w:tag w:val="part_42d5ab1c80904c14ab8f443f99254b0e"/>
                    <w:lock w:val="sdtLocked"/>
                    <w:richText/>
                  </w:sdtPr>
                  <w:sdtContent>
                    <w:p>
                      <w:pPr>
                        <w:widowControl w:val="0"/>
                        <w:tabs>
                          <w:tab w:val="left" w:pos="567"/>
                          <w:tab w:val="left" w:pos="1134"/>
                        </w:tabs>
                        <w:suppressAutoHyphens/>
                        <w:ind w:firstLine="567"/>
                        <w:jc w:val="both"/>
                        <w:rPr>
                          <w:color w:val="000000"/>
                        </w:rPr>
                      </w:pPr>
                      <w:sdt>
                        <w:sdtPr>
                          <w:alias w:val="Numeris"/>
                          <w:tag w:val="nr_42d5ab1c80904c14ab8f443f99254b0e"/>
                          <w:lock w:val="sdtLocked"/>
                          <w:richText/>
                        </w:sdtPr>
                        <w:sdtContent>
                          <w:r>
                            <w:rPr>
                              <w:color w:val="000000"/>
                            </w:rPr>
                            <w:t>7.5</w:t>
                          </w:r>
                        </w:sdtContent>
                      </w:sdt>
                      <w:r>
                        <w:rPr>
                          <w:color w:val="000000"/>
                        </w:rPr>
                        <w:t>.</w:t>
                        <w:tab/>
                        <w:t xml:space="preserve">nacionaliniame </w:t>
                      </w:r>
                      <w:r>
                        <w:t>metinių finansinių ataskaitų rinkinyje – pagal Standarto 5 priede nustatytą formą</w:t>
                      </w:r>
                      <w:r>
                        <w:rPr>
                          <w:color w:val="000000"/>
                        </w:rPr>
                        <w:t>.</w:t>
                      </w:r>
                    </w:p>
                    <w:p>
                      <w:pPr>
                        <w:tabs>
                          <w:tab w:val="left" w:pos="0"/>
                          <w:tab w:val="left" w:pos="426"/>
                          <w:tab w:val="left" w:pos="567"/>
                          <w:tab w:val="left" w:pos="1134"/>
                          <w:tab w:val="left" w:pos="1276"/>
                        </w:tabs>
                        <w:ind w:firstLine="567"/>
                        <w:jc w:val="both"/>
                        <w:rPr>
                          <w:color w:val="000000"/>
                        </w:rPr>
                      </w:pPr>
                    </w:p>
                  </w:sdtContent>
                </w:sdt>
              </w:sdtContent>
            </w:sdt>
          </w:sdtContent>
        </w:sdt>
        <w:sdt>
          <w:sdtPr>
            <w:alias w:val="skyrius"/>
            <w:tag w:val="part_2ecfa45376fa4c8abf22bcb828a79fb1"/>
            <w:lock w:val="sdtLocked"/>
            <w:richText/>
          </w:sdtPr>
          <w:sdtContent>
            <w:p>
              <w:pPr>
                <w:widowControl w:val="0"/>
                <w:suppressAutoHyphens/>
                <w:jc w:val="center"/>
                <w:rPr>
                  <w:b/>
                  <w:bCs/>
                  <w:caps/>
                  <w:color w:val="000000"/>
                </w:rPr>
              </w:pPr>
              <w:sdt>
                <w:sdtPr>
                  <w:alias w:val="Numeris"/>
                  <w:tag w:val="nr_2ecfa45376fa4c8abf22bcb828a79fb1"/>
                  <w:lock w:val="sdtLocked"/>
                  <w:richText/>
                </w:sdtPr>
                <w:sdtContent>
                  <w:r>
                    <w:rPr>
                      <w:b/>
                      <w:bCs/>
                      <w:caps/>
                      <w:color w:val="000000"/>
                    </w:rPr>
                    <w:t>III</w:t>
                  </w:r>
                </w:sdtContent>
              </w:sdt>
              <w:r>
                <w:rPr>
                  <w:b/>
                  <w:bCs/>
                  <w:caps/>
                  <w:color w:val="000000"/>
                </w:rPr>
                <w:t xml:space="preserve"> SKYRIUS </w:t>
              </w:r>
            </w:p>
            <w:p>
              <w:pPr>
                <w:widowControl w:val="0"/>
                <w:suppressAutoHyphens/>
                <w:jc w:val="center"/>
                <w:rPr>
                  <w:b/>
                  <w:bCs/>
                  <w:caps/>
                  <w:color w:val="000000"/>
                </w:rPr>
              </w:pPr>
              <w:sdt>
                <w:sdtPr>
                  <w:alias w:val="Pavadinimas"/>
                  <w:tag w:val="title_2ecfa45376fa4c8abf22bcb828a79fb1"/>
                  <w:lock w:val="sdtLocked"/>
                  <w:richText/>
                </w:sdtPr>
                <w:sdtContent>
                  <w:r>
                    <w:rPr>
                      <w:b/>
                      <w:bCs/>
                      <w:caps/>
                      <w:color w:val="000000"/>
                    </w:rPr>
                    <w:t>ATASKAITOS PAJAMŲ STRAIPSNIŲ PAAIŠKINIMAS</w:t>
                  </w:r>
                </w:sdtContent>
              </w:sdt>
            </w:p>
            <w:p>
              <w:pPr>
                <w:tabs>
                  <w:tab w:val="left" w:pos="0"/>
                  <w:tab w:val="left" w:pos="426"/>
                  <w:tab w:val="left" w:pos="567"/>
                  <w:tab w:val="left" w:pos="1134"/>
                  <w:tab w:val="left" w:pos="1276"/>
                </w:tabs>
                <w:ind w:firstLine="567"/>
                <w:jc w:val="both"/>
                <w:rPr>
                  <w:color w:val="000000"/>
                </w:rPr>
              </w:pPr>
            </w:p>
            <w:sdt>
              <w:sdtPr>
                <w:alias w:val="8 p."/>
                <w:tag w:val="part_5d6f9cb0a95e4a92bc700d4aafd668c9"/>
                <w:lock w:val="sdtLocked"/>
                <w:richText/>
              </w:sdtPr>
              <w:sdtContent>
                <w:p>
                  <w:pPr>
                    <w:widowControl w:val="0"/>
                    <w:tabs>
                      <w:tab w:val="left" w:pos="851"/>
                      <w:tab w:val="left" w:pos="1134"/>
                    </w:tabs>
                    <w:suppressAutoHyphens/>
                    <w:ind w:firstLine="567"/>
                    <w:jc w:val="both"/>
                    <w:rPr>
                      <w:color w:val="000000"/>
                    </w:rPr>
                  </w:pPr>
                  <w:sdt>
                    <w:sdtPr>
                      <w:alias w:val="Numeris"/>
                      <w:tag w:val="nr_5d6f9cb0a95e4a92bc700d4aafd668c9"/>
                      <w:lock w:val="sdtLocked"/>
                      <w:richText/>
                    </w:sdtPr>
                    <w:sdtContent>
                      <w:r>
                        <w:rPr>
                          <w:color w:val="000000"/>
                        </w:rPr>
                        <w:t>8</w:t>
                      </w:r>
                    </w:sdtContent>
                  </w:sdt>
                  <w:r>
                    <w:rPr>
                      <w:color w:val="000000"/>
                    </w:rPr>
                    <w:t>.</w:t>
                    <w:tab/>
                    <w:t xml:space="preserve">Straipsnyje „Finansavimo pajamos“ rodoma suma lygi viešojo sektoriaus subjektų per ataskaitinį laikotarpį turėtoms sąnaudoms kompensuoti panaudotai finansavimo sumų daliai, kaip to reikalaujama 20-ajame </w:t>
                  </w:r>
                  <w:r>
                    <w:t>viešojo sektoriaus apskaitos ir finansinės atskaitomybės standarte „Finansavimo sumos“, patvirtintame Lietuvos Respublikos finansų ministro 2008 m. birželio 9 d. įsakymu Nr. 1K-205 „Dėl viešojo sektoriaus apskaitos ir finansinės atskaitomybės 20-ojo standarto patvirtinimo“, (toliau – 20-asis VSAFAS „Finansavimo sumos“)</w:t>
                  </w:r>
                  <w:r>
                    <w:rPr>
                      <w:color w:val="000000"/>
                    </w:rPr>
                    <w:t>. Finansavimo pajamos ataskaitoje rodomos pagal šaltinius, kai finansavimo sumos skiriamos iš:</w:t>
                  </w:r>
                </w:p>
                <w:sdt>
                  <w:sdtPr>
                    <w:alias w:val="8.1 pp."/>
                    <w:tag w:val="part_cea269ef538d41f3bf7557562fd2479e"/>
                    <w:lock w:val="sdtLocked"/>
                    <w:richText/>
                  </w:sdtPr>
                  <w:sdtContent>
                    <w:p>
                      <w:pPr>
                        <w:widowControl w:val="0"/>
                        <w:tabs>
                          <w:tab w:val="left" w:pos="567"/>
                          <w:tab w:val="left" w:pos="851"/>
                          <w:tab w:val="left" w:pos="1134"/>
                        </w:tabs>
                        <w:suppressAutoHyphens/>
                        <w:ind w:firstLine="567"/>
                        <w:jc w:val="both"/>
                        <w:rPr>
                          <w:color w:val="000000"/>
                        </w:rPr>
                      </w:pPr>
                      <w:sdt>
                        <w:sdtPr>
                          <w:alias w:val="Numeris"/>
                          <w:tag w:val="nr_cea269ef538d41f3bf7557562fd2479e"/>
                          <w:lock w:val="sdtLocked"/>
                          <w:richText/>
                        </w:sdtPr>
                        <w:sdtContent>
                          <w:r>
                            <w:rPr>
                              <w:color w:val="000000"/>
                            </w:rPr>
                            <w:t>8.1</w:t>
                          </w:r>
                        </w:sdtContent>
                      </w:sdt>
                      <w:r>
                        <w:rPr>
                          <w:color w:val="000000"/>
                        </w:rPr>
                        <w:t>.</w:t>
                        <w:tab/>
                        <w:t xml:space="preserve">valstybės biudžeto. Šios sumos pateikiamos Standarto 1, 2 ir 4 prieduose </w:t>
                      </w:r>
                      <w:r>
                        <w:t xml:space="preserve">nustatytų </w:t>
                      </w:r>
                      <w:r>
                        <w:rPr>
                          <w:color w:val="000000"/>
                        </w:rPr>
                        <w:t>formų ataskaitų finansavimo pajamų straipsnyje „Iš valstybės biudžeto“;</w:t>
                      </w:r>
                    </w:p>
                  </w:sdtContent>
                </w:sdt>
                <w:sdt>
                  <w:sdtPr>
                    <w:alias w:val="8.2 pp."/>
                    <w:tag w:val="part_b0dbd82da6ac451781718bee2c652106"/>
                    <w:lock w:val="sdtLocked"/>
                    <w:richText/>
                  </w:sdtPr>
                  <w:sdtContent>
                    <w:p>
                      <w:pPr>
                        <w:widowControl w:val="0"/>
                        <w:tabs>
                          <w:tab w:val="left" w:pos="567"/>
                          <w:tab w:val="left" w:pos="851"/>
                          <w:tab w:val="left" w:pos="1134"/>
                        </w:tabs>
                        <w:suppressAutoHyphens/>
                        <w:ind w:firstLine="567"/>
                        <w:jc w:val="both"/>
                        <w:rPr>
                          <w:color w:val="000000"/>
                        </w:rPr>
                      </w:pPr>
                      <w:sdt>
                        <w:sdtPr>
                          <w:alias w:val="Numeris"/>
                          <w:tag w:val="nr_b0dbd82da6ac451781718bee2c652106"/>
                          <w:lock w:val="sdtLocked"/>
                          <w:richText/>
                        </w:sdtPr>
                        <w:sdtContent>
                          <w:r>
                            <w:rPr>
                              <w:color w:val="000000"/>
                            </w:rPr>
                            <w:t>8.2</w:t>
                          </w:r>
                        </w:sdtContent>
                      </w:sdt>
                      <w:r>
                        <w:rPr>
                          <w:color w:val="000000"/>
                        </w:rPr>
                        <w:t>.</w:t>
                        <w:tab/>
                        <w:t>savivaldybės biudžeto. Šios sumos pateikiamos Standarto 1 ir 2 prieduose nustatytų formų ataskaitų finansavimo pajamų straipsnyje „Iš savivaldybės biudžeto“;</w:t>
                      </w:r>
                    </w:p>
                  </w:sdtContent>
                </w:sdt>
                <w:sdt>
                  <w:sdtPr>
                    <w:alias w:val="8.3 pp."/>
                    <w:tag w:val="part_dab0f6caac7642b8ad46936d355aedab"/>
                    <w:lock w:val="sdtLocked"/>
                    <w:richText/>
                  </w:sdtPr>
                  <w:sdtContent>
                    <w:p>
                      <w:pPr>
                        <w:widowControl w:val="0"/>
                        <w:tabs>
                          <w:tab w:val="left" w:pos="567"/>
                          <w:tab w:val="left" w:pos="851"/>
                          <w:tab w:val="left" w:pos="1134"/>
                        </w:tabs>
                        <w:suppressAutoHyphens/>
                        <w:ind w:firstLine="567"/>
                        <w:jc w:val="both"/>
                        <w:rPr>
                          <w:color w:val="000000"/>
                        </w:rPr>
                      </w:pPr>
                      <w:sdt>
                        <w:sdtPr>
                          <w:alias w:val="Numeris"/>
                          <w:tag w:val="nr_dab0f6caac7642b8ad46936d355aedab"/>
                          <w:lock w:val="sdtLocked"/>
                          <w:richText/>
                        </w:sdtPr>
                        <w:sdtContent>
                          <w:r>
                            <w:rPr>
                              <w:color w:val="000000"/>
                            </w:rPr>
                            <w:t>8.3</w:t>
                          </w:r>
                        </w:sdtContent>
                      </w:sdt>
                      <w:r>
                        <w:rPr>
                          <w:color w:val="000000"/>
                        </w:rPr>
                        <w:t>.</w:t>
                        <w:tab/>
                        <w:t xml:space="preserve">Europos Sąjungos, užsienio valstybių ir tarptautinių organizacijų lėšų. Šios sumos pateikiamos Standarto 1, 2 ir 4 prieduose </w:t>
                      </w:r>
                      <w:r>
                        <w:t xml:space="preserve">nustatytų </w:t>
                      </w:r>
                      <w:r>
                        <w:rPr>
                          <w:color w:val="000000"/>
                        </w:rPr>
                        <w:t>formų ataskaitų finansavimo pajamų straipsnyje „Iš Europos Sąjungos, užsienio valstybių ir tarptautinių organizacijų lėšų“;</w:t>
                      </w:r>
                    </w:p>
                  </w:sdtContent>
                </w:sdt>
                <w:sdt>
                  <w:sdtPr>
                    <w:alias w:val="8.4 pp."/>
                    <w:tag w:val="part_c26073619ea94b45958d79d6b792693f"/>
                    <w:lock w:val="sdtLocked"/>
                    <w:richText/>
                  </w:sdtPr>
                  <w:sdtContent>
                    <w:p>
                      <w:pPr>
                        <w:widowControl w:val="0"/>
                        <w:tabs>
                          <w:tab w:val="left" w:pos="567"/>
                          <w:tab w:val="left" w:pos="851"/>
                          <w:tab w:val="left" w:pos="1134"/>
                        </w:tabs>
                        <w:suppressAutoHyphens/>
                        <w:ind w:firstLine="567"/>
                        <w:jc w:val="both"/>
                        <w:rPr>
                          <w:color w:val="000000"/>
                        </w:rPr>
                      </w:pPr>
                      <w:sdt>
                        <w:sdtPr>
                          <w:alias w:val="Numeris"/>
                          <w:tag w:val="nr_c26073619ea94b45958d79d6b792693f"/>
                          <w:lock w:val="sdtLocked"/>
                          <w:richText/>
                        </w:sdtPr>
                        <w:sdtContent>
                          <w:r>
                            <w:rPr>
                              <w:color w:val="000000"/>
                            </w:rPr>
                            <w:t>8.4</w:t>
                          </w:r>
                        </w:sdtContent>
                      </w:sdt>
                      <w:r>
                        <w:rPr>
                          <w:color w:val="000000"/>
                        </w:rPr>
                        <w:t>.</w:t>
                        <w:tab/>
                        <w:t xml:space="preserve">viešojo sektoriaus subjektų pajamų. Šios sumos pateikiamos Standarto 1, 2 ir 4 prieduose </w:t>
                      </w:r>
                      <w:r>
                        <w:t xml:space="preserve">nustatytų </w:t>
                      </w:r>
                      <w:r>
                        <w:rPr>
                          <w:color w:val="000000"/>
                        </w:rPr>
                        <w:t>formų ataskaitų straipsnyje „Iš viešojo sektoriaus subjektų pajamų“;</w:t>
                      </w:r>
                    </w:p>
                  </w:sdtContent>
                </w:sdt>
                <w:sdt>
                  <w:sdtPr>
                    <w:alias w:val="8.5 pp."/>
                    <w:tag w:val="part_79afc3896f9c4cf59f6e6fafa13de82b"/>
                    <w:lock w:val="sdtLocked"/>
                    <w:richText/>
                  </w:sdtPr>
                  <w:sdtContent>
                    <w:p>
                      <w:pPr>
                        <w:widowControl w:val="0"/>
                        <w:tabs>
                          <w:tab w:val="left" w:pos="567"/>
                          <w:tab w:val="left" w:pos="851"/>
                          <w:tab w:val="left" w:pos="1134"/>
                        </w:tabs>
                        <w:suppressAutoHyphens/>
                        <w:ind w:firstLine="567"/>
                        <w:jc w:val="both"/>
                        <w:rPr>
                          <w:color w:val="000000"/>
                        </w:rPr>
                      </w:pPr>
                      <w:sdt>
                        <w:sdtPr>
                          <w:alias w:val="Numeris"/>
                          <w:tag w:val="nr_79afc3896f9c4cf59f6e6fafa13de82b"/>
                          <w:lock w:val="sdtLocked"/>
                          <w:richText/>
                        </w:sdtPr>
                        <w:sdtContent>
                          <w:r>
                            <w:rPr>
                              <w:color w:val="000000"/>
                            </w:rPr>
                            <w:t>8.5</w:t>
                          </w:r>
                        </w:sdtContent>
                      </w:sdt>
                      <w:r>
                        <w:rPr>
                          <w:color w:val="000000"/>
                        </w:rPr>
                        <w:t>.</w:t>
                        <w:tab/>
                      </w:r>
                      <w:r>
                        <w:rPr>
                          <w:szCs w:val="24"/>
                          <w:lang w:eastAsia="lt-LT"/>
                        </w:rPr>
                        <w:t xml:space="preserve">fizinių ir privačių juridinių asmenų. </w:t>
                      </w:r>
                      <w:r>
                        <w:rPr>
                          <w:color w:val="000000"/>
                        </w:rPr>
                        <w:t xml:space="preserve">Šios sumos pateikiamos Standarto 1, 2 ir 4 prieduose </w:t>
                      </w:r>
                      <w:r>
                        <w:t xml:space="preserve">nustatytų </w:t>
                      </w:r>
                      <w:r>
                        <w:rPr>
                          <w:color w:val="000000"/>
                        </w:rPr>
                        <w:t xml:space="preserve">formų ataskaitų straipsnyje „Iš </w:t>
                      </w:r>
                      <w:r>
                        <w:rPr>
                          <w:szCs w:val="24"/>
                          <w:lang w:eastAsia="lt-LT"/>
                        </w:rPr>
                        <w:t>fizinių ir privačių juridinių asmenų“</w:t>
                      </w:r>
                      <w:r>
                        <w:rPr>
                          <w:color w:val="000000"/>
                          <w:szCs w:val="24"/>
                        </w:rPr>
                        <w:t>.</w:t>
                      </w:r>
                    </w:p>
                  </w:sdtContent>
                </w:sdt>
              </w:sdtContent>
            </w:sdt>
            <w:sdt>
              <w:sdtPr>
                <w:alias w:val="9 p."/>
                <w:tag w:val="part_9d2e1ac9e8a24c7886a889d5627f46fb"/>
                <w:lock w:val="sdtLocked"/>
                <w:richText/>
              </w:sdtPr>
              <w:sdtContent>
                <w:p>
                  <w:pPr>
                    <w:widowControl w:val="0"/>
                    <w:tabs>
                      <w:tab w:val="left" w:pos="851"/>
                      <w:tab w:val="left" w:pos="1134"/>
                    </w:tabs>
                    <w:suppressAutoHyphens/>
                    <w:ind w:firstLine="567"/>
                    <w:jc w:val="both"/>
                    <w:rPr>
                      <w:color w:val="000000"/>
                    </w:rPr>
                  </w:pPr>
                  <w:sdt>
                    <w:sdtPr>
                      <w:alias w:val="Numeris"/>
                      <w:tag w:val="nr_9d2e1ac9e8a24c7886a889d5627f46fb"/>
                      <w:lock w:val="sdtLocked"/>
                      <w:richText/>
                    </w:sdtPr>
                    <w:sdtContent>
                      <w:r>
                        <w:rPr>
                          <w:color w:val="000000"/>
                        </w:rPr>
                        <w:t>9</w:t>
                      </w:r>
                    </w:sdtContent>
                  </w:sdt>
                  <w:r>
                    <w:rPr>
                      <w:color w:val="000000"/>
                    </w:rPr>
                    <w:t>.</w:t>
                    <w:tab/>
                    <w:t xml:space="preserve">Straipsnyje „Mokesčių pajamos“ rodomos mokesčių pajamų sumos. Šios pajamos skirstomos į: </w:t>
                  </w:r>
                </w:p>
                <w:sdt>
                  <w:sdtPr>
                    <w:alias w:val="9.1 pp."/>
                    <w:tag w:val="part_1c9f2bb9f43f445191d6f3d97a9b8899"/>
                    <w:lock w:val="sdtLocked"/>
                    <w:richText/>
                  </w:sdtPr>
                  <w:sdtContent>
                    <w:p>
                      <w:pPr>
                        <w:widowControl w:val="0"/>
                        <w:tabs>
                          <w:tab w:val="left" w:pos="851"/>
                          <w:tab w:val="left" w:pos="1134"/>
                        </w:tabs>
                        <w:suppressAutoHyphens/>
                        <w:ind w:firstLine="567"/>
                        <w:jc w:val="both"/>
                        <w:rPr>
                          <w:color w:val="000000"/>
                        </w:rPr>
                      </w:pPr>
                      <w:sdt>
                        <w:sdtPr>
                          <w:alias w:val="Numeris"/>
                          <w:tag w:val="nr_1c9f2bb9f43f445191d6f3d97a9b8899"/>
                          <w:lock w:val="sdtLocked"/>
                          <w:richText/>
                        </w:sdtPr>
                        <w:sdtContent>
                          <w:r>
                            <w:rPr>
                              <w:color w:val="000000"/>
                            </w:rPr>
                            <w:t>9.1</w:t>
                          </w:r>
                        </w:sdtContent>
                      </w:sdt>
                      <w:r>
                        <w:rPr>
                          <w:color w:val="000000"/>
                        </w:rPr>
                        <w:t>.</w:t>
                        <w:tab/>
                        <w:t xml:space="preserve">pelno ir pajamų mokesčių pajamas. Jos apima mokesčius, kurių apskaičiavimo bazė yra juridinių asmenų apmokestinamasis pelnas arba gyventojų pajamos, tokius kaip gyventojų pajamų mokestis, pelno ir socialinis mokesčiai. Šios sumos pateikiamos Standarto 3 ir 5 prieduose </w:t>
                      </w:r>
                      <w:r>
                        <w:t xml:space="preserve">nustatytų </w:t>
                      </w:r>
                      <w:r>
                        <w:rPr>
                          <w:color w:val="000000"/>
                        </w:rPr>
                        <w:t xml:space="preserve">formų ataskaitų straipsnyje „Pelno ir pajamų mokesčių“. Dalis šių pajamų – gyventojų pajamų mokesčio pajamos – pateikiama Standarto 4 priede </w:t>
                      </w:r>
                      <w:r>
                        <w:t xml:space="preserve">nustatytos </w:t>
                      </w:r>
                      <w:r>
                        <w:rPr>
                          <w:color w:val="000000"/>
                        </w:rPr>
                        <w:t>formos ataskaitos straipsnyje „Gyventojų pajamų mokesčio pajamos“;</w:t>
                      </w:r>
                    </w:p>
                  </w:sdtContent>
                </w:sdt>
                <w:sdt>
                  <w:sdtPr>
                    <w:alias w:val="9.2 pp."/>
                    <w:tag w:val="part_4d8836b9c52342cbba81bd3372b21017"/>
                    <w:lock w:val="sdtLocked"/>
                    <w:richText/>
                  </w:sdtPr>
                  <w:sdtContent>
                    <w:p>
                      <w:pPr>
                        <w:widowControl w:val="0"/>
                        <w:tabs>
                          <w:tab w:val="left" w:pos="851"/>
                          <w:tab w:val="left" w:pos="1134"/>
                        </w:tabs>
                        <w:suppressAutoHyphens/>
                        <w:ind w:firstLine="567"/>
                        <w:jc w:val="both"/>
                        <w:rPr>
                          <w:color w:val="000000"/>
                        </w:rPr>
                      </w:pPr>
                      <w:sdt>
                        <w:sdtPr>
                          <w:alias w:val="Numeris"/>
                          <w:tag w:val="nr_4d8836b9c52342cbba81bd3372b21017"/>
                          <w:lock w:val="sdtLocked"/>
                          <w:richText/>
                        </w:sdtPr>
                        <w:sdtContent>
                          <w:r>
                            <w:rPr>
                              <w:color w:val="000000"/>
                            </w:rPr>
                            <w:t>9.2</w:t>
                          </w:r>
                        </w:sdtContent>
                      </w:sdt>
                      <w:r>
                        <w:rPr>
                          <w:color w:val="000000"/>
                        </w:rPr>
                        <w:t>.</w:t>
                        <w:tab/>
                        <w:t xml:space="preserve">prekių ir paslaugų mokesčių pajamas. Jos apima pridėtinės vertės mokestį, akcizus, loterijų ir azartinių lošimų mokestį bei kitus mokesčius, nurodytus 9-ajame </w:t>
                      </w:r>
                      <w:r>
                        <w:t xml:space="preserve">viešojo sektoriaus apskaitos ir finansinės atskaitomybės standarte </w:t>
                      </w:r>
                      <w:r>
                        <w:rPr>
                          <w:color w:val="000000"/>
                        </w:rPr>
                        <w:t xml:space="preserve">„Mokesčių ir socialinių įmokų pajamos“, </w:t>
                      </w:r>
                      <w:r>
                        <w:t>patvirtintame Lietuvos Respublikos finansų ministro 2008 m. birželio 20 d. įsakymu Nr. 1K-219 „Dėl viešojo sektoriaus apskaitos ir finansinės atskaitomybės 9-ojo standarto patvirtinimo“, (toliau – 9-asis VSAFAS „</w:t>
                      </w:r>
                      <w:r>
                        <w:rPr>
                          <w:color w:val="000000"/>
                        </w:rPr>
                        <w:t xml:space="preserve">Mokesčių ir socialinių įmokų pajamos“). Šios sumos pateikiamos Standarto 3 ir 5 prieduose </w:t>
                      </w:r>
                      <w:r>
                        <w:t xml:space="preserve">nustatytų </w:t>
                      </w:r>
                      <w:r>
                        <w:rPr>
                          <w:color w:val="000000"/>
                        </w:rPr>
                        <w:t>formų ataskaitų straipsnyje „Prekių ir paslaugų mokesčių“;</w:t>
                      </w:r>
                    </w:p>
                  </w:sdtContent>
                </w:sdt>
                <w:sdt>
                  <w:sdtPr>
                    <w:alias w:val="9.3 pp."/>
                    <w:tag w:val="part_8913b0963b5e41bdbba1a20dac60c03d"/>
                    <w:lock w:val="sdtLocked"/>
                    <w:richText/>
                  </w:sdtPr>
                  <w:sdtContent>
                    <w:p>
                      <w:pPr>
                        <w:widowControl w:val="0"/>
                        <w:tabs>
                          <w:tab w:val="left" w:pos="851"/>
                          <w:tab w:val="left" w:pos="1134"/>
                        </w:tabs>
                        <w:suppressAutoHyphens/>
                        <w:ind w:firstLine="567"/>
                        <w:jc w:val="both"/>
                        <w:rPr>
                          <w:color w:val="000000"/>
                        </w:rPr>
                      </w:pPr>
                      <w:sdt>
                        <w:sdtPr>
                          <w:alias w:val="Numeris"/>
                          <w:tag w:val="nr_8913b0963b5e41bdbba1a20dac60c03d"/>
                          <w:lock w:val="sdtLocked"/>
                          <w:richText/>
                        </w:sdtPr>
                        <w:sdtContent>
                          <w:r>
                            <w:rPr>
                              <w:color w:val="000000"/>
                            </w:rPr>
                            <w:t>9.3</w:t>
                          </w:r>
                        </w:sdtContent>
                      </w:sdt>
                      <w:r>
                        <w:rPr>
                          <w:color w:val="000000"/>
                        </w:rPr>
                        <w:t>.</w:t>
                        <w:tab/>
                      </w:r>
                      <w:r>
                        <w:t xml:space="preserve">turto mokesčių pajamas. </w:t>
                      </w:r>
                      <w:r>
                        <w:rPr>
                          <w:color w:val="000000"/>
                        </w:rPr>
                        <w:t xml:space="preserve">Jos apima turto mokesčius, kurie nurodyti 9-ajame </w:t>
                      </w:r>
                      <w:r>
                        <w:t>VSAFAS „Mokesčių ir socialinių įmokų pajamos“</w:t>
                      </w:r>
                      <w:r>
                        <w:rPr>
                          <w:color w:val="000000"/>
                        </w:rPr>
                        <w:t xml:space="preserve">. Šios sumos pateikiamos Standarto 4 priede </w:t>
                      </w:r>
                      <w:r>
                        <w:t xml:space="preserve">nustatytos </w:t>
                      </w:r>
                      <w:r>
                        <w:rPr>
                          <w:color w:val="000000"/>
                        </w:rPr>
                        <w:t xml:space="preserve">formos ataskaitos straipsnyje „Turto mokesčių pajamos“; </w:t>
                      </w:r>
                    </w:p>
                  </w:sdtContent>
                </w:sdt>
                <w:sdt>
                  <w:sdtPr>
                    <w:alias w:val="9.4 pp."/>
                    <w:tag w:val="part_7ba471b4cf01453893b08a1cebca9da2"/>
                    <w:lock w:val="sdtLocked"/>
                    <w:richText/>
                  </w:sdtPr>
                  <w:sdtContent>
                    <w:p>
                      <w:pPr>
                        <w:widowControl w:val="0"/>
                        <w:tabs>
                          <w:tab w:val="left" w:pos="851"/>
                          <w:tab w:val="left" w:pos="1134"/>
                        </w:tabs>
                        <w:suppressAutoHyphens/>
                        <w:ind w:firstLine="567"/>
                        <w:jc w:val="both"/>
                        <w:rPr>
                          <w:color w:val="000000"/>
                        </w:rPr>
                      </w:pPr>
                      <w:sdt>
                        <w:sdtPr>
                          <w:alias w:val="Numeris"/>
                          <w:tag w:val="nr_7ba471b4cf01453893b08a1cebca9da2"/>
                          <w:lock w:val="sdtLocked"/>
                          <w:richText/>
                        </w:sdtPr>
                        <w:sdtContent>
                          <w:r>
                            <w:rPr>
                              <w:color w:val="000000"/>
                            </w:rPr>
                            <w:t>9.4</w:t>
                          </w:r>
                        </w:sdtContent>
                      </w:sdt>
                      <w:r>
                        <w:rPr>
                          <w:color w:val="000000"/>
                        </w:rPr>
                        <w:t>.</w:t>
                        <w:tab/>
                        <w:t xml:space="preserve">kitų mokesčių pajamas. Šios sumos pateikiamos Standarto 3, 4 ir 5 prieduose </w:t>
                      </w:r>
                      <w:r>
                        <w:t xml:space="preserve">nustatytų </w:t>
                      </w:r>
                      <w:r>
                        <w:rPr>
                          <w:color w:val="000000"/>
                        </w:rPr>
                        <w:t>formų ataskaitų straipsnyje „Kitų mokesčių pajamos“</w:t>
                      </w:r>
                      <w:r>
                        <w:t xml:space="preserve">. </w:t>
                      </w:r>
                      <w:r>
                        <w:rPr>
                          <w:color w:val="000000"/>
                        </w:rPr>
                        <w:t>Jos apima visas kitas mokesčių, kurie nurodyti 9-ajame VSAFAS „Mokesčių ir socialinių įmokų pajamos“, sumas, išskyrus:</w:t>
                      </w:r>
                    </w:p>
                    <w:sdt>
                      <w:sdtPr>
                        <w:alias w:val="9.4.1 pp."/>
                        <w:tag w:val="part_1f8f5b4a4f284f53835e2025702df783"/>
                        <w:lock w:val="sdtLocked"/>
                        <w:richText/>
                      </w:sdtPr>
                      <w:sdtContent>
                        <w:p>
                          <w:pPr>
                            <w:widowControl w:val="0"/>
                            <w:tabs>
                              <w:tab w:val="left" w:pos="851"/>
                              <w:tab w:val="left" w:pos="1134"/>
                            </w:tabs>
                            <w:suppressAutoHyphens/>
                            <w:ind w:firstLine="567"/>
                            <w:jc w:val="both"/>
                            <w:rPr>
                              <w:color w:val="000000"/>
                            </w:rPr>
                          </w:pPr>
                          <w:sdt>
                            <w:sdtPr>
                              <w:alias w:val="Numeris"/>
                              <w:tag w:val="nr_1f8f5b4a4f284f53835e2025702df783"/>
                              <w:lock w:val="sdtLocked"/>
                              <w:richText/>
                            </w:sdtPr>
                            <w:sdtContent>
                              <w:r>
                                <w:rPr>
                                  <w:color w:val="000000"/>
                                </w:rPr>
                                <w:t>9.4.1</w:t>
                              </w:r>
                            </w:sdtContent>
                          </w:sdt>
                          <w:r>
                            <w:rPr>
                              <w:color w:val="000000"/>
                            </w:rPr>
                            <w:t>.</w:t>
                            <w:tab/>
                            <w:t xml:space="preserve"> mokesčių, nurodytų Standarto 9.1 ir 9.2 papunkčiuose, pajamas – Standarto 3 ir 5 prieduose </w:t>
                          </w:r>
                          <w:r>
                            <w:t xml:space="preserve">nustatytų </w:t>
                          </w:r>
                          <w:r>
                            <w:rPr>
                              <w:color w:val="000000"/>
                            </w:rPr>
                            <w:t>formų ataskaitose;</w:t>
                          </w:r>
                        </w:p>
                      </w:sdtContent>
                    </w:sdt>
                    <w:sdt>
                      <w:sdtPr>
                        <w:alias w:val="9.4.2 pp."/>
                        <w:tag w:val="part_99362b996e784ccbab9f060c0e139cb6"/>
                        <w:lock w:val="sdtLocked"/>
                        <w:richText/>
                      </w:sdtPr>
                      <w:sdtContent>
                        <w:p>
                          <w:pPr>
                            <w:widowControl w:val="0"/>
                            <w:tabs>
                              <w:tab w:val="left" w:pos="851"/>
                              <w:tab w:val="left" w:pos="1134"/>
                            </w:tabs>
                            <w:suppressAutoHyphens/>
                            <w:ind w:firstLine="567"/>
                            <w:jc w:val="both"/>
                            <w:rPr>
                              <w:color w:val="000000"/>
                            </w:rPr>
                          </w:pPr>
                          <w:sdt>
                            <w:sdtPr>
                              <w:alias w:val="Numeris"/>
                              <w:tag w:val="nr_99362b996e784ccbab9f060c0e139cb6"/>
                              <w:lock w:val="sdtLocked"/>
                              <w:richText/>
                            </w:sdtPr>
                            <w:sdtContent>
                              <w:r>
                                <w:rPr>
                                  <w:color w:val="000000"/>
                                </w:rPr>
                                <w:t>9.4.2</w:t>
                              </w:r>
                            </w:sdtContent>
                          </w:sdt>
                          <w:r>
                            <w:rPr>
                              <w:color w:val="000000"/>
                            </w:rPr>
                            <w:t>.</w:t>
                            <w:tab/>
                            <w:t xml:space="preserve">mokesčių, nurodytų Standarto 9.1–9.3 papunkčiuose, pajamas – Standarto 4 priede </w:t>
                          </w:r>
                          <w:r>
                            <w:t xml:space="preserve">nustatytos </w:t>
                          </w:r>
                          <w:r>
                            <w:rPr>
                              <w:color w:val="000000"/>
                            </w:rPr>
                            <w:t>formos ataskaitoje.</w:t>
                          </w:r>
                        </w:p>
                      </w:sdtContent>
                    </w:sdt>
                  </w:sdtContent>
                </w:sdt>
              </w:sdtContent>
            </w:sdt>
            <w:sdt>
              <w:sdtPr>
                <w:alias w:val="10 p."/>
                <w:tag w:val="part_f35a0903b07044f1b0c79c1a9df36548"/>
                <w:lock w:val="sdtLocked"/>
                <w:richText/>
              </w:sdtPr>
              <w:sdtContent>
                <w:p>
                  <w:pPr>
                    <w:widowControl w:val="0"/>
                    <w:tabs>
                      <w:tab w:val="left" w:pos="851"/>
                      <w:tab w:val="left" w:pos="1134"/>
                    </w:tabs>
                    <w:suppressAutoHyphens/>
                    <w:ind w:firstLine="567"/>
                    <w:jc w:val="both"/>
                    <w:rPr>
                      <w:color w:val="000000"/>
                    </w:rPr>
                  </w:pPr>
                  <w:sdt>
                    <w:sdtPr>
                      <w:alias w:val="Numeris"/>
                      <w:tag w:val="nr_f35a0903b07044f1b0c79c1a9df36548"/>
                      <w:lock w:val="sdtLocked"/>
                      <w:richText/>
                    </w:sdtPr>
                    <w:sdtContent>
                      <w:r>
                        <w:rPr>
                          <w:color w:val="000000"/>
                        </w:rPr>
                        <w:t>10</w:t>
                      </w:r>
                    </w:sdtContent>
                  </w:sdt>
                  <w:r>
                    <w:rPr>
                      <w:color w:val="000000"/>
                    </w:rPr>
                    <w:t>.</w:t>
                    <w:tab/>
                    <w:t>Įmokų į fondus pajamoms taikomi apskaitos ir informacijos apie jas pateikimo reikalavimai nustatyti 9-ajame VSAFAS „Mokesčių ir socialinių įmokų pajamos“. Šios sumos pateikiamos Standarto 2 priede nustatytos formos ataskaitos straipsnyje „Įmokų į fondus pajamos“, Standarto 3 priede nustatytos formos ataskaitos straipsnyje „Kitų įmokų į fondus pajamos“ ir Standarto 5 priede nustatytos formos ataskaitos straipsnyje „Kitų socialinių įmokų ir įmokų į fondus pajamos“.</w:t>
                  </w:r>
                </w:p>
              </w:sdtContent>
            </w:sdt>
            <w:sdt>
              <w:sdtPr>
                <w:alias w:val="11 p."/>
                <w:tag w:val="part_cd85f1bee5e54762a0a313010b8d3e9b"/>
                <w:lock w:val="sdtLocked"/>
                <w:richText/>
              </w:sdtPr>
              <w:sdtContent>
                <w:p>
                  <w:pPr>
                    <w:widowControl w:val="0"/>
                    <w:tabs>
                      <w:tab w:val="left" w:pos="851"/>
                      <w:tab w:val="left" w:pos="1134"/>
                    </w:tabs>
                    <w:suppressAutoHyphens/>
                    <w:ind w:firstLine="567"/>
                    <w:jc w:val="both"/>
                    <w:rPr>
                      <w:color w:val="000000"/>
                    </w:rPr>
                  </w:pPr>
                  <w:sdt>
                    <w:sdtPr>
                      <w:alias w:val="Numeris"/>
                      <w:tag w:val="nr_cd85f1bee5e54762a0a313010b8d3e9b"/>
                      <w:lock w:val="sdtLocked"/>
                      <w:richText/>
                    </w:sdtPr>
                    <w:sdtContent>
                      <w:r>
                        <w:rPr>
                          <w:color w:val="000000"/>
                        </w:rPr>
                        <w:t>11</w:t>
                      </w:r>
                    </w:sdtContent>
                  </w:sdt>
                  <w:r>
                    <w:rPr>
                      <w:color w:val="000000"/>
                    </w:rPr>
                    <w:t>.</w:t>
                    <w:tab/>
                    <w:t xml:space="preserve">Straipsnyje „Socialinių įmokų ir kitų įmokų į fondus pajamos“ rodomos socialinių įmokų ir kitų įmokų į fondus pajamos. Jų apskaitos ir informacijos apie jas pateikimo reikalavimai nustatyti 9-ajame VSAFAS „Mokesčių ir socialinių įmokų pajamos“. Šios sumos pateikiamos Standarto 3 ir 5 prieduose </w:t>
                  </w:r>
                  <w:r>
                    <w:t xml:space="preserve">nustatytų </w:t>
                  </w:r>
                  <w:r>
                    <w:rPr>
                      <w:color w:val="000000"/>
                    </w:rPr>
                    <w:t>formų ataskaitose. Standarto 5 priede nustatytos formos ataskaitoje šios sumos detalizuojamos į:</w:t>
                  </w:r>
                </w:p>
                <w:sdt>
                  <w:sdtPr>
                    <w:alias w:val="11.1 pp."/>
                    <w:tag w:val="part_cb0e8b32ef274916b6fe571138ca6df7"/>
                    <w:lock w:val="sdtLocked"/>
                    <w:richText/>
                  </w:sdtPr>
                  <w:sdtContent>
                    <w:p>
                      <w:pPr>
                        <w:widowControl w:val="0"/>
                        <w:tabs>
                          <w:tab w:val="left" w:pos="851"/>
                          <w:tab w:val="left" w:pos="1134"/>
                        </w:tabs>
                        <w:suppressAutoHyphens/>
                        <w:ind w:firstLine="567"/>
                        <w:jc w:val="both"/>
                        <w:rPr>
                          <w:color w:val="000000"/>
                        </w:rPr>
                      </w:pPr>
                      <w:sdt>
                        <w:sdtPr>
                          <w:alias w:val="Numeris"/>
                          <w:tag w:val="nr_cb0e8b32ef274916b6fe571138ca6df7"/>
                          <w:lock w:val="sdtLocked"/>
                          <w:richText/>
                        </w:sdtPr>
                        <w:sdtContent>
                          <w:r>
                            <w:rPr>
                              <w:color w:val="000000"/>
                            </w:rPr>
                            <w:t>11.1</w:t>
                          </w:r>
                        </w:sdtContent>
                      </w:sdt>
                      <w:r>
                        <w:rPr>
                          <w:color w:val="000000"/>
                        </w:rPr>
                        <w:t>.</w:t>
                        <w:tab/>
                        <w:t xml:space="preserve">Valstybinio socialinio draudimo fondo socialinių įmokų pajamas; </w:t>
                      </w:r>
                    </w:p>
                  </w:sdtContent>
                </w:sdt>
                <w:sdt>
                  <w:sdtPr>
                    <w:alias w:val="11.2 pp."/>
                    <w:tag w:val="part_5ca55f247d4b484388cbafc91a8cc3bb"/>
                    <w:lock w:val="sdtLocked"/>
                    <w:richText/>
                  </w:sdtPr>
                  <w:sdtContent>
                    <w:p>
                      <w:pPr>
                        <w:widowControl w:val="0"/>
                        <w:tabs>
                          <w:tab w:val="left" w:pos="851"/>
                          <w:tab w:val="left" w:pos="1134"/>
                        </w:tabs>
                        <w:suppressAutoHyphens/>
                        <w:ind w:firstLine="567"/>
                        <w:jc w:val="both"/>
                        <w:rPr>
                          <w:color w:val="000000"/>
                        </w:rPr>
                      </w:pPr>
                      <w:sdt>
                        <w:sdtPr>
                          <w:alias w:val="Numeris"/>
                          <w:tag w:val="nr_5ca55f247d4b484388cbafc91a8cc3bb"/>
                          <w:lock w:val="sdtLocked"/>
                          <w:richText/>
                        </w:sdtPr>
                        <w:sdtContent>
                          <w:r>
                            <w:rPr>
                              <w:color w:val="000000"/>
                            </w:rPr>
                            <w:t>11.2</w:t>
                          </w:r>
                        </w:sdtContent>
                      </w:sdt>
                      <w:r>
                        <w:rPr>
                          <w:color w:val="000000"/>
                        </w:rPr>
                        <w:t>.</w:t>
                        <w:tab/>
                        <w:t xml:space="preserve">Privalomojo sveikatos draudimo fondo socialinių įmokų pajamas; </w:t>
                      </w:r>
                    </w:p>
                  </w:sdtContent>
                </w:sdt>
                <w:sdt>
                  <w:sdtPr>
                    <w:alias w:val="11.3 pp."/>
                    <w:tag w:val="part_fc3a811b0bab4019a48c37dd0474de0d"/>
                    <w:lock w:val="sdtLocked"/>
                    <w:richText/>
                  </w:sdtPr>
                  <w:sdtContent>
                    <w:p>
                      <w:pPr>
                        <w:widowControl w:val="0"/>
                        <w:tabs>
                          <w:tab w:val="left" w:pos="851"/>
                          <w:tab w:val="left" w:pos="1134"/>
                        </w:tabs>
                        <w:suppressAutoHyphens/>
                        <w:ind w:firstLine="567"/>
                        <w:jc w:val="both"/>
                        <w:rPr>
                          <w:color w:val="000000"/>
                        </w:rPr>
                      </w:pPr>
                      <w:sdt>
                        <w:sdtPr>
                          <w:alias w:val="Numeris"/>
                          <w:tag w:val="nr_fc3a811b0bab4019a48c37dd0474de0d"/>
                          <w:lock w:val="sdtLocked"/>
                          <w:richText/>
                        </w:sdtPr>
                        <w:sdtContent>
                          <w:r>
                            <w:rPr>
                              <w:color w:val="000000"/>
                            </w:rPr>
                            <w:t>11.3</w:t>
                          </w:r>
                        </w:sdtContent>
                      </w:sdt>
                      <w:r>
                        <w:rPr>
                          <w:color w:val="000000"/>
                        </w:rPr>
                        <w:t>.</w:t>
                        <w:tab/>
                        <w:t xml:space="preserve">Pensijų anuitetų įmokų pajamas; </w:t>
                      </w:r>
                    </w:p>
                  </w:sdtContent>
                </w:sdt>
                <w:sdt>
                  <w:sdtPr>
                    <w:alias w:val="11.4 pp."/>
                    <w:tag w:val="part_c7aefe917faf4e228f14f8d642a9ecec"/>
                    <w:lock w:val="sdtLocked"/>
                    <w:richText/>
                  </w:sdtPr>
                  <w:sdtContent>
                    <w:p>
                      <w:pPr>
                        <w:widowControl w:val="0"/>
                        <w:tabs>
                          <w:tab w:val="left" w:pos="851"/>
                          <w:tab w:val="left" w:pos="1134"/>
                        </w:tabs>
                        <w:suppressAutoHyphens/>
                        <w:ind w:firstLine="567"/>
                        <w:jc w:val="both"/>
                        <w:rPr>
                          <w:color w:val="000000"/>
                        </w:rPr>
                      </w:pPr>
                      <w:sdt>
                        <w:sdtPr>
                          <w:alias w:val="Numeris"/>
                          <w:tag w:val="nr_c7aefe917faf4e228f14f8d642a9ecec"/>
                          <w:lock w:val="sdtLocked"/>
                          <w:richText/>
                        </w:sdtPr>
                        <w:sdtContent>
                          <w:r>
                            <w:rPr>
                              <w:color w:val="000000"/>
                            </w:rPr>
                            <w:t>11.4</w:t>
                          </w:r>
                        </w:sdtContent>
                      </w:sdt>
                      <w:r>
                        <w:rPr>
                          <w:color w:val="000000"/>
                        </w:rPr>
                        <w:t>.</w:t>
                        <w:tab/>
                        <w:t>kitų valstybės socialinių fondų socialinių įmokų pajamas ir kitų socialinių įmokų ir įmokų į fondus pajamas. Mokesčių, socialinių įmokų ir kitų įmokų į fondus pajamoms taikomi apskaitos ir informacijos apie jas pateikimo reikalavimai nustatyti 9-ajame VSAFAS „Mokesčių ir socialinių įmokų pajamos“, informacijos apie socialinių įmokų pajamas pateikimo reikalavimai taip pat nustatyti 29-ajame VSAFAS „Pensijų anuitetų fondo apskaita ir ataskaitų rinkinys“ ir 32-ajame VSAFAS „Valstybės socialinių fondų ataskaitų rinkiniai“.</w:t>
                      </w:r>
                    </w:p>
                  </w:sdtContent>
                </w:sdt>
              </w:sdtContent>
            </w:sdt>
            <w:sdt>
              <w:sdtPr>
                <w:alias w:val="12 p."/>
                <w:tag w:val="part_6d3f72c3b9bf48cf8f205057d81832dd"/>
                <w:lock w:val="sdtLocked"/>
                <w:richText/>
              </w:sdtPr>
              <w:sdtContent>
                <w:p>
                  <w:pPr>
                    <w:widowControl w:val="0"/>
                    <w:tabs>
                      <w:tab w:val="left" w:pos="851"/>
                      <w:tab w:val="left" w:pos="1134"/>
                    </w:tabs>
                    <w:suppressAutoHyphens/>
                    <w:ind w:firstLine="567"/>
                    <w:jc w:val="both"/>
                    <w:rPr>
                      <w:color w:val="000000"/>
                    </w:rPr>
                  </w:pPr>
                  <w:sdt>
                    <w:sdtPr>
                      <w:alias w:val="Numeris"/>
                      <w:tag w:val="nr_6d3f72c3b9bf48cf8f205057d81832dd"/>
                      <w:lock w:val="sdtLocked"/>
                      <w:richText/>
                    </w:sdtPr>
                    <w:sdtContent>
                      <w:r>
                        <w:rPr>
                          <w:color w:val="000000"/>
                        </w:rPr>
                        <w:t>12</w:t>
                      </w:r>
                    </w:sdtContent>
                  </w:sdt>
                  <w:r>
                    <w:rPr>
                      <w:color w:val="000000"/>
                    </w:rPr>
                    <w:t>.</w:t>
                    <w:tab/>
                    <w:t xml:space="preserve">Straipsnį „Kitos pajamos“ detalizuojantys straipsniai plačiau paaiškinti 10-ajame viešojo sektoriaus apskaitos ir finansinės atskaitomybės standarte „Kitos pajamos“, patvirtintame </w:t>
                  </w:r>
                  <w:r>
                    <w:t>Lietuvos Respublikos finansų ministro 2008 m. balandžio 28 d. įsakymu Nr. 1K-161 „Dėl viešojo sektoriaus apskaitos ir finansinės atskaitomybės 10-ojo standarto patvirtinimo“, (toliau – 10-asis VSAFAS „Kitos pajamos“)</w:t>
                  </w:r>
                  <w:r>
                    <w:rPr>
                      <w:color w:val="000000"/>
                    </w:rPr>
                    <w:t>. Šiame straipsnyje pajamos rodomos grynąja verte ir apskaičiuojamos kaip viešojo sektoriaus subjekto uždirbtų pajamų ir Standarto 12.6 papunktyje nurodytų pervestinų į valstybės, savivaldybės ar fondų biudžetus pajamų skirtumas. Kitos pajamos ataskaitoje rodomos pagal šias grupes:</w:t>
                  </w:r>
                </w:p>
                <w:sdt>
                  <w:sdtPr>
                    <w:alias w:val="12.1 pp."/>
                    <w:tag w:val="part_3b756a7342c14fbcaaaa7e57fa597cc7"/>
                    <w:lock w:val="sdtLocked"/>
                    <w:richText/>
                  </w:sdtPr>
                  <w:sdtContent>
                    <w:p>
                      <w:pPr>
                        <w:widowControl w:val="0"/>
                        <w:tabs>
                          <w:tab w:val="left" w:pos="851"/>
                          <w:tab w:val="left" w:pos="1134"/>
                        </w:tabs>
                        <w:suppressAutoHyphens/>
                        <w:ind w:firstLine="567"/>
                        <w:jc w:val="both"/>
                        <w:rPr>
                          <w:rFonts w:eastAsia="Calibri"/>
                          <w:color w:val="000000"/>
                        </w:rPr>
                      </w:pPr>
                      <w:sdt>
                        <w:sdtPr>
                          <w:alias w:val="Numeris"/>
                          <w:tag w:val="nr_3b756a7342c14fbcaaaa7e57fa597cc7"/>
                          <w:lock w:val="sdtLocked"/>
                          <w:richText/>
                        </w:sdtPr>
                        <w:sdtContent>
                          <w:r>
                            <w:rPr>
                              <w:rFonts w:eastAsia="Calibri"/>
                              <w:color w:val="000000"/>
                            </w:rPr>
                            <w:t>12.1</w:t>
                          </w:r>
                        </w:sdtContent>
                      </w:sdt>
                      <w:r>
                        <w:rPr>
                          <w:rFonts w:eastAsia="Calibri"/>
                          <w:color w:val="000000"/>
                        </w:rPr>
                        <w:t>.</w:t>
                        <w:tab/>
                      </w:r>
                      <w:r>
                        <w:rPr>
                          <w:color w:val="000000"/>
                        </w:rPr>
                        <w:t>Straipsnyje</w:t>
                      </w:r>
                      <w:r>
                        <w:rPr>
                          <w:rFonts w:eastAsia="Calibri"/>
                          <w:color w:val="000000"/>
                        </w:rPr>
                        <w:t xml:space="preserve"> „Rinkliavų ir žyminio mokesčio pajamos“ rodoma suma apima pajamas, gaunamas iš </w:t>
                      </w:r>
                      <w:r>
                        <w:t xml:space="preserve">rinkliavų, nustatytų Lietuvos Respublikos rinkliavų įstatyme, ir iš žyminio mokesčio, iš kurio teismai gauna pajamų. Atsižvelgiant į tai, kad žyminis mokestis paskiriamas sumokėti bylos inicijavimo metu viename teisme, o sprendimą dėl jo sumažinimo gali priimti kitas teismas, ataskaitoje rodoma atskirai </w:t>
                      </w:r>
                      <w:r>
                        <w:rPr>
                          <w:lang w:eastAsia="lt-LT"/>
                        </w:rPr>
                        <w:t xml:space="preserve">įskaitytas žyminis mokestis, kuris pripažįstamas bylos nagrinėjimo inicijavimo metu, ir grąžintinas žyminis mokestis, kuris pripažįstamas teismams priėmus nutartis dėl žyminio mokesčio ar jo dalies grąžinimo. </w:t>
                      </w:r>
                      <w:r>
                        <w:rPr>
                          <w:color w:val="000000"/>
                        </w:rPr>
                        <w:t xml:space="preserve">Šios sumos pateikiamos Standarto 1, 3 ir 5 prieduose </w:t>
                      </w:r>
                      <w:r>
                        <w:t xml:space="preserve">nustatytų </w:t>
                      </w:r>
                      <w:r>
                        <w:rPr>
                          <w:color w:val="000000"/>
                        </w:rPr>
                        <w:t>formų ataskaitų straipsnyje „</w:t>
                      </w:r>
                      <w:r>
                        <w:rPr>
                          <w:rFonts w:eastAsia="Calibri"/>
                          <w:color w:val="000000"/>
                        </w:rPr>
                        <w:t>Rinkliavų ir žyminio mokesčio pajamos</w:t>
                      </w:r>
                      <w:r>
                        <w:rPr>
                          <w:color w:val="000000"/>
                        </w:rPr>
                        <w:t xml:space="preserve">“. Dalis šių sumų – rinkliavų pajamos – </w:t>
                      </w:r>
                      <w:r>
                        <w:rPr>
                          <w:lang w:eastAsia="lt-LT"/>
                        </w:rPr>
                        <w:t xml:space="preserve">pateikiama Standarto 2 ir 4 prieduose </w:t>
                      </w:r>
                      <w:r>
                        <w:t xml:space="preserve">nustatytų </w:t>
                      </w:r>
                      <w:r>
                        <w:rPr>
                          <w:lang w:eastAsia="lt-LT"/>
                        </w:rPr>
                        <w:t>formų</w:t>
                      </w:r>
                      <w:r>
                        <w:t xml:space="preserve"> ataskaitų straipsnyje „Rinkliavų pajamos“. Standarto 1 priede nustatytos formos ataskaitos straipsnyje „Rinkliavų ir žyminio mokesčio pajamos“ nurodytos sumos detalizuojamos į rinkliavų pajamas, įskaitytą žyminį mokestį, grąžintiną žyminį mokestį</w:t>
                      </w:r>
                      <w:r>
                        <w:rPr>
                          <w:rFonts w:eastAsia="Calibri"/>
                          <w:color w:val="000000"/>
                        </w:rPr>
                        <w:t>.</w:t>
                      </w:r>
                    </w:p>
                  </w:sdtContent>
                </w:sdt>
                <w:sdt>
                  <w:sdtPr>
                    <w:alias w:val="12.2 pp."/>
                    <w:tag w:val="part_98708118849b48719396e0baefafc97f"/>
                    <w:lock w:val="sdtLocked"/>
                    <w:richText/>
                  </w:sdtPr>
                  <w:sdtContent>
                    <w:p>
                      <w:pPr>
                        <w:widowControl w:val="0"/>
                        <w:tabs>
                          <w:tab w:val="left" w:pos="851"/>
                          <w:tab w:val="left" w:pos="1134"/>
                        </w:tabs>
                        <w:suppressAutoHyphens/>
                        <w:ind w:firstLine="567"/>
                        <w:jc w:val="both"/>
                        <w:rPr>
                          <w:rFonts w:eastAsia="Calibri"/>
                          <w:color w:val="000000"/>
                        </w:rPr>
                      </w:pPr>
                      <w:sdt>
                        <w:sdtPr>
                          <w:alias w:val="Numeris"/>
                          <w:tag w:val="nr_98708118849b48719396e0baefafc97f"/>
                          <w:lock w:val="sdtLocked"/>
                          <w:richText/>
                        </w:sdtPr>
                        <w:sdtContent>
                          <w:r>
                            <w:rPr>
                              <w:rFonts w:eastAsia="Calibri"/>
                              <w:color w:val="000000"/>
                            </w:rPr>
                            <w:t>12.2</w:t>
                          </w:r>
                        </w:sdtContent>
                      </w:sdt>
                      <w:r>
                        <w:rPr>
                          <w:rFonts w:eastAsia="Calibri"/>
                          <w:color w:val="000000"/>
                        </w:rPr>
                        <w:t>.</w:t>
                        <w:tab/>
                        <w:t xml:space="preserve">Straipsnyje „Prekių pardavimo ir </w:t>
                      </w:r>
                      <w:r>
                        <w:rPr>
                          <w:lang w:eastAsia="lt-LT"/>
                        </w:rPr>
                        <w:t xml:space="preserve">paslaugų pajamos“ rodomos sumos apima prekių, įskaitant atsargas, kurios prieš tai buvo atiduotos naudoti subjekto veikloje, pardavimo ir paslaugų teikimo pajamas. Standarto 1–4 prieduose </w:t>
                      </w:r>
                      <w:r>
                        <w:t xml:space="preserve">nustatytų </w:t>
                      </w:r>
                      <w:r>
                        <w:rPr>
                          <w:lang w:eastAsia="lt-LT"/>
                        </w:rPr>
                        <w:t>formų ataskaitų straipsnyje „Prekių pardavimo ir paslaugų pajamos“ nurodytos sumos detalizuojamos į:</w:t>
                      </w:r>
                    </w:p>
                    <w:sdt>
                      <w:sdtPr>
                        <w:alias w:val="12.2.1 pp."/>
                        <w:tag w:val="part_c678f71e68e543e3b6395453c015a7cc"/>
                        <w:lock w:val="sdtLocked"/>
                        <w:richText/>
                      </w:sdtPr>
                      <w:sdtContent>
                        <w:p>
                          <w:pPr>
                            <w:widowControl w:val="0"/>
                            <w:tabs>
                              <w:tab w:val="left" w:pos="851"/>
                              <w:tab w:val="left" w:pos="1134"/>
                            </w:tabs>
                            <w:suppressAutoHyphens/>
                            <w:ind w:firstLine="567"/>
                            <w:jc w:val="both"/>
                            <w:rPr>
                              <w:rFonts w:eastAsia="Calibri"/>
                              <w:color w:val="000000"/>
                            </w:rPr>
                          </w:pPr>
                          <w:sdt>
                            <w:sdtPr>
                              <w:alias w:val="Numeris"/>
                              <w:tag w:val="nr_c678f71e68e543e3b6395453c015a7cc"/>
                              <w:lock w:val="sdtLocked"/>
                              <w:richText/>
                            </w:sdtPr>
                            <w:sdtContent>
                              <w:r>
                                <w:rPr>
                                  <w:rFonts w:eastAsia="Calibri"/>
                                  <w:color w:val="000000"/>
                                </w:rPr>
                                <w:t>12.2.1</w:t>
                              </w:r>
                            </w:sdtContent>
                          </w:sdt>
                          <w:r>
                            <w:rPr>
                              <w:rFonts w:eastAsia="Calibri"/>
                              <w:color w:val="000000"/>
                            </w:rPr>
                            <w:t>.</w:t>
                            <w:tab/>
                          </w:r>
                          <w:r>
                            <w:rPr>
                              <w:lang w:eastAsia="lt-LT"/>
                            </w:rPr>
                            <w:t xml:space="preserve">straipsnį „Prekių pardavimo ir paslaugų, apmokamų viešojo sektoriaus subjektų lėšomis, pajamos“, kuriame </w:t>
                          </w:r>
                          <w:r>
                            <w:rPr>
                              <w:rFonts w:eastAsia="Calibri"/>
                              <w:color w:val="000000"/>
                            </w:rPr>
                            <w:t>rodoma suma apima pajamas iš prekių pardavimo ir paslaugų, kuriuos apmoka kiti viešojo sektoriaus subjektai</w:t>
                          </w:r>
                          <w:r>
                            <w:rPr>
                              <w:lang w:eastAsia="lt-LT"/>
                            </w:rPr>
                            <w:t xml:space="preserve"> pagal sutartis</w:t>
                          </w:r>
                          <w:r>
                            <w:rPr>
                              <w:rFonts w:eastAsia="Calibri"/>
                              <w:color w:val="000000"/>
                            </w:rPr>
                            <w:t>, kuriose nurodomos sutartos suteikti paslaugos ir jų kaina, (sveikatos priežiūros įstaigų pajamos už paslaugas, suteiktas pagal sutartis, sudarytas su teritorinėmis ligonių kasomis, apmokamas Privalomojo sveikatos draudimo fondo lėšomis, ar narystės mokesčiai ir pan.);</w:t>
                          </w:r>
                        </w:p>
                      </w:sdtContent>
                    </w:sdt>
                    <w:sdt>
                      <w:sdtPr>
                        <w:alias w:val="12.2.2 pp."/>
                        <w:tag w:val="part_b810827dceb84141b28c1e1c05fa4911"/>
                        <w:lock w:val="sdtLocked"/>
                        <w:richText/>
                      </w:sdtPr>
                      <w:sdtContent>
                        <w:p>
                          <w:pPr>
                            <w:widowControl w:val="0"/>
                            <w:tabs>
                              <w:tab w:val="left" w:pos="851"/>
                              <w:tab w:val="left" w:pos="1134"/>
                            </w:tabs>
                            <w:suppressAutoHyphens/>
                            <w:ind w:firstLine="567"/>
                            <w:jc w:val="both"/>
                            <w:rPr>
                              <w:rFonts w:eastAsia="Calibri"/>
                              <w:color w:val="000000"/>
                            </w:rPr>
                          </w:pPr>
                          <w:sdt>
                            <w:sdtPr>
                              <w:alias w:val="Numeris"/>
                              <w:tag w:val="nr_b810827dceb84141b28c1e1c05fa4911"/>
                              <w:lock w:val="sdtLocked"/>
                              <w:richText/>
                            </w:sdtPr>
                            <w:sdtContent>
                              <w:r>
                                <w:rPr>
                                  <w:rFonts w:eastAsia="Calibri"/>
                                  <w:color w:val="000000"/>
                                </w:rPr>
                                <w:t>12.2.2</w:t>
                              </w:r>
                            </w:sdtContent>
                          </w:sdt>
                          <w:r>
                            <w:rPr>
                              <w:rFonts w:eastAsia="Calibri"/>
                              <w:color w:val="000000"/>
                            </w:rPr>
                            <w:t>.</w:t>
                            <w:tab/>
                          </w:r>
                          <w:r>
                            <w:rPr>
                              <w:rFonts w:eastAsia="Calibri"/>
                              <w:color w:val="000000"/>
                              <w:szCs w:val="22"/>
                            </w:rPr>
                            <w:t>straipsnį „Kitų prekių pardavimo ir paslaugų pajamos“, kuriame rodoma suma apima prekių pardavimo ir paslaugų teikimo pajamas, kurios nepriskiriamos Standarto 12.2.1 papunktyje nurodytoms paslaugoms, (juridiniams asmenims, išskyrus viešojo sektoriaus subjektus, ir fiziniams asmenims suteiktų paslaugų, už kurias asmenys susimoka patys, pajamos ir pan.).</w:t>
                          </w:r>
                        </w:p>
                      </w:sdtContent>
                    </w:sdt>
                  </w:sdtContent>
                </w:sdt>
                <w:sdt>
                  <w:sdtPr>
                    <w:alias w:val="12.3 pp."/>
                    <w:tag w:val="part_388776f4cf8a43dbab5da157b0fb4d9a"/>
                    <w:lock w:val="sdtLocked"/>
                    <w:richText/>
                  </w:sdtPr>
                  <w:sdtContent>
                    <w:p>
                      <w:pPr>
                        <w:widowControl w:val="0"/>
                        <w:tabs>
                          <w:tab w:val="left" w:pos="851"/>
                          <w:tab w:val="left" w:pos="1134"/>
                        </w:tabs>
                        <w:suppressAutoHyphens/>
                        <w:ind w:firstLine="567"/>
                        <w:jc w:val="both"/>
                        <w:rPr>
                          <w:color w:val="000000"/>
                          <w:szCs w:val="24"/>
                          <w:lang w:eastAsia="lt-LT"/>
                        </w:rPr>
                      </w:pPr>
                      <w:sdt>
                        <w:sdtPr>
                          <w:alias w:val="Numeris"/>
                          <w:tag w:val="nr_388776f4cf8a43dbab5da157b0fb4d9a"/>
                          <w:lock w:val="sdtLocked"/>
                          <w:richText/>
                        </w:sdtPr>
                        <w:sdtContent>
                          <w:r>
                            <w:rPr>
                              <w:color w:val="000000"/>
                              <w:szCs w:val="24"/>
                              <w:lang w:eastAsia="lt-LT"/>
                            </w:rPr>
                            <w:t>12.3</w:t>
                          </w:r>
                        </w:sdtContent>
                      </w:sdt>
                      <w:r>
                        <w:rPr>
                          <w:color w:val="000000"/>
                          <w:szCs w:val="24"/>
                          <w:lang w:eastAsia="lt-LT"/>
                        </w:rPr>
                        <w:t>.</w:t>
                        <w:tab/>
                      </w:r>
                      <w:r>
                        <w:rPr>
                          <w:szCs w:val="24"/>
                          <w:lang w:eastAsia="lt-LT"/>
                        </w:rPr>
                        <w:t xml:space="preserve">Straipsnyje „Baudų, konfiskuoto turto ir netesybų pajamos“ </w:t>
                      </w:r>
                      <w:r>
                        <w:rPr>
                          <w:color w:val="000000"/>
                          <w:szCs w:val="24"/>
                          <w:lang w:eastAsia="lt-LT"/>
                        </w:rPr>
                        <w:t>rodomos viešojo sektoriaus subjektų pajamos iš baudų, konfiskuoto turto ir netesybų (baudų, delspinigių</w:t>
                      </w:r>
                      <w:r>
                        <w:rPr>
                          <w:rFonts w:ascii="Calibri" w:hAnsi="Calibri" w:cs="Calibri"/>
                          <w:color w:val="000000"/>
                          <w:szCs w:val="24"/>
                          <w:lang w:eastAsia="lt-LT"/>
                        </w:rPr>
                        <w:t xml:space="preserve"> </w:t>
                      </w:r>
                      <w:r>
                        <w:rPr>
                          <w:color w:val="000000"/>
                          <w:szCs w:val="24"/>
                          <w:lang w:eastAsia="lt-LT"/>
                        </w:rPr>
                        <w:t>už pavėluotus atsiskaitymus, sutartinių įsipareigojimų nevykdymą ir kitų netesybų).</w:t>
                      </w:r>
                    </w:p>
                  </w:sdtContent>
                </w:sdt>
                <w:sdt>
                  <w:sdtPr>
                    <w:alias w:val="12.4 pp."/>
                    <w:tag w:val="part_0ebbf8c891b14ab681d8fbead967abf5"/>
                    <w:lock w:val="sdtLocked"/>
                    <w:richText/>
                  </w:sdtPr>
                  <w:sdtContent>
                    <w:p>
                      <w:pPr>
                        <w:widowControl w:val="0"/>
                        <w:tabs>
                          <w:tab w:val="left" w:pos="851"/>
                          <w:tab w:val="left" w:pos="1134"/>
                        </w:tabs>
                        <w:suppressAutoHyphens/>
                        <w:ind w:firstLine="567"/>
                        <w:jc w:val="both"/>
                        <w:rPr>
                          <w:color w:val="000000"/>
                          <w:szCs w:val="24"/>
                          <w:lang w:eastAsia="lt-LT"/>
                        </w:rPr>
                      </w:pPr>
                      <w:sdt>
                        <w:sdtPr>
                          <w:alias w:val="Numeris"/>
                          <w:tag w:val="nr_0ebbf8c891b14ab681d8fbead967abf5"/>
                          <w:lock w:val="sdtLocked"/>
                          <w:richText/>
                        </w:sdtPr>
                        <w:sdtContent>
                          <w:r>
                            <w:rPr>
                              <w:color w:val="000000"/>
                              <w:szCs w:val="24"/>
                              <w:lang w:eastAsia="lt-LT"/>
                            </w:rPr>
                            <w:t>12.4</w:t>
                          </w:r>
                        </w:sdtContent>
                      </w:sdt>
                      <w:r>
                        <w:rPr>
                          <w:color w:val="000000"/>
                          <w:szCs w:val="24"/>
                          <w:lang w:eastAsia="lt-LT"/>
                        </w:rPr>
                        <w:t>.</w:t>
                        <w:tab/>
                      </w:r>
                      <w:r>
                        <w:rPr>
                          <w:szCs w:val="24"/>
                          <w:lang w:eastAsia="lt-LT"/>
                        </w:rPr>
                        <w:t xml:space="preserve">Straipsnyje „Finansinės ir investicinės veiklos pajamos“ rodomos palūkanų už suteiktas paskolas, atidėtus mokėjimus, banke laikomus pinigus pajamos, dėl išvestinės finansinės priemonės atsiradęs pelnas, valiutų kursų pokyčio pelnas, investicijų perleidimo pelnas, pelnas dėl investicijų tikrosios vertės padidėjimo ir kitos su finansine ir investicine veikla susijusios pajamos. </w:t>
                      </w:r>
                      <w:r>
                        <w:t xml:space="preserve">Standarto 3–5 prieduose nustatytų formų ataskaitose šios sumos </w:t>
                      </w:r>
                      <w:r>
                        <w:rPr>
                          <w:color w:val="000000"/>
                        </w:rPr>
                        <w:t>detalizuojamos į šiuos straipsnius:</w:t>
                      </w:r>
                    </w:p>
                    <w:sdt>
                      <w:sdtPr>
                        <w:alias w:val="12.4.1 pp."/>
                        <w:tag w:val="part_b47fb5a176584d3f841ca2ee9a29e128"/>
                        <w:lock w:val="sdtLocked"/>
                        <w:richText/>
                      </w:sdtPr>
                      <w:sdtContent>
                        <w:p>
                          <w:pPr>
                            <w:widowControl w:val="0"/>
                            <w:tabs>
                              <w:tab w:val="left" w:pos="851"/>
                              <w:tab w:val="left" w:pos="1134"/>
                            </w:tabs>
                            <w:suppressAutoHyphens/>
                            <w:ind w:firstLine="567"/>
                            <w:jc w:val="both"/>
                            <w:rPr>
                              <w:color w:val="000000"/>
                              <w:szCs w:val="24"/>
                              <w:lang w:eastAsia="lt-LT"/>
                            </w:rPr>
                          </w:pPr>
                          <w:sdt>
                            <w:sdtPr>
                              <w:alias w:val="Numeris"/>
                              <w:tag w:val="nr_b47fb5a176584d3f841ca2ee9a29e128"/>
                              <w:lock w:val="sdtLocked"/>
                              <w:richText/>
                            </w:sdtPr>
                            <w:sdtContent>
                              <w:r>
                                <w:rPr>
                                  <w:color w:val="000000"/>
                                  <w:szCs w:val="24"/>
                                  <w:lang w:eastAsia="lt-LT"/>
                                </w:rPr>
                                <w:t>12.4.1</w:t>
                              </w:r>
                            </w:sdtContent>
                          </w:sdt>
                          <w:r>
                            <w:rPr>
                              <w:color w:val="000000"/>
                              <w:szCs w:val="24"/>
                              <w:lang w:eastAsia="lt-LT"/>
                            </w:rPr>
                            <w:t>.</w:t>
                            <w:tab/>
                          </w:r>
                          <w:r>
                            <w:rPr>
                              <w:color w:val="000000"/>
                            </w:rPr>
                            <w:t xml:space="preserve">straipsnyje „Finansinio turto tikrosios vertės padidėjimas ir perleidimo pelnas“ nurodoma viešojo sektoriaus subjektų finansinio turto tikrosios vertės padidėjimo suma ir šio turto perleidimo pelnas; </w:t>
                          </w:r>
                        </w:p>
                      </w:sdtContent>
                    </w:sdt>
                    <w:sdt>
                      <w:sdtPr>
                        <w:alias w:val="12.4.2 pp."/>
                        <w:tag w:val="part_6bbbd03024814e78952f7dc64dfaf121"/>
                        <w:lock w:val="sdtLocked"/>
                        <w:richText/>
                      </w:sdtPr>
                      <w:sdtContent>
                        <w:p>
                          <w:pPr>
                            <w:widowControl w:val="0"/>
                            <w:tabs>
                              <w:tab w:val="left" w:pos="851"/>
                              <w:tab w:val="left" w:pos="1134"/>
                            </w:tabs>
                            <w:suppressAutoHyphens/>
                            <w:ind w:firstLine="567"/>
                            <w:jc w:val="both"/>
                            <w:rPr>
                              <w:color w:val="000000"/>
                              <w:szCs w:val="24"/>
                              <w:lang w:eastAsia="lt-LT"/>
                            </w:rPr>
                          </w:pPr>
                          <w:sdt>
                            <w:sdtPr>
                              <w:alias w:val="Numeris"/>
                              <w:tag w:val="nr_6bbbd03024814e78952f7dc64dfaf121"/>
                              <w:lock w:val="sdtLocked"/>
                              <w:richText/>
                            </w:sdtPr>
                            <w:sdtContent>
                              <w:r>
                                <w:rPr>
                                  <w:color w:val="000000"/>
                                  <w:szCs w:val="24"/>
                                  <w:lang w:eastAsia="lt-LT"/>
                                </w:rPr>
                                <w:t>12.4.2</w:t>
                              </w:r>
                            </w:sdtContent>
                          </w:sdt>
                          <w:r>
                            <w:rPr>
                              <w:color w:val="000000"/>
                              <w:szCs w:val="24"/>
                              <w:lang w:eastAsia="lt-LT"/>
                            </w:rPr>
                            <w:t>.</w:t>
                            <w:tab/>
                          </w:r>
                          <w:r>
                            <w:rPr>
                              <w:color w:val="000000"/>
                            </w:rPr>
                            <w:t xml:space="preserve">straipsnyje „Palūkanų pajamos“ nurodomos viešojo sektoriaus subjektų uždirbtos palūkanos už suteiktas kitiems subjektams paskolas, palūkanos pagal mokestinių paskolų sutartis ir palūkanos už banke laikomus pinigus; </w:t>
                          </w:r>
                        </w:p>
                      </w:sdtContent>
                    </w:sdt>
                    <w:sdt>
                      <w:sdtPr>
                        <w:alias w:val="12.4.3 pp."/>
                        <w:tag w:val="part_c229f729db734bf5ac1f2a0aa02a70a8"/>
                        <w:lock w:val="sdtLocked"/>
                        <w:richText/>
                      </w:sdtPr>
                      <w:sdtContent>
                        <w:p>
                          <w:pPr>
                            <w:widowControl w:val="0"/>
                            <w:tabs>
                              <w:tab w:val="left" w:pos="851"/>
                              <w:tab w:val="left" w:pos="1134"/>
                            </w:tabs>
                            <w:suppressAutoHyphens/>
                            <w:ind w:firstLine="567"/>
                            <w:jc w:val="both"/>
                            <w:rPr>
                              <w:color w:val="000000"/>
                              <w:szCs w:val="24"/>
                              <w:lang w:eastAsia="lt-LT"/>
                            </w:rPr>
                          </w:pPr>
                          <w:sdt>
                            <w:sdtPr>
                              <w:alias w:val="Numeris"/>
                              <w:tag w:val="nr_c229f729db734bf5ac1f2a0aa02a70a8"/>
                              <w:lock w:val="sdtLocked"/>
                              <w:richText/>
                            </w:sdtPr>
                            <w:sdtContent>
                              <w:r>
                                <w:rPr>
                                  <w:color w:val="000000"/>
                                  <w:szCs w:val="24"/>
                                  <w:lang w:eastAsia="lt-LT"/>
                                </w:rPr>
                                <w:t>12.4.3</w:t>
                              </w:r>
                            </w:sdtContent>
                          </w:sdt>
                          <w:r>
                            <w:rPr>
                              <w:color w:val="000000"/>
                              <w:szCs w:val="24"/>
                              <w:lang w:eastAsia="lt-LT"/>
                            </w:rPr>
                            <w:t>.</w:t>
                            <w:tab/>
                          </w:r>
                          <w:r>
                            <w:rPr>
                              <w:color w:val="000000"/>
                            </w:rPr>
                            <w:t>straipsnyje „Dividendai“ nurodomos dividendų iš kitų subjektų, negu kontroliuojamieji ir asocijuotieji subjektai, sumos. Jos apskaitoje registruojamos pagal 10-ojo VSAFAS „Kitos pajamos“ reikalavimus;</w:t>
                          </w:r>
                        </w:p>
                      </w:sdtContent>
                    </w:sdt>
                    <w:sdt>
                      <w:sdtPr>
                        <w:alias w:val="12.4.4 pp."/>
                        <w:tag w:val="part_b3a218a6bbec41ee876d7efc1616713d"/>
                        <w:lock w:val="sdtLocked"/>
                        <w:richText/>
                      </w:sdtPr>
                      <w:sdtContent>
                        <w:p>
                          <w:pPr>
                            <w:widowControl w:val="0"/>
                            <w:tabs>
                              <w:tab w:val="left" w:pos="851"/>
                              <w:tab w:val="left" w:pos="1134"/>
                            </w:tabs>
                            <w:suppressAutoHyphens/>
                            <w:ind w:firstLine="567"/>
                            <w:jc w:val="both"/>
                            <w:rPr>
                              <w:color w:val="000000"/>
                              <w:szCs w:val="24"/>
                              <w:lang w:eastAsia="lt-LT"/>
                            </w:rPr>
                          </w:pPr>
                          <w:sdt>
                            <w:sdtPr>
                              <w:alias w:val="Numeris"/>
                              <w:tag w:val="nr_b3a218a6bbec41ee876d7efc1616713d"/>
                              <w:lock w:val="sdtLocked"/>
                              <w:richText/>
                            </w:sdtPr>
                            <w:sdtContent>
                              <w:r>
                                <w:rPr>
                                  <w:color w:val="000000"/>
                                  <w:szCs w:val="24"/>
                                  <w:lang w:eastAsia="lt-LT"/>
                                </w:rPr>
                                <w:t>12.4.4</w:t>
                              </w:r>
                            </w:sdtContent>
                          </w:sdt>
                          <w:r>
                            <w:rPr>
                              <w:color w:val="000000"/>
                              <w:szCs w:val="24"/>
                              <w:lang w:eastAsia="lt-LT"/>
                            </w:rPr>
                            <w:t>.</w:t>
                            <w:tab/>
                          </w:r>
                          <w:r>
                            <w:rPr>
                              <w:color w:val="000000"/>
                            </w:rPr>
                            <w:t>straipsnyje „Kitos finansinės ir investicinės veiklos pajamos“ nurodomas pelnas dėl valiutos kurso pasikeitimo, baudų, delspinigių pajamos ir kitos finansinės ir investicinės veiklos pajamos.</w:t>
                          </w:r>
                        </w:p>
                      </w:sdtContent>
                    </w:sdt>
                  </w:sdtContent>
                </w:sdt>
                <w:sdt>
                  <w:sdtPr>
                    <w:alias w:val="12.5 pp."/>
                    <w:tag w:val="part_f2860defabca4accb9df7b2a311b750a"/>
                    <w:lock w:val="sdtLocked"/>
                    <w:richText/>
                  </w:sdtPr>
                  <w:sdtContent>
                    <w:p>
                      <w:pPr>
                        <w:widowControl w:val="0"/>
                        <w:tabs>
                          <w:tab w:val="left" w:pos="851"/>
                          <w:tab w:val="left" w:pos="1134"/>
                        </w:tabs>
                        <w:suppressAutoHyphens/>
                        <w:ind w:firstLine="567"/>
                        <w:jc w:val="both"/>
                        <w:rPr>
                          <w:lang w:eastAsia="lt-LT"/>
                        </w:rPr>
                      </w:pPr>
                      <w:sdt>
                        <w:sdtPr>
                          <w:alias w:val="Numeris"/>
                          <w:tag w:val="nr_f2860defabca4accb9df7b2a311b750a"/>
                          <w:lock w:val="sdtLocked"/>
                          <w:richText/>
                        </w:sdtPr>
                        <w:sdtContent>
                          <w:r>
                            <w:rPr>
                              <w:lang w:eastAsia="lt-LT"/>
                            </w:rPr>
                            <w:t>12.5</w:t>
                          </w:r>
                        </w:sdtContent>
                      </w:sdt>
                      <w:r>
                        <w:rPr>
                          <w:lang w:eastAsia="lt-LT"/>
                        </w:rPr>
                        <w:t>.</w:t>
                        <w:tab/>
                      </w:r>
                      <w:r>
                        <w:rPr>
                          <w:szCs w:val="24"/>
                          <w:lang w:eastAsia="lt-LT"/>
                        </w:rPr>
                        <w:t>Straipsnyje</w:t>
                      </w:r>
                      <w:r>
                        <w:rPr>
                          <w:lang w:eastAsia="lt-LT"/>
                        </w:rPr>
                        <w:t xml:space="preserve"> „Kitos“ rodomos kitos negu Standarto 12.1–12.4 papunkčiuose nurodytos pajamos. Prie šių pajamų priskiriamas ir pelnas iš nematerialiojo ir ilgalaikio materialiojo turto perleidimo.</w:t>
                      </w:r>
                    </w:p>
                  </w:sdtContent>
                </w:sdt>
                <w:sdt>
                  <w:sdtPr>
                    <w:alias w:val="12.6 pp."/>
                    <w:tag w:val="part_68dd5f250d2d49b4994cbc624dd6e670"/>
                    <w:lock w:val="sdtLocked"/>
                    <w:richText/>
                  </w:sdtPr>
                  <w:sdtContent>
                    <w:p>
                      <w:pPr>
                        <w:widowControl w:val="0"/>
                        <w:tabs>
                          <w:tab w:val="left" w:pos="851"/>
                          <w:tab w:val="left" w:pos="1134"/>
                        </w:tabs>
                        <w:suppressAutoHyphens/>
                        <w:ind w:firstLine="567"/>
                        <w:jc w:val="both"/>
                        <w:rPr>
                          <w:szCs w:val="24"/>
                          <w:lang w:eastAsia="lt-LT"/>
                        </w:rPr>
                      </w:pPr>
                      <w:sdt>
                        <w:sdtPr>
                          <w:alias w:val="Numeris"/>
                          <w:tag w:val="nr_68dd5f250d2d49b4994cbc624dd6e670"/>
                          <w:lock w:val="sdtLocked"/>
                          <w:richText/>
                        </w:sdtPr>
                        <w:sdtContent>
                          <w:r>
                            <w:rPr>
                              <w:szCs w:val="24"/>
                              <w:lang w:eastAsia="lt-LT"/>
                            </w:rPr>
                            <w:t>12.6</w:t>
                          </w:r>
                        </w:sdtContent>
                      </w:sdt>
                      <w:r>
                        <w:rPr>
                          <w:szCs w:val="24"/>
                          <w:lang w:eastAsia="lt-LT"/>
                        </w:rPr>
                        <w:t>.</w:t>
                        <w:tab/>
                        <w:t>Straipsnyje „Negrąžintinai pervestinos į biudžetus, išteklių fondus pajamos“ rodoma pajamų, nurodytų Standarto 12.1–12.5 papunkčiuose, dalis, kurią viešojo sektoriaus subjektas pagal teisės aktų, reglamentuojančių mokesčių, rinkliavų ar kitų įmokų surinkimą, reikalavimus privalo pervesti į valstybės, savivaldybės biudžetą ar fondams ir kurios viešojo sektoriaus subjektas neturi teisės susigrąžinti.</w:t>
                      </w:r>
                    </w:p>
                    <w:p>
                      <w:pPr>
                        <w:tabs>
                          <w:tab w:val="left" w:pos="0"/>
                          <w:tab w:val="left" w:pos="426"/>
                          <w:tab w:val="left" w:pos="567"/>
                          <w:tab w:val="left" w:pos="1134"/>
                          <w:tab w:val="left" w:pos="1276"/>
                        </w:tabs>
                        <w:ind w:firstLine="567"/>
                        <w:jc w:val="both"/>
                        <w:rPr>
                          <w:color w:val="000000"/>
                        </w:rPr>
                      </w:pPr>
                    </w:p>
                  </w:sdtContent>
                </w:sdt>
              </w:sdtContent>
            </w:sdt>
          </w:sdtContent>
        </w:sdt>
        <w:sdt>
          <w:sdtPr>
            <w:alias w:val="skyrius"/>
            <w:tag w:val="part_317a5615545a47b5a48fe9cd997984cd"/>
            <w:lock w:val="sdtLocked"/>
            <w:richText/>
          </w:sdtPr>
          <w:sdtContent>
            <w:p>
              <w:pPr>
                <w:widowControl w:val="0"/>
                <w:suppressAutoHyphens/>
                <w:jc w:val="center"/>
                <w:rPr>
                  <w:b/>
                  <w:bCs/>
                  <w:caps/>
                  <w:color w:val="000000"/>
                </w:rPr>
              </w:pPr>
              <w:sdt>
                <w:sdtPr>
                  <w:alias w:val="Numeris"/>
                  <w:tag w:val="nr_317a5615545a47b5a48fe9cd997984cd"/>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317a5615545a47b5a48fe9cd997984cd"/>
                  <w:lock w:val="sdtLocked"/>
                  <w:richText/>
                </w:sdtPr>
                <w:sdtContent>
                  <w:r>
                    <w:rPr>
                      <w:b/>
                      <w:bCs/>
                      <w:caps/>
                      <w:color w:val="000000"/>
                    </w:rPr>
                    <w:t>ATASKAITOS SĄNAUDŲ STRAIPSNIŲ PAAIŠKINIMAS</w:t>
                  </w:r>
                </w:sdtContent>
              </w:sdt>
            </w:p>
            <w:p>
              <w:pPr>
                <w:ind w:firstLine="567"/>
              </w:pPr>
            </w:p>
            <w:sdt>
              <w:sdtPr>
                <w:alias w:val="13 p."/>
                <w:tag w:val="part_79511b8baf77433b9d09dad1687ed1c0"/>
                <w:lock w:val="sdtLocked"/>
                <w:richText/>
              </w:sdtPr>
              <w:sdtContent>
                <w:p>
                  <w:pPr>
                    <w:widowControl w:val="0"/>
                    <w:tabs>
                      <w:tab w:val="left" w:pos="851"/>
                    </w:tabs>
                    <w:suppressAutoHyphens/>
                    <w:ind w:firstLine="567"/>
                    <w:jc w:val="both"/>
                    <w:rPr>
                      <w:color w:val="000000"/>
                    </w:rPr>
                  </w:pPr>
                  <w:sdt>
                    <w:sdtPr>
                      <w:alias w:val="Numeris"/>
                      <w:tag w:val="nr_79511b8baf77433b9d09dad1687ed1c0"/>
                      <w:lock w:val="sdtLocked"/>
                      <w:richText/>
                    </w:sdtPr>
                    <w:sdtContent>
                      <w:r>
                        <w:rPr>
                          <w:color w:val="000000"/>
                        </w:rPr>
                        <w:t>13</w:t>
                      </w:r>
                    </w:sdtContent>
                  </w:sdt>
                  <w:r>
                    <w:rPr>
                      <w:color w:val="000000"/>
                    </w:rPr>
                    <w:t>.</w:t>
                    <w:tab/>
                    <w:t xml:space="preserve">Sąnaudų priskyrimas ataskaitos straipsniams paaiškintas 11-ajame viešojo sektoriaus apskaitos ir finansinės atskaitomybės standarte „Sąnaudos“, patvirtintame </w:t>
                  </w:r>
                  <w:r>
                    <w:t xml:space="preserve">Lietuvos Respublikos finansų ministro 2008 m. vasario 8 d. įsakymu Nr. 1K-059 „Dėl 11-ojo viešojo sektoriaus apskaitos ir finansinės atskaitomybės standarto patvirtinimo“, </w:t>
                  </w:r>
                  <w:r>
                    <w:rPr>
                      <w:color w:val="000000"/>
                    </w:rPr>
                    <w:t>ir 29-ajame VSAFAS „Pensijų anuitetų fondo apskaita ir ataskaitų rinkinys“.</w:t>
                  </w:r>
                </w:p>
              </w:sdtContent>
            </w:sdt>
            <w:sdt>
              <w:sdtPr>
                <w:alias w:val="14 p."/>
                <w:tag w:val="part_71d329c3c3544477880a1228bb9f31ac"/>
                <w:lock w:val="sdtLocked"/>
                <w:richText/>
              </w:sdtPr>
              <w:sdtContent>
                <w:p>
                  <w:pPr>
                    <w:widowControl w:val="0"/>
                    <w:tabs>
                      <w:tab w:val="left" w:pos="851"/>
                      <w:tab w:val="left" w:pos="1134"/>
                    </w:tabs>
                    <w:suppressAutoHyphens/>
                    <w:ind w:firstLine="567"/>
                    <w:jc w:val="both"/>
                    <w:rPr>
                      <w:color w:val="000000"/>
                    </w:rPr>
                  </w:pPr>
                  <w:sdt>
                    <w:sdtPr>
                      <w:alias w:val="Numeris"/>
                      <w:tag w:val="nr_71d329c3c3544477880a1228bb9f31ac"/>
                      <w:lock w:val="sdtLocked"/>
                      <w:richText/>
                    </w:sdtPr>
                    <w:sdtContent>
                      <w:r>
                        <w:rPr>
                          <w:color w:val="000000"/>
                        </w:rPr>
                        <w:t>14</w:t>
                      </w:r>
                    </w:sdtContent>
                  </w:sdt>
                  <w:r>
                    <w:rPr>
                      <w:color w:val="000000"/>
                    </w:rPr>
                    <w:t>.</w:t>
                    <w:tab/>
                    <w:t>Ataskaitoje pateikiami sąnaudų straipsniai:</w:t>
                  </w:r>
                </w:p>
                <w:sdt>
                  <w:sdtPr>
                    <w:alias w:val="14.1 pp."/>
                    <w:tag w:val="part_307c54b0fe534be7a2ee0f24e9bd6967"/>
                    <w:lock w:val="sdtLocked"/>
                    <w:richText/>
                  </w:sdtPr>
                  <w:sdtContent>
                    <w:p>
                      <w:pPr>
                        <w:widowControl w:val="0"/>
                        <w:tabs>
                          <w:tab w:val="left" w:pos="851"/>
                          <w:tab w:val="left" w:pos="1134"/>
                        </w:tabs>
                        <w:suppressAutoHyphens/>
                        <w:ind w:firstLine="567"/>
                        <w:jc w:val="both"/>
                        <w:rPr>
                          <w:color w:val="000000"/>
                        </w:rPr>
                      </w:pPr>
                      <w:sdt>
                        <w:sdtPr>
                          <w:alias w:val="Numeris"/>
                          <w:tag w:val="nr_307c54b0fe534be7a2ee0f24e9bd6967"/>
                          <w:lock w:val="sdtLocked"/>
                          <w:richText/>
                        </w:sdtPr>
                        <w:sdtContent>
                          <w:r>
                            <w:rPr>
                              <w:color w:val="000000"/>
                            </w:rPr>
                            <w:t>14.1</w:t>
                          </w:r>
                        </w:sdtContent>
                      </w:sdt>
                      <w:r>
                        <w:rPr>
                          <w:color w:val="000000"/>
                        </w:rPr>
                        <w:t>.</w:t>
                        <w:tab/>
                        <w:t>„Su darbo santykiais susijusių išmokų sąnaudos“, kuris detalizuojamas į straipsnius:</w:t>
                      </w:r>
                    </w:p>
                    <w:sdt>
                      <w:sdtPr>
                        <w:alias w:val="14.1.1 pp."/>
                        <w:tag w:val="part_87cfa28f8d7944f6b1bb96fc90380ef8"/>
                        <w:lock w:val="sdtLocked"/>
                        <w:richText/>
                      </w:sdtPr>
                      <w:sdtContent>
                        <w:p>
                          <w:pPr>
                            <w:widowControl w:val="0"/>
                            <w:tabs>
                              <w:tab w:val="left" w:pos="851"/>
                              <w:tab w:val="left" w:pos="1134"/>
                            </w:tabs>
                            <w:suppressAutoHyphens/>
                            <w:ind w:firstLine="567"/>
                            <w:jc w:val="both"/>
                            <w:rPr>
                              <w:color w:val="000000"/>
                            </w:rPr>
                          </w:pPr>
                          <w:sdt>
                            <w:sdtPr>
                              <w:alias w:val="Numeris"/>
                              <w:tag w:val="nr_87cfa28f8d7944f6b1bb96fc90380ef8"/>
                              <w:lock w:val="sdtLocked"/>
                              <w:richText/>
                            </w:sdtPr>
                            <w:sdtContent>
                              <w:r>
                                <w:rPr>
                                  <w:color w:val="000000"/>
                                </w:rPr>
                                <w:t>14.1.1</w:t>
                              </w:r>
                            </w:sdtContent>
                          </w:sdt>
                          <w:r>
                            <w:rPr>
                              <w:color w:val="000000"/>
                            </w:rPr>
                            <w:t>.</w:t>
                            <w:tab/>
                            <w:t xml:space="preserve">„Darbo užmokesčio ir socialinio draudimo sąnaudos“. Šios sumos pateikiamos </w:t>
                          </w:r>
                          <w:r>
                            <w:rPr>
                              <w:lang w:eastAsia="lt-LT"/>
                            </w:rPr>
                            <w:t xml:space="preserve">Standarto 1–5 prieduose </w:t>
                          </w:r>
                          <w:r>
                            <w:t xml:space="preserve">nustatytų </w:t>
                          </w:r>
                          <w:r>
                            <w:rPr>
                              <w:lang w:eastAsia="lt-LT"/>
                            </w:rPr>
                            <w:t>formų ataskaitose</w:t>
                          </w:r>
                          <w:r>
                            <w:rPr>
                              <w:color w:val="000000"/>
                            </w:rPr>
                            <w:t>;</w:t>
                          </w:r>
                        </w:p>
                      </w:sdtContent>
                    </w:sdt>
                    <w:sdt>
                      <w:sdtPr>
                        <w:alias w:val="14.1.2 pp."/>
                        <w:tag w:val="part_106d041b976544a688a883e004ece5cd"/>
                        <w:lock w:val="sdtLocked"/>
                        <w:richText/>
                      </w:sdtPr>
                      <w:sdtContent>
                        <w:p>
                          <w:pPr>
                            <w:widowControl w:val="0"/>
                            <w:tabs>
                              <w:tab w:val="left" w:pos="851"/>
                              <w:tab w:val="left" w:pos="1134"/>
                            </w:tabs>
                            <w:suppressAutoHyphens/>
                            <w:ind w:firstLine="567"/>
                            <w:jc w:val="both"/>
                            <w:rPr>
                              <w:color w:val="000000"/>
                            </w:rPr>
                          </w:pPr>
                          <w:sdt>
                            <w:sdtPr>
                              <w:alias w:val="Numeris"/>
                              <w:tag w:val="nr_106d041b976544a688a883e004ece5cd"/>
                              <w:lock w:val="sdtLocked"/>
                              <w:richText/>
                            </w:sdtPr>
                            <w:sdtContent>
                              <w:r>
                                <w:rPr>
                                  <w:color w:val="000000"/>
                                </w:rPr>
                                <w:t>14.1.2</w:t>
                              </w:r>
                            </w:sdtContent>
                          </w:sdt>
                          <w:r>
                            <w:rPr>
                              <w:color w:val="000000"/>
                            </w:rPr>
                            <w:t>.</w:t>
                            <w:tab/>
                            <w:t xml:space="preserve">„Socialinių ir kitų išmokų darbuotojams sąnaudos“. Šios sumos pateikiamos </w:t>
                          </w:r>
                          <w:r>
                            <w:rPr>
                              <w:lang w:eastAsia="lt-LT"/>
                            </w:rPr>
                            <w:t xml:space="preserve">Standarto 1–5 prieduose </w:t>
                          </w:r>
                          <w:r>
                            <w:t xml:space="preserve">nustatytų </w:t>
                          </w:r>
                          <w:r>
                            <w:rPr>
                              <w:lang w:eastAsia="lt-LT"/>
                            </w:rPr>
                            <w:t>formų ataskaitose</w:t>
                          </w:r>
                          <w:r>
                            <w:rPr>
                              <w:color w:val="000000"/>
                            </w:rPr>
                            <w:t>;</w:t>
                          </w:r>
                        </w:p>
                      </w:sdtContent>
                    </w:sdt>
                  </w:sdtContent>
                </w:sdt>
                <w:sdt>
                  <w:sdtPr>
                    <w:alias w:val="14.2 pp."/>
                    <w:tag w:val="part_545f2a03bb8645519887db55f7bccffe"/>
                    <w:lock w:val="sdtLocked"/>
                    <w:richText/>
                  </w:sdtPr>
                  <w:sdtContent>
                    <w:p>
                      <w:pPr>
                        <w:widowControl w:val="0"/>
                        <w:tabs>
                          <w:tab w:val="left" w:pos="851"/>
                          <w:tab w:val="left" w:pos="1134"/>
                        </w:tabs>
                        <w:suppressAutoHyphens/>
                        <w:ind w:firstLine="567"/>
                        <w:jc w:val="both"/>
                        <w:rPr>
                          <w:color w:val="000000"/>
                        </w:rPr>
                      </w:pPr>
                      <w:sdt>
                        <w:sdtPr>
                          <w:alias w:val="Numeris"/>
                          <w:tag w:val="nr_545f2a03bb8645519887db55f7bccffe"/>
                          <w:lock w:val="sdtLocked"/>
                          <w:richText/>
                        </w:sdtPr>
                        <w:sdtContent>
                          <w:r>
                            <w:rPr>
                              <w:color w:val="000000"/>
                            </w:rPr>
                            <w:t>14.2</w:t>
                          </w:r>
                        </w:sdtContent>
                      </w:sdt>
                      <w:r>
                        <w:rPr>
                          <w:color w:val="000000"/>
                        </w:rPr>
                        <w:t>.</w:t>
                        <w:tab/>
                        <w:t>„Prekių ir paslaugų sąnaudos“, kuris detalizuojamas į straipsnius:</w:t>
                      </w:r>
                    </w:p>
                    <w:sdt>
                      <w:sdtPr>
                        <w:alias w:val="14.2.1 pp."/>
                        <w:tag w:val="part_f59a5f8a935b466cb99994a3f60ff61c"/>
                        <w:lock w:val="sdtLocked"/>
                        <w:richText/>
                      </w:sdtPr>
                      <w:sdtContent>
                        <w:p>
                          <w:pPr>
                            <w:widowControl w:val="0"/>
                            <w:tabs>
                              <w:tab w:val="left" w:pos="851"/>
                              <w:tab w:val="left" w:pos="1134"/>
                            </w:tabs>
                            <w:suppressAutoHyphens/>
                            <w:ind w:firstLine="567"/>
                            <w:jc w:val="both"/>
                            <w:rPr>
                              <w:color w:val="000000"/>
                            </w:rPr>
                          </w:pPr>
                          <w:sdt>
                            <w:sdtPr>
                              <w:alias w:val="Numeris"/>
                              <w:tag w:val="nr_f59a5f8a935b466cb99994a3f60ff61c"/>
                              <w:lock w:val="sdtLocked"/>
                              <w:richText/>
                            </w:sdtPr>
                            <w:sdtContent>
                              <w:r>
                                <w:rPr>
                                  <w:color w:val="000000"/>
                                </w:rPr>
                                <w:t>14.2.1</w:t>
                              </w:r>
                            </w:sdtContent>
                          </w:sdt>
                          <w:r>
                            <w:rPr>
                              <w:color w:val="000000"/>
                            </w:rPr>
                            <w:t>.</w:t>
                            <w:tab/>
                            <w:t xml:space="preserve">„Prekių ir paslaugų sąnaudos veiklai“. Šios sumos pateikiamos </w:t>
                          </w:r>
                          <w:r>
                            <w:rPr>
                              <w:lang w:eastAsia="lt-LT"/>
                            </w:rPr>
                            <w:t xml:space="preserve">Standarto 1–5 prieduose </w:t>
                          </w:r>
                          <w:r>
                            <w:t xml:space="preserve">nustatytų </w:t>
                          </w:r>
                          <w:r>
                            <w:rPr>
                              <w:lang w:eastAsia="lt-LT"/>
                            </w:rPr>
                            <w:t>formų ataskaitose</w:t>
                          </w:r>
                          <w:r>
                            <w:rPr>
                              <w:color w:val="000000"/>
                            </w:rPr>
                            <w:t>;</w:t>
                          </w:r>
                        </w:p>
                      </w:sdtContent>
                    </w:sdt>
                    <w:sdt>
                      <w:sdtPr>
                        <w:alias w:val="14.2.2 pp."/>
                        <w:tag w:val="part_87f55c0e8e5a471f8b396ced5787eeb5"/>
                        <w:lock w:val="sdtLocked"/>
                        <w:richText/>
                      </w:sdtPr>
                      <w:sdtContent>
                        <w:p>
                          <w:pPr>
                            <w:widowControl w:val="0"/>
                            <w:tabs>
                              <w:tab w:val="left" w:pos="851"/>
                              <w:tab w:val="left" w:pos="1134"/>
                            </w:tabs>
                            <w:suppressAutoHyphens/>
                            <w:ind w:firstLine="567"/>
                            <w:jc w:val="both"/>
                            <w:rPr>
                              <w:color w:val="000000"/>
                            </w:rPr>
                          </w:pPr>
                          <w:sdt>
                            <w:sdtPr>
                              <w:alias w:val="Numeris"/>
                              <w:tag w:val="nr_87f55c0e8e5a471f8b396ced5787eeb5"/>
                              <w:lock w:val="sdtLocked"/>
                              <w:richText/>
                            </w:sdtPr>
                            <w:sdtContent>
                              <w:r>
                                <w:rPr>
                                  <w:color w:val="000000"/>
                                </w:rPr>
                                <w:t>14.2.2</w:t>
                              </w:r>
                            </w:sdtContent>
                          </w:sdt>
                          <w:r>
                            <w:rPr>
                              <w:color w:val="000000"/>
                            </w:rPr>
                            <w:t>.</w:t>
                            <w:tab/>
                            <w:t xml:space="preserve">„Prekių ir paslaugų sąnaudos viešajam ūkiui“. Šios sumos pateikiamos </w:t>
                          </w:r>
                          <w:r>
                            <w:rPr>
                              <w:lang w:eastAsia="lt-LT"/>
                            </w:rPr>
                            <w:t xml:space="preserve">Standarto 1–5 prieduose </w:t>
                          </w:r>
                          <w:r>
                            <w:t xml:space="preserve">nustatytų </w:t>
                          </w:r>
                          <w:r>
                            <w:rPr>
                              <w:lang w:eastAsia="lt-LT"/>
                            </w:rPr>
                            <w:t>formų ataskaitose</w:t>
                          </w:r>
                          <w:r>
                            <w:rPr>
                              <w:color w:val="000000"/>
                            </w:rPr>
                            <w:t>;</w:t>
                          </w:r>
                        </w:p>
                      </w:sdtContent>
                    </w:sdt>
                  </w:sdtContent>
                </w:sdt>
                <w:sdt>
                  <w:sdtPr>
                    <w:alias w:val="14.3 pp."/>
                    <w:tag w:val="part_18a6f9abcce843529971d00d31dfab1e"/>
                    <w:lock w:val="sdtLocked"/>
                    <w:richText/>
                  </w:sdtPr>
                  <w:sdtContent>
                    <w:p>
                      <w:pPr>
                        <w:widowControl w:val="0"/>
                        <w:tabs>
                          <w:tab w:val="left" w:pos="851"/>
                          <w:tab w:val="left" w:pos="1134"/>
                        </w:tabs>
                        <w:suppressAutoHyphens/>
                        <w:ind w:firstLine="567"/>
                        <w:jc w:val="both"/>
                        <w:rPr>
                          <w:color w:val="000000"/>
                        </w:rPr>
                      </w:pPr>
                      <w:sdt>
                        <w:sdtPr>
                          <w:alias w:val="Numeris"/>
                          <w:tag w:val="nr_18a6f9abcce843529971d00d31dfab1e"/>
                          <w:lock w:val="sdtLocked"/>
                          <w:richText/>
                        </w:sdtPr>
                        <w:sdtContent>
                          <w:r>
                            <w:rPr>
                              <w:color w:val="000000"/>
                            </w:rPr>
                            <w:t>14.3</w:t>
                          </w:r>
                        </w:sdtContent>
                      </w:sdt>
                      <w:r>
                        <w:rPr>
                          <w:color w:val="000000"/>
                        </w:rPr>
                        <w:t>.</w:t>
                        <w:tab/>
                        <w:t xml:space="preserve">„Nusidėvėjimo ir amortizacijos sąnaudos“. Šios sumos pateikiamos </w:t>
                      </w:r>
                      <w:r>
                        <w:rPr>
                          <w:lang w:eastAsia="lt-LT"/>
                        </w:rPr>
                        <w:t xml:space="preserve">Standarto 1–5 prieduose </w:t>
                      </w:r>
                      <w:r>
                        <w:t xml:space="preserve">nustatytų </w:t>
                      </w:r>
                      <w:r>
                        <w:rPr>
                          <w:lang w:eastAsia="lt-LT"/>
                        </w:rPr>
                        <w:t>formų ataskaitose</w:t>
                      </w:r>
                      <w:r>
                        <w:rPr>
                          <w:color w:val="000000"/>
                        </w:rPr>
                        <w:t>;</w:t>
                      </w:r>
                    </w:p>
                  </w:sdtContent>
                </w:sdt>
                <w:sdt>
                  <w:sdtPr>
                    <w:alias w:val="14.4 pp."/>
                    <w:tag w:val="part_698367d2c056486e95cdd11ef405a6fc"/>
                    <w:lock w:val="sdtLocked"/>
                    <w:richText/>
                  </w:sdtPr>
                  <w:sdtContent>
                    <w:p>
                      <w:pPr>
                        <w:widowControl w:val="0"/>
                        <w:tabs>
                          <w:tab w:val="left" w:pos="851"/>
                          <w:tab w:val="left" w:pos="1134"/>
                        </w:tabs>
                        <w:suppressAutoHyphens/>
                        <w:ind w:firstLine="567"/>
                        <w:jc w:val="both"/>
                        <w:rPr>
                          <w:color w:val="000000"/>
                        </w:rPr>
                      </w:pPr>
                      <w:sdt>
                        <w:sdtPr>
                          <w:alias w:val="Numeris"/>
                          <w:tag w:val="nr_698367d2c056486e95cdd11ef405a6fc"/>
                          <w:lock w:val="sdtLocked"/>
                          <w:richText/>
                        </w:sdtPr>
                        <w:sdtContent>
                          <w:r>
                            <w:rPr>
                              <w:color w:val="000000"/>
                            </w:rPr>
                            <w:t>14.4</w:t>
                          </w:r>
                        </w:sdtContent>
                      </w:sdt>
                      <w:r>
                        <w:rPr>
                          <w:color w:val="000000"/>
                        </w:rPr>
                        <w:t>.</w:t>
                        <w:tab/>
                        <w:t xml:space="preserve">„Nuvertėjimo ir nurašytų sumų sąnaudos“. Šios sumos pateikiamos </w:t>
                      </w:r>
                      <w:r>
                        <w:rPr>
                          <w:lang w:eastAsia="lt-LT"/>
                        </w:rPr>
                        <w:t xml:space="preserve">Standarto 1–5 prieduose </w:t>
                      </w:r>
                      <w:r>
                        <w:t xml:space="preserve">nustatytų </w:t>
                      </w:r>
                      <w:r>
                        <w:rPr>
                          <w:lang w:eastAsia="lt-LT"/>
                        </w:rPr>
                        <w:t>formų ataskaitose</w:t>
                      </w:r>
                      <w:r>
                        <w:rPr>
                          <w:color w:val="000000"/>
                        </w:rPr>
                        <w:t>;</w:t>
                      </w:r>
                    </w:p>
                  </w:sdtContent>
                </w:sdt>
                <w:sdt>
                  <w:sdtPr>
                    <w:alias w:val="14.5 pp."/>
                    <w:tag w:val="part_865a3d849e054e2c8eb96095c31a0852"/>
                    <w:lock w:val="sdtLocked"/>
                    <w:richText/>
                  </w:sdtPr>
                  <w:sdtContent>
                    <w:p>
                      <w:pPr>
                        <w:widowControl w:val="0"/>
                        <w:tabs>
                          <w:tab w:val="left" w:pos="851"/>
                          <w:tab w:val="left" w:pos="1134"/>
                        </w:tabs>
                        <w:suppressAutoHyphens/>
                        <w:ind w:firstLine="567"/>
                        <w:jc w:val="both"/>
                        <w:rPr>
                          <w:color w:val="000000"/>
                        </w:rPr>
                      </w:pPr>
                      <w:sdt>
                        <w:sdtPr>
                          <w:alias w:val="Numeris"/>
                          <w:tag w:val="nr_865a3d849e054e2c8eb96095c31a0852"/>
                          <w:lock w:val="sdtLocked"/>
                          <w:richText/>
                        </w:sdtPr>
                        <w:sdtContent>
                          <w:r>
                            <w:rPr>
                              <w:color w:val="000000"/>
                            </w:rPr>
                            <w:t>14.5</w:t>
                          </w:r>
                        </w:sdtContent>
                      </w:sdt>
                      <w:r>
                        <w:rPr>
                          <w:color w:val="000000"/>
                        </w:rPr>
                        <w:t>.</w:t>
                        <w:tab/>
                        <w:t>„Socialinių išmokų, stipendijų, prizų ir premijų sąnaudos“. Šios sumos detalizuojamos į:</w:t>
                      </w:r>
                    </w:p>
                    <w:sdt>
                      <w:sdtPr>
                        <w:alias w:val="14.5.1 pp."/>
                        <w:tag w:val="part_5cffa36b1a154a28824fdaed85ec37d4"/>
                        <w:lock w:val="sdtLocked"/>
                        <w:richText/>
                      </w:sdtPr>
                      <w:sdtContent>
                        <w:p>
                          <w:pPr>
                            <w:widowControl w:val="0"/>
                            <w:tabs>
                              <w:tab w:val="left" w:pos="851"/>
                              <w:tab w:val="left" w:pos="1134"/>
                            </w:tabs>
                            <w:suppressAutoHyphens/>
                            <w:ind w:firstLine="567"/>
                            <w:jc w:val="both"/>
                            <w:rPr>
                              <w:color w:val="000000"/>
                            </w:rPr>
                          </w:pPr>
                          <w:sdt>
                            <w:sdtPr>
                              <w:alias w:val="Numeris"/>
                              <w:tag w:val="nr_5cffa36b1a154a28824fdaed85ec37d4"/>
                              <w:lock w:val="sdtLocked"/>
                              <w:richText/>
                            </w:sdtPr>
                            <w:sdtContent>
                              <w:r>
                                <w:rPr>
                                  <w:color w:val="000000"/>
                                </w:rPr>
                                <w:t>14.5.1</w:t>
                              </w:r>
                            </w:sdtContent>
                          </w:sdt>
                          <w:r>
                            <w:rPr>
                              <w:color w:val="000000"/>
                            </w:rPr>
                            <w:t>.</w:t>
                            <w:tab/>
                            <w:t xml:space="preserve">socialinių išmokų sąnaudas iš Valstybinio socialinio draudimo fondo, kurias sudaro sumos pensijų socialiniam draudimui, ligos socialiniam draudimui, motinystės socialiniam draudimui, nedarbo socialiniam draudimui ir kitos socialinių išmokų sąnaudos iš Valstybinio socialinio draudimo fondo. Šios sumos pateikiamos </w:t>
                          </w:r>
                          <w:r>
                            <w:rPr>
                              <w:lang w:eastAsia="lt-LT"/>
                            </w:rPr>
                            <w:t>Standarto 5 priede nustatytos formos ataskaitos</w:t>
                          </w:r>
                          <w:r>
                            <w:rPr>
                              <w:color w:val="000000"/>
                            </w:rPr>
                            <w:t xml:space="preserve"> straipsnyje „Socialinių išmokų sąnaudos iš Valstybinio socialinio draudimo fondo“;</w:t>
                          </w:r>
                        </w:p>
                      </w:sdtContent>
                    </w:sdt>
                    <w:sdt>
                      <w:sdtPr>
                        <w:alias w:val="14.5.2 pp."/>
                        <w:tag w:val="part_ccf45c2a860e4cbfb76aff4c952306cf"/>
                        <w:lock w:val="sdtLocked"/>
                        <w:richText/>
                      </w:sdtPr>
                      <w:sdtContent>
                        <w:p>
                          <w:pPr>
                            <w:widowControl w:val="0"/>
                            <w:tabs>
                              <w:tab w:val="left" w:pos="851"/>
                              <w:tab w:val="left" w:pos="1134"/>
                            </w:tabs>
                            <w:suppressAutoHyphens/>
                            <w:ind w:firstLine="567"/>
                            <w:jc w:val="both"/>
                            <w:rPr>
                              <w:color w:val="000000"/>
                            </w:rPr>
                          </w:pPr>
                          <w:sdt>
                            <w:sdtPr>
                              <w:alias w:val="Numeris"/>
                              <w:tag w:val="nr_ccf45c2a860e4cbfb76aff4c952306cf"/>
                              <w:lock w:val="sdtLocked"/>
                              <w:richText/>
                            </w:sdtPr>
                            <w:sdtContent>
                              <w:r>
                                <w:rPr>
                                  <w:color w:val="000000"/>
                                </w:rPr>
                                <w:t>14.5.2</w:t>
                              </w:r>
                            </w:sdtContent>
                          </w:sdt>
                          <w:r>
                            <w:rPr>
                              <w:color w:val="000000"/>
                            </w:rPr>
                            <w:t>.</w:t>
                            <w:tab/>
                            <w:t xml:space="preserve">socialinių išmokų sąnaudas iš Privalomojo sveikatos draudimo fondo. Šios sumos pateikiamos </w:t>
                          </w:r>
                          <w:r>
                            <w:rPr>
                              <w:lang w:eastAsia="lt-LT"/>
                            </w:rPr>
                            <w:t>Standarto 5 priede nustatytos formos ataskaitos</w:t>
                          </w:r>
                          <w:r>
                            <w:rPr>
                              <w:color w:val="000000"/>
                            </w:rPr>
                            <w:t xml:space="preserve"> straipsnyje „Socialinių išmokų sąnaudos iš Privalomojo sveikatos draudimo fondo“; </w:t>
                          </w:r>
                        </w:p>
                      </w:sdtContent>
                    </w:sdt>
                    <w:sdt>
                      <w:sdtPr>
                        <w:alias w:val="14.5.3 pp."/>
                        <w:tag w:val="part_905359c19f1649fb822b51e87139ae83"/>
                        <w:lock w:val="sdtLocked"/>
                        <w:richText/>
                      </w:sdtPr>
                      <w:sdtContent>
                        <w:p>
                          <w:pPr>
                            <w:widowControl w:val="0"/>
                            <w:tabs>
                              <w:tab w:val="left" w:pos="851"/>
                              <w:tab w:val="left" w:pos="1134"/>
                            </w:tabs>
                            <w:suppressAutoHyphens/>
                            <w:ind w:firstLine="567"/>
                            <w:jc w:val="both"/>
                            <w:rPr>
                              <w:color w:val="000000"/>
                            </w:rPr>
                          </w:pPr>
                          <w:sdt>
                            <w:sdtPr>
                              <w:alias w:val="Numeris"/>
                              <w:tag w:val="nr_905359c19f1649fb822b51e87139ae83"/>
                              <w:lock w:val="sdtLocked"/>
                              <w:richText/>
                            </w:sdtPr>
                            <w:sdtContent>
                              <w:r>
                                <w:rPr>
                                  <w:color w:val="000000"/>
                                </w:rPr>
                                <w:t>14.5.3</w:t>
                              </w:r>
                            </w:sdtContent>
                          </w:sdt>
                          <w:r>
                            <w:rPr>
                              <w:color w:val="000000"/>
                            </w:rPr>
                            <w:t>.</w:t>
                            <w:tab/>
                            <w:t xml:space="preserve">socialinių išmokų sąnaudas iš kitų valstybės socialinių fondų. Šios sumos pateikiamos </w:t>
                          </w:r>
                          <w:r>
                            <w:rPr>
                              <w:lang w:eastAsia="lt-LT"/>
                            </w:rPr>
                            <w:t>Standarto 5 priede nustatytos formos ataskaitos</w:t>
                          </w:r>
                          <w:r>
                            <w:rPr>
                              <w:color w:val="000000"/>
                            </w:rPr>
                            <w:t xml:space="preserve"> straipsnyje „Socialinių išmokų sąnaudos iš kitų valstybės socialinių fondų“;</w:t>
                          </w:r>
                        </w:p>
                      </w:sdtContent>
                    </w:sdt>
                    <w:sdt>
                      <w:sdtPr>
                        <w:alias w:val="14.5.4 pp."/>
                        <w:tag w:val="part_71a38b434f7247caa12487c199716975"/>
                        <w:lock w:val="sdtLocked"/>
                        <w:richText/>
                      </w:sdtPr>
                      <w:sdtContent>
                        <w:p>
                          <w:pPr>
                            <w:widowControl w:val="0"/>
                            <w:tabs>
                              <w:tab w:val="left" w:pos="851"/>
                              <w:tab w:val="left" w:pos="1134"/>
                            </w:tabs>
                            <w:suppressAutoHyphens/>
                            <w:ind w:firstLine="567"/>
                            <w:jc w:val="both"/>
                            <w:rPr>
                              <w:color w:val="000000"/>
                            </w:rPr>
                          </w:pPr>
                          <w:sdt>
                            <w:sdtPr>
                              <w:alias w:val="Numeris"/>
                              <w:tag w:val="nr_71a38b434f7247caa12487c199716975"/>
                              <w:lock w:val="sdtLocked"/>
                              <w:richText/>
                            </w:sdtPr>
                            <w:sdtContent>
                              <w:r>
                                <w:rPr>
                                  <w:color w:val="000000"/>
                                </w:rPr>
                                <w:t>14.5.4</w:t>
                              </w:r>
                            </w:sdtContent>
                          </w:sdt>
                          <w:r>
                            <w:rPr>
                              <w:color w:val="000000"/>
                            </w:rPr>
                            <w:t>.</w:t>
                            <w:tab/>
                            <w:t xml:space="preserve">socialinių išmokų sąnaudas iš Pensijų anuitetų fondo. Šios sumos pateikiamos </w:t>
                          </w:r>
                          <w:r>
                            <w:rPr>
                              <w:lang w:eastAsia="lt-LT"/>
                            </w:rPr>
                            <w:t>Standarto 5 priede nustatytos formos ataskaitos</w:t>
                          </w:r>
                          <w:r>
                            <w:rPr>
                              <w:color w:val="000000"/>
                            </w:rPr>
                            <w:t xml:space="preserve"> straipsnyje „Socialinių išmokų sąnaudos iš Pensijų anuitetų fondo“;</w:t>
                          </w:r>
                        </w:p>
                      </w:sdtContent>
                    </w:sdt>
                    <w:sdt>
                      <w:sdtPr>
                        <w:alias w:val="14.5.5 pp."/>
                        <w:tag w:val="part_3c30da6ece8347b89bea835b3221728e"/>
                        <w:lock w:val="sdtLocked"/>
                        <w:richText/>
                      </w:sdtPr>
                      <w:sdtContent>
                        <w:p>
                          <w:pPr>
                            <w:widowControl w:val="0"/>
                            <w:tabs>
                              <w:tab w:val="left" w:pos="851"/>
                              <w:tab w:val="left" w:pos="1134"/>
                            </w:tabs>
                            <w:suppressAutoHyphens/>
                            <w:ind w:firstLine="567"/>
                            <w:jc w:val="both"/>
                            <w:rPr>
                              <w:color w:val="000000"/>
                            </w:rPr>
                          </w:pPr>
                          <w:sdt>
                            <w:sdtPr>
                              <w:alias w:val="Numeris"/>
                              <w:tag w:val="nr_3c30da6ece8347b89bea835b3221728e"/>
                              <w:lock w:val="sdtLocked"/>
                              <w:richText/>
                            </w:sdtPr>
                            <w:sdtContent>
                              <w:r>
                                <w:rPr>
                                  <w:color w:val="000000"/>
                                </w:rPr>
                                <w:t>14.5.5</w:t>
                              </w:r>
                            </w:sdtContent>
                          </w:sdt>
                          <w:r>
                            <w:rPr>
                              <w:color w:val="000000"/>
                            </w:rPr>
                            <w:t>.</w:t>
                            <w:tab/>
                            <w:t xml:space="preserve">kitas socialinių išmokų sąnaudas, stipendijas, prizus ir premijas. Šios sumos apima socialinių išmokų sąnaudas, nenurodytas Standarto 14.5.1–14.5.4 papunkčiuose, taip pat stipendijas, prizus ir premijas, išskyrus premijas darbuotojams. Šios sumos pateikiamos </w:t>
                          </w:r>
                          <w:r>
                            <w:rPr>
                              <w:lang w:eastAsia="lt-LT"/>
                            </w:rPr>
                            <w:t xml:space="preserve">Standarto 1–4 prieduose </w:t>
                          </w:r>
                          <w:r>
                            <w:t xml:space="preserve">nustatytų </w:t>
                          </w:r>
                          <w:r>
                            <w:rPr>
                              <w:lang w:eastAsia="lt-LT"/>
                            </w:rPr>
                            <w:t>formų ataskaitų straipsnyje „Socialinių išmokų, stipendijų, prizų ir premijų sąnaudos“ ir</w:t>
                          </w:r>
                          <w:r>
                            <w:rPr>
                              <w:color w:val="000000"/>
                            </w:rPr>
                            <w:t xml:space="preserve"> Standarto 5 priede nustatytos formos ataskaitos straipsnyje „Kitos socialinių išmokų sąnaudos, stipendijos, prizai ir premijos“; </w:t>
                          </w:r>
                        </w:p>
                      </w:sdtContent>
                    </w:sdt>
                  </w:sdtContent>
                </w:sdt>
                <w:sdt>
                  <w:sdtPr>
                    <w:alias w:val="14.6 pp."/>
                    <w:tag w:val="part_bac821e54e08494aaa5c78b3eabac22b"/>
                    <w:lock w:val="sdtLocked"/>
                    <w:richText/>
                  </w:sdtPr>
                  <w:sdtContent>
                    <w:p>
                      <w:pPr>
                        <w:widowControl w:val="0"/>
                        <w:tabs>
                          <w:tab w:val="left" w:pos="851"/>
                          <w:tab w:val="left" w:pos="1134"/>
                        </w:tabs>
                        <w:suppressAutoHyphens/>
                        <w:ind w:firstLine="567"/>
                        <w:jc w:val="both"/>
                        <w:rPr>
                          <w:color w:val="000000"/>
                        </w:rPr>
                      </w:pPr>
                      <w:sdt>
                        <w:sdtPr>
                          <w:alias w:val="Numeris"/>
                          <w:tag w:val="nr_bac821e54e08494aaa5c78b3eabac22b"/>
                          <w:lock w:val="sdtLocked"/>
                          <w:richText/>
                        </w:sdtPr>
                        <w:sdtContent>
                          <w:r>
                            <w:rPr>
                              <w:color w:val="000000"/>
                            </w:rPr>
                            <w:t>14.6</w:t>
                          </w:r>
                        </w:sdtContent>
                      </w:sdt>
                      <w:r>
                        <w:rPr>
                          <w:color w:val="000000"/>
                        </w:rPr>
                        <w:t>.</w:t>
                        <w:tab/>
                        <w:t xml:space="preserve">„Finansavimo sąnaudos“. Šios sumos pateikiamos </w:t>
                      </w:r>
                      <w:r>
                        <w:rPr>
                          <w:lang w:eastAsia="lt-LT"/>
                        </w:rPr>
                        <w:t xml:space="preserve">Standarto 1–5 prieduose nustatytų formų ataskaitose. Standarto 3 priede nustatytos formos ataskaitoje </w:t>
                      </w:r>
                      <w:r>
                        <w:rPr>
                          <w:color w:val="000000"/>
                        </w:rPr>
                        <w:t>šis straipsnis pagal 20-ojo VSAFAS „Finansavimo sumos“ nuostatas papildomai detalizuojamas į šiuos straipsnius:</w:t>
                      </w:r>
                    </w:p>
                    <w:sdt>
                      <w:sdtPr>
                        <w:alias w:val="14.6.1 pp."/>
                        <w:tag w:val="part_3466e48c6e974ba3b81c84295d7cefef"/>
                        <w:lock w:val="sdtLocked"/>
                        <w:richText/>
                      </w:sdtPr>
                      <w:sdtContent>
                        <w:p>
                          <w:pPr>
                            <w:widowControl w:val="0"/>
                            <w:tabs>
                              <w:tab w:val="left" w:pos="851"/>
                              <w:tab w:val="left" w:pos="1134"/>
                            </w:tabs>
                            <w:suppressAutoHyphens/>
                            <w:ind w:firstLine="567"/>
                            <w:jc w:val="both"/>
                            <w:rPr>
                              <w:color w:val="000000"/>
                            </w:rPr>
                          </w:pPr>
                          <w:sdt>
                            <w:sdtPr>
                              <w:alias w:val="Numeris"/>
                              <w:tag w:val="nr_3466e48c6e974ba3b81c84295d7cefef"/>
                              <w:lock w:val="sdtLocked"/>
                              <w:richText/>
                            </w:sdtPr>
                            <w:sdtContent>
                              <w:r>
                                <w:rPr>
                                  <w:color w:val="000000"/>
                                </w:rPr>
                                <w:t>14.6.1</w:t>
                              </w:r>
                            </w:sdtContent>
                          </w:sdt>
                          <w:r>
                            <w:rPr>
                              <w:color w:val="000000"/>
                            </w:rPr>
                            <w:t>.</w:t>
                            <w:tab/>
                            <w:t xml:space="preserve">„Valstybės socialinių fondų finansavimo sąnaudos“; </w:t>
                          </w:r>
                        </w:p>
                      </w:sdtContent>
                    </w:sdt>
                    <w:sdt>
                      <w:sdtPr>
                        <w:alias w:val="14.6.2 pp."/>
                        <w:tag w:val="part_53565087f2c849efb2e12a8e43f44491"/>
                        <w:lock w:val="sdtLocked"/>
                        <w:richText/>
                      </w:sdtPr>
                      <w:sdtContent>
                        <w:p>
                          <w:pPr>
                            <w:widowControl w:val="0"/>
                            <w:tabs>
                              <w:tab w:val="left" w:pos="851"/>
                              <w:tab w:val="left" w:pos="1134"/>
                            </w:tabs>
                            <w:suppressAutoHyphens/>
                            <w:ind w:firstLine="567"/>
                            <w:jc w:val="both"/>
                            <w:rPr>
                              <w:color w:val="000000"/>
                            </w:rPr>
                          </w:pPr>
                          <w:sdt>
                            <w:sdtPr>
                              <w:alias w:val="Numeris"/>
                              <w:tag w:val="nr_53565087f2c849efb2e12a8e43f44491"/>
                              <w:lock w:val="sdtLocked"/>
                              <w:richText/>
                            </w:sdtPr>
                            <w:sdtContent>
                              <w:r>
                                <w:rPr>
                                  <w:color w:val="000000"/>
                                </w:rPr>
                                <w:t>14.6.2</w:t>
                              </w:r>
                            </w:sdtContent>
                          </w:sdt>
                          <w:r>
                            <w:rPr>
                              <w:color w:val="000000"/>
                            </w:rPr>
                            <w:t>.</w:t>
                            <w:tab/>
                            <w:t>„Savivaldybių finansavimo sąnaudos“;</w:t>
                          </w:r>
                        </w:p>
                      </w:sdtContent>
                    </w:sdt>
                    <w:sdt>
                      <w:sdtPr>
                        <w:alias w:val="14.6.3 pp."/>
                        <w:tag w:val="part_6a926ce4dfb147afab94e2133122df35"/>
                        <w:lock w:val="sdtLocked"/>
                        <w:richText/>
                      </w:sdtPr>
                      <w:sdtContent>
                        <w:p>
                          <w:pPr>
                            <w:widowControl w:val="0"/>
                            <w:tabs>
                              <w:tab w:val="left" w:pos="851"/>
                              <w:tab w:val="left" w:pos="1134"/>
                            </w:tabs>
                            <w:suppressAutoHyphens/>
                            <w:ind w:firstLine="567"/>
                            <w:jc w:val="both"/>
                            <w:rPr>
                              <w:color w:val="000000"/>
                            </w:rPr>
                          </w:pPr>
                          <w:sdt>
                            <w:sdtPr>
                              <w:alias w:val="Numeris"/>
                              <w:tag w:val="nr_6a926ce4dfb147afab94e2133122df35"/>
                              <w:lock w:val="sdtLocked"/>
                              <w:richText/>
                            </w:sdtPr>
                            <w:sdtContent>
                              <w:r>
                                <w:rPr>
                                  <w:color w:val="000000"/>
                                </w:rPr>
                                <w:t>14.6.3</w:t>
                              </w:r>
                            </w:sdtContent>
                          </w:sdt>
                          <w:r>
                            <w:rPr>
                              <w:color w:val="000000"/>
                            </w:rPr>
                            <w:t>.</w:t>
                            <w:tab/>
                            <w:t>„Kitos finansavimo sąnaudos“;</w:t>
                          </w:r>
                        </w:p>
                      </w:sdtContent>
                    </w:sdt>
                  </w:sdtContent>
                </w:sdt>
                <w:sdt>
                  <w:sdtPr>
                    <w:alias w:val="14.7 pp."/>
                    <w:tag w:val="part_5250a3efcc4248369e2b36a8abc74d80"/>
                    <w:lock w:val="sdtLocked"/>
                    <w:richText/>
                  </w:sdtPr>
                  <w:sdtContent>
                    <w:p>
                      <w:pPr>
                        <w:widowControl w:val="0"/>
                        <w:tabs>
                          <w:tab w:val="left" w:pos="851"/>
                          <w:tab w:val="left" w:pos="1134"/>
                        </w:tabs>
                        <w:suppressAutoHyphens/>
                        <w:ind w:firstLine="567"/>
                        <w:jc w:val="both"/>
                        <w:rPr>
                          <w:color w:val="000000"/>
                        </w:rPr>
                      </w:pPr>
                      <w:sdt>
                        <w:sdtPr>
                          <w:alias w:val="Numeris"/>
                          <w:tag w:val="nr_5250a3efcc4248369e2b36a8abc74d80"/>
                          <w:lock w:val="sdtLocked"/>
                          <w:richText/>
                        </w:sdtPr>
                        <w:sdtContent>
                          <w:r>
                            <w:rPr>
                              <w:color w:val="000000"/>
                            </w:rPr>
                            <w:t>14.7</w:t>
                          </w:r>
                        </w:sdtContent>
                      </w:sdt>
                      <w:r>
                        <w:rPr>
                          <w:color w:val="000000"/>
                        </w:rPr>
                        <w:t>.</w:t>
                        <w:tab/>
                        <w:t xml:space="preserve">„Pensijų anuitetų fondo techninių atidėjinių vertės pasikeitimo sąnaudos“. Šios sumos pateikiamos </w:t>
                      </w:r>
                      <w:r>
                        <w:rPr>
                          <w:lang w:eastAsia="lt-LT"/>
                        </w:rPr>
                        <w:t>Standarto 5 priede nustatytos formos ataskaitoje;</w:t>
                      </w:r>
                    </w:p>
                  </w:sdtContent>
                </w:sdt>
                <w:sdt>
                  <w:sdtPr>
                    <w:alias w:val="14.8 pp."/>
                    <w:tag w:val="part_1352e3e3384e498e84fe961f8e001bba"/>
                    <w:lock w:val="sdtLocked"/>
                    <w:richText/>
                  </w:sdtPr>
                  <w:sdtContent>
                    <w:p>
                      <w:pPr>
                        <w:widowControl w:val="0"/>
                        <w:tabs>
                          <w:tab w:val="left" w:pos="851"/>
                          <w:tab w:val="left" w:pos="1134"/>
                        </w:tabs>
                        <w:suppressAutoHyphens/>
                        <w:ind w:firstLine="567"/>
                        <w:jc w:val="both"/>
                        <w:rPr>
                          <w:color w:val="000000"/>
                        </w:rPr>
                      </w:pPr>
                      <w:sdt>
                        <w:sdtPr>
                          <w:alias w:val="Numeris"/>
                          <w:tag w:val="nr_1352e3e3384e498e84fe961f8e001bba"/>
                          <w:lock w:val="sdtLocked"/>
                          <w:richText/>
                        </w:sdtPr>
                        <w:sdtContent>
                          <w:r>
                            <w:rPr>
                              <w:color w:val="000000"/>
                            </w:rPr>
                            <w:t>14.8</w:t>
                          </w:r>
                        </w:sdtContent>
                      </w:sdt>
                      <w:r>
                        <w:rPr>
                          <w:color w:val="000000"/>
                        </w:rPr>
                        <w:t>.</w:t>
                        <w:tab/>
                        <w:t xml:space="preserve">„Finansinės ir investicinės veiklos sąnaudos“. Šios sumos pateikiamos </w:t>
                      </w:r>
                      <w:r>
                        <w:rPr>
                          <w:lang w:eastAsia="lt-LT"/>
                        </w:rPr>
                        <w:t xml:space="preserve">Standarto 1–5 prieduose </w:t>
                      </w:r>
                      <w:r>
                        <w:t xml:space="preserve">nustatytų </w:t>
                      </w:r>
                      <w:r>
                        <w:rPr>
                          <w:lang w:eastAsia="lt-LT"/>
                        </w:rPr>
                        <w:t>formų ataskaitose</w:t>
                      </w:r>
                      <w:r>
                        <w:rPr>
                          <w:color w:val="000000"/>
                        </w:rPr>
                        <w:t xml:space="preserve">. </w:t>
                      </w:r>
                      <w:r>
                        <w:rPr>
                          <w:lang w:eastAsia="lt-LT"/>
                        </w:rPr>
                        <w:t xml:space="preserve">Standarto 3–5 prieduose </w:t>
                      </w:r>
                      <w:r>
                        <w:t xml:space="preserve">nustatytų </w:t>
                      </w:r>
                      <w:r>
                        <w:rPr>
                          <w:lang w:eastAsia="lt-LT"/>
                        </w:rPr>
                        <w:t xml:space="preserve">formų ataskaitose </w:t>
                      </w:r>
                      <w:r>
                        <w:rPr>
                          <w:color w:val="000000"/>
                        </w:rPr>
                        <w:t>šis straipsnis detalizuojamas į straipsnius:</w:t>
                      </w:r>
                    </w:p>
                    <w:sdt>
                      <w:sdtPr>
                        <w:alias w:val="14.8.1 pp."/>
                        <w:tag w:val="part_456f9f10269047579ea8d8fa351e5178"/>
                        <w:lock w:val="sdtLocked"/>
                        <w:richText/>
                      </w:sdtPr>
                      <w:sdtContent>
                        <w:p>
                          <w:pPr>
                            <w:widowControl w:val="0"/>
                            <w:tabs>
                              <w:tab w:val="left" w:pos="851"/>
                              <w:tab w:val="left" w:pos="1134"/>
                            </w:tabs>
                            <w:suppressAutoHyphens/>
                            <w:ind w:firstLine="567"/>
                            <w:jc w:val="both"/>
                            <w:rPr>
                              <w:color w:val="000000"/>
                            </w:rPr>
                          </w:pPr>
                          <w:sdt>
                            <w:sdtPr>
                              <w:alias w:val="Numeris"/>
                              <w:tag w:val="nr_456f9f10269047579ea8d8fa351e5178"/>
                              <w:lock w:val="sdtLocked"/>
                              <w:richText/>
                            </w:sdtPr>
                            <w:sdtContent>
                              <w:r>
                                <w:rPr>
                                  <w:color w:val="000000"/>
                                </w:rPr>
                                <w:t>14.8.1</w:t>
                              </w:r>
                            </w:sdtContent>
                          </w:sdt>
                          <w:r>
                            <w:rPr>
                              <w:color w:val="000000"/>
                            </w:rPr>
                            <w:t>.</w:t>
                            <w:tab/>
                            <w:t>„Finansinio turto tikrosios vertės sumažėjimas ir perleidimo nuostolis, nuvertėjimo ir nurašymo sąnaudos“;</w:t>
                          </w:r>
                        </w:p>
                      </w:sdtContent>
                    </w:sdt>
                    <w:sdt>
                      <w:sdtPr>
                        <w:alias w:val="14.8.2 pp."/>
                        <w:tag w:val="part_214656c3ddc842c8ba514443f3dc5a81"/>
                        <w:lock w:val="sdtLocked"/>
                        <w:richText/>
                      </w:sdtPr>
                      <w:sdtContent>
                        <w:p>
                          <w:pPr>
                            <w:widowControl w:val="0"/>
                            <w:tabs>
                              <w:tab w:val="left" w:pos="851"/>
                              <w:tab w:val="left" w:pos="1134"/>
                            </w:tabs>
                            <w:suppressAutoHyphens/>
                            <w:ind w:firstLine="567"/>
                            <w:jc w:val="both"/>
                            <w:rPr>
                              <w:color w:val="000000"/>
                            </w:rPr>
                          </w:pPr>
                          <w:sdt>
                            <w:sdtPr>
                              <w:alias w:val="Numeris"/>
                              <w:tag w:val="nr_214656c3ddc842c8ba514443f3dc5a81"/>
                              <w:lock w:val="sdtLocked"/>
                              <w:richText/>
                            </w:sdtPr>
                            <w:sdtContent>
                              <w:r>
                                <w:rPr>
                                  <w:color w:val="000000"/>
                                </w:rPr>
                                <w:t>14.8.2</w:t>
                              </w:r>
                            </w:sdtContent>
                          </w:sdt>
                          <w:r>
                            <w:rPr>
                              <w:color w:val="000000"/>
                            </w:rPr>
                            <w:t>.</w:t>
                            <w:tab/>
                            <w:t xml:space="preserve">„Palūkanų sąnaudos“; </w:t>
                          </w:r>
                        </w:p>
                      </w:sdtContent>
                    </w:sdt>
                    <w:sdt>
                      <w:sdtPr>
                        <w:alias w:val="14.8.3 pp."/>
                        <w:tag w:val="part_aed9b6719e6e439cb7c5c92a016922b5"/>
                        <w:lock w:val="sdtLocked"/>
                        <w:richText/>
                      </w:sdtPr>
                      <w:sdtContent>
                        <w:p>
                          <w:pPr>
                            <w:widowControl w:val="0"/>
                            <w:tabs>
                              <w:tab w:val="left" w:pos="851"/>
                              <w:tab w:val="left" w:pos="1134"/>
                            </w:tabs>
                            <w:suppressAutoHyphens/>
                            <w:ind w:firstLine="567"/>
                            <w:jc w:val="both"/>
                            <w:rPr>
                              <w:color w:val="000000"/>
                            </w:rPr>
                          </w:pPr>
                          <w:sdt>
                            <w:sdtPr>
                              <w:alias w:val="Numeris"/>
                              <w:tag w:val="nr_aed9b6719e6e439cb7c5c92a016922b5"/>
                              <w:lock w:val="sdtLocked"/>
                              <w:richText/>
                            </w:sdtPr>
                            <w:sdtContent>
                              <w:r>
                                <w:rPr>
                                  <w:color w:val="000000"/>
                                </w:rPr>
                                <w:t>14.8.3</w:t>
                              </w:r>
                            </w:sdtContent>
                          </w:sdt>
                          <w:r>
                            <w:rPr>
                              <w:color w:val="000000"/>
                            </w:rPr>
                            <w:t>.</w:t>
                            <w:tab/>
                            <w:t>„Kitos finansinės ir investicinės veiklos sąnaudos“. Šiame straipsnyje nurodomas nuostolis dėl valiutos kurso pasikeitimo, baudų ir delspinigių sąnaudos ir kitos finansinės ir investicinės veiklos sąnaudos;</w:t>
                          </w:r>
                        </w:p>
                      </w:sdtContent>
                    </w:sdt>
                  </w:sdtContent>
                </w:sdt>
                <w:sdt>
                  <w:sdtPr>
                    <w:alias w:val="14.9 pp."/>
                    <w:tag w:val="part_10a94ad705c04954aee48ef1cc47b618"/>
                    <w:lock w:val="sdtLocked"/>
                    <w:richText/>
                  </w:sdtPr>
                  <w:sdtContent>
                    <w:p>
                      <w:pPr>
                        <w:widowControl w:val="0"/>
                        <w:tabs>
                          <w:tab w:val="left" w:pos="851"/>
                          <w:tab w:val="left" w:pos="1134"/>
                        </w:tabs>
                        <w:suppressAutoHyphens/>
                        <w:ind w:firstLine="567"/>
                        <w:jc w:val="both"/>
                        <w:rPr>
                          <w:color w:val="000000"/>
                        </w:rPr>
                      </w:pPr>
                      <w:sdt>
                        <w:sdtPr>
                          <w:alias w:val="Numeris"/>
                          <w:tag w:val="nr_10a94ad705c04954aee48ef1cc47b618"/>
                          <w:lock w:val="sdtLocked"/>
                          <w:richText/>
                        </w:sdtPr>
                        <w:sdtContent>
                          <w:r>
                            <w:rPr>
                              <w:color w:val="000000"/>
                            </w:rPr>
                            <w:t>14.9</w:t>
                          </w:r>
                        </w:sdtContent>
                      </w:sdt>
                      <w:r>
                        <w:rPr>
                          <w:color w:val="000000"/>
                        </w:rPr>
                        <w:t>.</w:t>
                        <w:tab/>
                        <w:t>„Kitos sąnaudos“. Šiame straipsnyje nurodomos sąnaudos, nenurodytos Standarto 14.1–14.8 papunkčiuose.</w:t>
                      </w:r>
                    </w:p>
                    <w:p>
                      <w:pPr>
                        <w:widowControl w:val="0"/>
                        <w:ind w:firstLine="567"/>
                        <w:jc w:val="both"/>
                        <w:rPr>
                          <w:color w:val="000000"/>
                        </w:rPr>
                      </w:pPr>
                    </w:p>
                  </w:sdtContent>
                </w:sdt>
              </w:sdtContent>
            </w:sdt>
          </w:sdtContent>
        </w:sdt>
        <w:sdt>
          <w:sdtPr>
            <w:alias w:val="skyrius"/>
            <w:tag w:val="part_dafe898d69d54f1dafec2827dea25153"/>
            <w:lock w:val="sdtLocked"/>
            <w:richText/>
          </w:sdtPr>
          <w:sdtContent>
            <w:p>
              <w:pPr>
                <w:widowControl w:val="0"/>
                <w:suppressAutoHyphens/>
                <w:jc w:val="center"/>
                <w:rPr>
                  <w:b/>
                  <w:bCs/>
                  <w:caps/>
                  <w:color w:val="000000"/>
                </w:rPr>
              </w:pPr>
              <w:sdt>
                <w:sdtPr>
                  <w:alias w:val="Numeris"/>
                  <w:tag w:val="nr_dafe898d69d54f1dafec2827dea25153"/>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dafe898d69d54f1dafec2827dea25153"/>
                  <w:lock w:val="sdtLocked"/>
                  <w:richText/>
                </w:sdtPr>
                <w:sdtContent>
                  <w:r>
                    <w:rPr>
                      <w:b/>
                      <w:bCs/>
                      <w:caps/>
                      <w:color w:val="000000"/>
                    </w:rPr>
                    <w:t>REZULTATŲ PATEIKIMAS ATASKAITOJE</w:t>
                  </w:r>
                </w:sdtContent>
              </w:sdt>
            </w:p>
            <w:p>
              <w:pPr>
                <w:widowControl w:val="0"/>
                <w:ind w:firstLine="567"/>
                <w:jc w:val="both"/>
                <w:rPr>
                  <w:color w:val="000000"/>
                </w:rPr>
              </w:pPr>
            </w:p>
            <w:sdt>
              <w:sdtPr>
                <w:alias w:val="15 p."/>
                <w:tag w:val="part_9e05497cd5124649a030b308cc8a528c"/>
                <w:lock w:val="sdtLocked"/>
                <w:richText/>
              </w:sdtPr>
              <w:sdtContent>
                <w:p>
                  <w:pPr>
                    <w:widowControl w:val="0"/>
                    <w:tabs>
                      <w:tab w:val="left" w:pos="851"/>
                    </w:tabs>
                    <w:suppressAutoHyphens/>
                    <w:ind w:firstLine="567"/>
                    <w:jc w:val="both"/>
                    <w:rPr>
                      <w:color w:val="000000"/>
                    </w:rPr>
                  </w:pPr>
                  <w:sdt>
                    <w:sdtPr>
                      <w:alias w:val="Numeris"/>
                      <w:tag w:val="nr_9e05497cd5124649a030b308cc8a528c"/>
                      <w:lock w:val="sdtLocked"/>
                      <w:richText/>
                    </w:sdtPr>
                    <w:sdtContent>
                      <w:r>
                        <w:rPr>
                          <w:color w:val="000000"/>
                        </w:rPr>
                        <w:t>15</w:t>
                      </w:r>
                    </w:sdtContent>
                  </w:sdt>
                  <w:r>
                    <w:rPr>
                      <w:color w:val="000000"/>
                    </w:rPr>
                    <w:t>.</w:t>
                    <w:tab/>
                    <w:t>Ataskaitoje turi būti apskaičiuoti ir pateikti ataskaitinio laikotarpio viešojo sektoriaus subjekto, viešojo sektoriaus subjekto grupės, nacionaliniai veiklos rezultatai. Tam naudojami šie rodikliai:</w:t>
                  </w:r>
                </w:p>
                <w:sdt>
                  <w:sdtPr>
                    <w:alias w:val="15.1 pp."/>
                    <w:tag w:val="part_2ed7f1fe50ab46ecb8350e21ada68ece"/>
                    <w:lock w:val="sdtLocked"/>
                    <w:richText/>
                  </w:sdtPr>
                  <w:sdtContent>
                    <w:p>
                      <w:pPr>
                        <w:widowControl w:val="0"/>
                        <w:tabs>
                          <w:tab w:val="left" w:pos="360"/>
                        </w:tabs>
                        <w:suppressAutoHyphens/>
                        <w:ind w:firstLine="567"/>
                        <w:jc w:val="both"/>
                        <w:rPr>
                          <w:color w:val="000000"/>
                        </w:rPr>
                      </w:pPr>
                      <w:sdt>
                        <w:sdtPr>
                          <w:alias w:val="Numeris"/>
                          <w:tag w:val="nr_2ed7f1fe50ab46ecb8350e21ada68ece"/>
                          <w:lock w:val="sdtLocked"/>
                          <w:richText/>
                        </w:sdtPr>
                        <w:sdtContent>
                          <w:r>
                            <w:rPr>
                              <w:color w:val="000000"/>
                            </w:rPr>
                            <w:t>15.1</w:t>
                          </w:r>
                        </w:sdtContent>
                      </w:sdt>
                      <w:r>
                        <w:rPr>
                          <w:color w:val="000000"/>
                        </w:rPr>
                        <w:t>.</w:t>
                        <w:tab/>
                        <w:t>perviršis ar deficitas iš vykdomos veiklos;</w:t>
                      </w:r>
                    </w:p>
                  </w:sdtContent>
                </w:sdt>
                <w:sdt>
                  <w:sdtPr>
                    <w:alias w:val="15.2 pp."/>
                    <w:tag w:val="part_abc0a5c7c68944edbfe1ac152371c824"/>
                    <w:lock w:val="sdtLocked"/>
                    <w:richText/>
                  </w:sdtPr>
                  <w:sdtContent>
                    <w:p>
                      <w:pPr>
                        <w:widowControl w:val="0"/>
                        <w:tabs>
                          <w:tab w:val="left" w:pos="360"/>
                        </w:tabs>
                        <w:suppressAutoHyphens/>
                        <w:ind w:firstLine="567"/>
                        <w:jc w:val="both"/>
                        <w:rPr>
                          <w:color w:val="000000"/>
                        </w:rPr>
                      </w:pPr>
                      <w:sdt>
                        <w:sdtPr>
                          <w:alias w:val="Numeris"/>
                          <w:tag w:val="nr_abc0a5c7c68944edbfe1ac152371c824"/>
                          <w:lock w:val="sdtLocked"/>
                          <w:richText/>
                        </w:sdtPr>
                        <w:sdtContent>
                          <w:r>
                            <w:rPr>
                              <w:color w:val="000000"/>
                            </w:rPr>
                            <w:t>15.2</w:t>
                          </w:r>
                        </w:sdtContent>
                      </w:sdt>
                      <w:r>
                        <w:rPr>
                          <w:color w:val="000000"/>
                        </w:rPr>
                        <w:t>.</w:t>
                        <w:tab/>
                        <w:t xml:space="preserve">apskaitos politikos keitimo ir esminių apskaitos klaidų taisymo įtaka; </w:t>
                      </w:r>
                    </w:p>
                  </w:sdtContent>
                </w:sdt>
                <w:sdt>
                  <w:sdtPr>
                    <w:alias w:val="15.3 pp."/>
                    <w:tag w:val="part_25af4230b42f4abeab7b59477c1b4967"/>
                    <w:lock w:val="sdtLocked"/>
                    <w:richText/>
                  </w:sdtPr>
                  <w:sdtContent>
                    <w:p>
                      <w:pPr>
                        <w:widowControl w:val="0"/>
                        <w:tabs>
                          <w:tab w:val="left" w:pos="360"/>
                        </w:tabs>
                        <w:suppressAutoHyphens/>
                        <w:ind w:firstLine="567"/>
                        <w:jc w:val="both"/>
                        <w:rPr>
                          <w:color w:val="000000"/>
                        </w:rPr>
                      </w:pPr>
                      <w:sdt>
                        <w:sdtPr>
                          <w:alias w:val="Numeris"/>
                          <w:tag w:val="nr_25af4230b42f4abeab7b59477c1b4967"/>
                          <w:lock w:val="sdtLocked"/>
                          <w:richText/>
                        </w:sdtPr>
                        <w:sdtContent>
                          <w:r>
                            <w:rPr>
                              <w:color w:val="000000"/>
                            </w:rPr>
                            <w:t>15.3</w:t>
                          </w:r>
                        </w:sdtContent>
                      </w:sdt>
                      <w:r>
                        <w:rPr>
                          <w:color w:val="000000"/>
                        </w:rPr>
                        <w:t>.</w:t>
                        <w:tab/>
                        <w:t>valdžios sektoriui priskiriamų įmonių rezultatas, kuris rodomas tik viešojo sektoriaus subjektų grupės ataskaitose;</w:t>
                      </w:r>
                    </w:p>
                  </w:sdtContent>
                </w:sdt>
                <w:sdt>
                  <w:sdtPr>
                    <w:alias w:val="15.4 pp."/>
                    <w:tag w:val="part_d69505fa9257462e95e49dc0ad7605a3"/>
                    <w:lock w:val="sdtLocked"/>
                    <w:richText/>
                  </w:sdtPr>
                  <w:sdtContent>
                    <w:p>
                      <w:pPr>
                        <w:widowControl w:val="0"/>
                        <w:tabs>
                          <w:tab w:val="left" w:pos="360"/>
                        </w:tabs>
                        <w:suppressAutoHyphens/>
                        <w:ind w:firstLine="567"/>
                        <w:jc w:val="both"/>
                        <w:rPr>
                          <w:color w:val="000000"/>
                        </w:rPr>
                      </w:pPr>
                      <w:sdt>
                        <w:sdtPr>
                          <w:alias w:val="Numeris"/>
                          <w:tag w:val="nr_d69505fa9257462e95e49dc0ad7605a3"/>
                          <w:lock w:val="sdtLocked"/>
                          <w:richText/>
                        </w:sdtPr>
                        <w:sdtContent>
                          <w:r>
                            <w:rPr>
                              <w:color w:val="000000"/>
                            </w:rPr>
                            <w:t>15.4</w:t>
                          </w:r>
                        </w:sdtContent>
                      </w:sdt>
                      <w:r>
                        <w:rPr>
                          <w:color w:val="000000"/>
                        </w:rPr>
                        <w:t>.</w:t>
                        <w:tab/>
                        <w:t xml:space="preserve">nuosavybės metodo įtaka; </w:t>
                      </w:r>
                    </w:p>
                  </w:sdtContent>
                </w:sdt>
                <w:sdt>
                  <w:sdtPr>
                    <w:alias w:val="15.5 pp."/>
                    <w:tag w:val="part_d6a102e73a6e4b0cbb2b9ddd0edb3eab"/>
                    <w:lock w:val="sdtLocked"/>
                    <w:richText/>
                  </w:sdtPr>
                  <w:sdtContent>
                    <w:p>
                      <w:pPr>
                        <w:widowControl w:val="0"/>
                        <w:tabs>
                          <w:tab w:val="left" w:pos="360"/>
                        </w:tabs>
                        <w:suppressAutoHyphens/>
                        <w:ind w:firstLine="567"/>
                        <w:jc w:val="both"/>
                        <w:rPr>
                          <w:color w:val="000000"/>
                        </w:rPr>
                      </w:pPr>
                      <w:sdt>
                        <w:sdtPr>
                          <w:alias w:val="Numeris"/>
                          <w:tag w:val="nr_d6a102e73a6e4b0cbb2b9ddd0edb3eab"/>
                          <w:lock w:val="sdtLocked"/>
                          <w:richText/>
                        </w:sdtPr>
                        <w:sdtContent>
                          <w:r>
                            <w:rPr>
                              <w:color w:val="000000"/>
                            </w:rPr>
                            <w:t>15.5</w:t>
                          </w:r>
                        </w:sdtContent>
                      </w:sdt>
                      <w:r>
                        <w:rPr>
                          <w:color w:val="000000"/>
                        </w:rPr>
                        <w:t>.</w:t>
                        <w:tab/>
                        <w:t>grynasis perviršis ar deficitas.</w:t>
                      </w:r>
                    </w:p>
                  </w:sdtContent>
                </w:sdt>
              </w:sdtContent>
            </w:sdt>
            <w:sdt>
              <w:sdtPr>
                <w:alias w:val="16 p."/>
                <w:tag w:val="part_5760dff3f61b4fdfb1e8a57ae5dce22d"/>
                <w:lock w:val="sdtLocked"/>
                <w:richText/>
              </w:sdtPr>
              <w:sdtContent>
                <w:p>
                  <w:pPr>
                    <w:widowControl w:val="0"/>
                    <w:tabs>
                      <w:tab w:val="left" w:pos="851"/>
                    </w:tabs>
                    <w:suppressAutoHyphens/>
                    <w:ind w:firstLine="567"/>
                    <w:jc w:val="both"/>
                    <w:rPr>
                      <w:color w:val="000000"/>
                    </w:rPr>
                  </w:pPr>
                  <w:sdt>
                    <w:sdtPr>
                      <w:alias w:val="Numeris"/>
                      <w:tag w:val="nr_5760dff3f61b4fdfb1e8a57ae5dce22d"/>
                      <w:lock w:val="sdtLocked"/>
                      <w:richText/>
                    </w:sdtPr>
                    <w:sdtContent>
                      <w:r>
                        <w:rPr>
                          <w:color w:val="000000"/>
                        </w:rPr>
                        <w:t>16</w:t>
                      </w:r>
                    </w:sdtContent>
                  </w:sdt>
                  <w:r>
                    <w:rPr>
                      <w:color w:val="000000"/>
                    </w:rPr>
                    <w:t>.</w:t>
                    <w:tab/>
                    <w:t xml:space="preserve">Straipsnyje „Perviršis ar deficitas iš vykdomos veiklos“ rodoma suma, apskaičiuojama iš straipsnio „Pajamos“ sumos atimant straipsnio „Sąnaudos“ sumą. </w:t>
                  </w:r>
                </w:p>
              </w:sdtContent>
            </w:sdt>
            <w:sdt>
              <w:sdtPr>
                <w:alias w:val="17 p."/>
                <w:tag w:val="part_cf2101e43fa54270992163fecb6accd5"/>
                <w:lock w:val="sdtLocked"/>
                <w:richText/>
              </w:sdtPr>
              <w:sdtContent>
                <w:p>
                  <w:pPr>
                    <w:widowControl w:val="0"/>
                    <w:tabs>
                      <w:tab w:val="left" w:pos="851"/>
                    </w:tabs>
                    <w:suppressAutoHyphens/>
                    <w:ind w:firstLine="567"/>
                    <w:jc w:val="both"/>
                    <w:rPr>
                      <w:color w:val="000000"/>
                    </w:rPr>
                  </w:pPr>
                  <w:sdt>
                    <w:sdtPr>
                      <w:alias w:val="Numeris"/>
                      <w:tag w:val="nr_cf2101e43fa54270992163fecb6accd5"/>
                      <w:lock w:val="sdtLocked"/>
                      <w:richText/>
                    </w:sdtPr>
                    <w:sdtContent>
                      <w:r>
                        <w:rPr>
                          <w:color w:val="000000"/>
                        </w:rPr>
                        <w:t>17</w:t>
                      </w:r>
                    </w:sdtContent>
                  </w:sdt>
                  <w:r>
                    <w:rPr>
                      <w:color w:val="000000"/>
                    </w:rPr>
                    <w:t>.</w:t>
                    <w:tab/>
                    <w:t>Straipsnyje „Apskaitos politikos keitimo ir esminių apskaitos klaidų taisymo įtaka“ rodoma visų pataisymų, susijusių su taikomos apskaitos politikos keitimu ar esminių apskaitos klaidų, padarytų ankstesniais ataskaitiniais laikotarpiais, bet nustatytų ataskaitinio laikotarpio metu, taisymais, neatsižvelgiant į jų pobūdį, suma. Apskaitos politikos keitimo ir apskaitos klaidų taisymo įtakos apskaitos ir pateikimo finansinių ataskaitų rinkinyje reikalavimai nustatyti 7-ajame viešojo sektoriaus apskaitos ir finansinės atskaitomybės standarte „Apskaitos politikos, apskaitinių įverčių keitimas ir klaidų taisymas“, patvirtintame Lietuvos Respublikos finansų ministro 2008 m. vasario 8 d. įsakymu Nr. 1K-058 „Apskaitos politikos, apskaitinių įverčių keitimas ir klaidų taisymas“.</w:t>
                  </w:r>
                </w:p>
              </w:sdtContent>
            </w:sdt>
            <w:sdt>
              <w:sdtPr>
                <w:alias w:val="18 p."/>
                <w:tag w:val="part_daea322efca84ac7a34c1ed9ac463d5d"/>
                <w:lock w:val="sdtLocked"/>
                <w:richText/>
              </w:sdtPr>
              <w:sdtContent>
                <w:p>
                  <w:pPr>
                    <w:widowControl w:val="0"/>
                    <w:tabs>
                      <w:tab w:val="left" w:pos="851"/>
                    </w:tabs>
                    <w:suppressAutoHyphens/>
                    <w:ind w:firstLine="567"/>
                    <w:jc w:val="both"/>
                    <w:rPr>
                      <w:color w:val="000000"/>
                    </w:rPr>
                  </w:pPr>
                  <w:sdt>
                    <w:sdtPr>
                      <w:alias w:val="Numeris"/>
                      <w:tag w:val="nr_daea322efca84ac7a34c1ed9ac463d5d"/>
                      <w:lock w:val="sdtLocked"/>
                      <w:richText/>
                    </w:sdtPr>
                    <w:sdtContent>
                      <w:r>
                        <w:rPr>
                          <w:color w:val="000000"/>
                        </w:rPr>
                        <w:t>18</w:t>
                      </w:r>
                    </w:sdtContent>
                  </w:sdt>
                  <w:r>
                    <w:rPr>
                      <w:color w:val="000000"/>
                    </w:rPr>
                    <w:t>.</w:t>
                    <w:tab/>
                    <w:t>Viešojo sektoriaus subjektai, kurių teisinė forma yra viešoji įstaiga, gali turėti pelno mokesčiu apmokestinamą rezultatą. Tokių viešojo sektoriaus subjektų, viešojo sektoriaus subjektų grupių, išskyrus valstybę, veiklos ataskaitos straipsnyje „Pelno mokestis“ rodomas viešojo sektoriaus subjektų arba grupėje esančių viešojo sektoriaus subjektų, kurie teisės aktų nustatyta tvarka turi mokėti pelno mokestį, už ataskaitinį laikotarpį apskaičiuota pelno mokesčio suma.</w:t>
                  </w:r>
                </w:p>
              </w:sdtContent>
            </w:sdt>
            <w:sdt>
              <w:sdtPr>
                <w:alias w:val="19 p."/>
                <w:tag w:val="part_83ea9314e5c44a8d854ae3c0c524521b"/>
                <w:lock w:val="sdtLocked"/>
                <w:richText/>
              </w:sdtPr>
              <w:sdtContent>
                <w:p>
                  <w:pPr>
                    <w:widowControl w:val="0"/>
                    <w:tabs>
                      <w:tab w:val="left" w:pos="851"/>
                    </w:tabs>
                    <w:suppressAutoHyphens/>
                    <w:ind w:firstLine="567"/>
                    <w:jc w:val="both"/>
                    <w:rPr>
                      <w:color w:val="000000"/>
                    </w:rPr>
                  </w:pPr>
                  <w:sdt>
                    <w:sdtPr>
                      <w:alias w:val="Numeris"/>
                      <w:tag w:val="nr_83ea9314e5c44a8d854ae3c0c524521b"/>
                      <w:lock w:val="sdtLocked"/>
                      <w:richText/>
                    </w:sdtPr>
                    <w:sdtContent>
                      <w:r>
                        <w:rPr>
                          <w:color w:val="000000"/>
                        </w:rPr>
                        <w:t>19</w:t>
                      </w:r>
                    </w:sdtContent>
                  </w:sdt>
                  <w:r>
                    <w:rPr>
                      <w:color w:val="000000"/>
                    </w:rPr>
                    <w:t>.</w:t>
                    <w:tab/>
                    <w:t>Standarto 2–5 prieduose nustatytos formos ataskaitos straipsnyje „Valdžios sektoriui priskiriamų įmonių rezultatas“ rodoma į ataskaitas įtrauktų valdžios sektoriui priskiriamų įmonių:</w:t>
                  </w:r>
                </w:p>
                <w:sdt>
                  <w:sdtPr>
                    <w:alias w:val="19.1 pp."/>
                    <w:tag w:val="part_7d8a0d5aea684309aed4d4a4234ab94c"/>
                    <w:lock w:val="sdtLocked"/>
                    <w:richText/>
                  </w:sdtPr>
                  <w:sdtContent>
                    <w:p>
                      <w:pPr>
                        <w:widowControl w:val="0"/>
                        <w:tabs>
                          <w:tab w:val="left" w:pos="851"/>
                        </w:tabs>
                        <w:suppressAutoHyphens/>
                        <w:ind w:firstLine="567"/>
                        <w:jc w:val="both"/>
                        <w:rPr>
                          <w:color w:val="000000"/>
                        </w:rPr>
                      </w:pPr>
                      <w:sdt>
                        <w:sdtPr>
                          <w:alias w:val="Numeris"/>
                          <w:tag w:val="nr_7d8a0d5aea684309aed4d4a4234ab94c"/>
                          <w:lock w:val="sdtLocked"/>
                          <w:richText/>
                        </w:sdtPr>
                        <w:sdtContent>
                          <w:r>
                            <w:rPr>
                              <w:color w:val="000000"/>
                            </w:rPr>
                            <w:t>19.1</w:t>
                          </w:r>
                        </w:sdtContent>
                      </w:sdt>
                      <w:r>
                        <w:rPr>
                          <w:color w:val="000000"/>
                        </w:rPr>
                        <w:t>.</w:t>
                        <w:tab/>
                        <w:t>pajamos;</w:t>
                      </w:r>
                    </w:p>
                  </w:sdtContent>
                </w:sdt>
                <w:sdt>
                  <w:sdtPr>
                    <w:alias w:val="19.2 pp."/>
                    <w:tag w:val="part_045b52add69642c3be7ecb8c3c3a3533"/>
                    <w:lock w:val="sdtLocked"/>
                    <w:richText/>
                  </w:sdtPr>
                  <w:sdtContent>
                    <w:p>
                      <w:pPr>
                        <w:widowControl w:val="0"/>
                        <w:tabs>
                          <w:tab w:val="left" w:pos="851"/>
                        </w:tabs>
                        <w:suppressAutoHyphens/>
                        <w:ind w:firstLine="567"/>
                        <w:jc w:val="both"/>
                        <w:rPr>
                          <w:color w:val="000000"/>
                        </w:rPr>
                      </w:pPr>
                      <w:sdt>
                        <w:sdtPr>
                          <w:alias w:val="Numeris"/>
                          <w:tag w:val="nr_045b52add69642c3be7ecb8c3c3a3533"/>
                          <w:lock w:val="sdtLocked"/>
                          <w:richText/>
                        </w:sdtPr>
                        <w:sdtContent>
                          <w:r>
                            <w:rPr>
                              <w:color w:val="000000"/>
                            </w:rPr>
                            <w:t>19.2</w:t>
                          </w:r>
                        </w:sdtContent>
                      </w:sdt>
                      <w:r>
                        <w:rPr>
                          <w:color w:val="000000"/>
                        </w:rPr>
                        <w:t>.</w:t>
                        <w:tab/>
                        <w:t>sąnaudos.</w:t>
                      </w:r>
                    </w:p>
                  </w:sdtContent>
                </w:sdt>
              </w:sdtContent>
            </w:sdt>
            <w:sdt>
              <w:sdtPr>
                <w:alias w:val="20 p."/>
                <w:tag w:val="part_e94479dcc58d444190dbe6379175eb2c"/>
                <w:lock w:val="sdtLocked"/>
                <w:richText/>
              </w:sdtPr>
              <w:sdtContent>
                <w:p>
                  <w:pPr>
                    <w:widowControl w:val="0"/>
                    <w:tabs>
                      <w:tab w:val="left" w:pos="851"/>
                    </w:tabs>
                    <w:suppressAutoHyphens/>
                    <w:ind w:firstLine="567"/>
                    <w:jc w:val="both"/>
                    <w:rPr>
                      <w:color w:val="000000"/>
                    </w:rPr>
                  </w:pPr>
                  <w:sdt>
                    <w:sdtPr>
                      <w:alias w:val="Numeris"/>
                      <w:tag w:val="nr_e94479dcc58d444190dbe6379175eb2c"/>
                      <w:lock w:val="sdtLocked"/>
                      <w:richText/>
                    </w:sdtPr>
                    <w:sdtContent>
                      <w:r>
                        <w:rPr>
                          <w:color w:val="000000"/>
                        </w:rPr>
                        <w:t>20</w:t>
                      </w:r>
                    </w:sdtContent>
                  </w:sdt>
                  <w:r>
                    <w:rPr>
                      <w:color w:val="000000"/>
                    </w:rPr>
                    <w:t>.</w:t>
                    <w:tab/>
                  </w:r>
                  <w:r>
                    <w:t>Standarto 1 priede nustatytos formos ataskaitos straipsnyje „Nuosavybės metodo įtaka“ rodoma viešojo sektoriaus subjektui tenkanti kontroliuojamųjų arba asocijuotųjų subjektų nuosavo kapitalo dalis, o Standarto 2–5 prieduose nustatytų formų ataskaitose – viešojo sektoriaus subjektų grupei tenkanti kontroliuojamųjų arba asocijuotųjų valdžios sektoriui nepriskiriamų akcinių bendrovių, viešųjų įstaigų, labdaros ir paramos fondų nuosavo kapitalo dalis</w:t>
                  </w:r>
                  <w:r>
                    <w:rPr>
                      <w:color w:val="000000"/>
                    </w:rPr>
                    <w:t>.</w:t>
                  </w:r>
                </w:p>
              </w:sdtContent>
            </w:sdt>
            <w:sdt>
              <w:sdtPr>
                <w:alias w:val="21 p."/>
                <w:tag w:val="part_bd21733ff70b42b0bc7571b09a0c8f9b"/>
                <w:lock w:val="sdtLocked"/>
                <w:richText/>
              </w:sdtPr>
              <w:sdtContent>
                <w:p>
                  <w:pPr>
                    <w:widowControl w:val="0"/>
                    <w:tabs>
                      <w:tab w:val="left" w:pos="851"/>
                    </w:tabs>
                    <w:suppressAutoHyphens/>
                    <w:ind w:firstLine="567"/>
                    <w:jc w:val="both"/>
                    <w:rPr>
                      <w:color w:val="000000"/>
                    </w:rPr>
                  </w:pPr>
                  <w:sdt>
                    <w:sdtPr>
                      <w:alias w:val="Numeris"/>
                      <w:tag w:val="nr_bd21733ff70b42b0bc7571b09a0c8f9b"/>
                      <w:lock w:val="sdtLocked"/>
                      <w:richText/>
                    </w:sdtPr>
                    <w:sdtContent>
                      <w:r>
                        <w:rPr>
                          <w:color w:val="000000"/>
                        </w:rPr>
                        <w:t>21</w:t>
                      </w:r>
                    </w:sdtContent>
                  </w:sdt>
                  <w:r>
                    <w:rPr>
                      <w:color w:val="000000"/>
                    </w:rPr>
                    <w:t>.</w:t>
                    <w:tab/>
                    <w:t>Standarto 1–5 prieduose nustatytų formų ataskaitų straipsnyje „Grynasis perviršis ar deficitas“ rodomas grynasis viešojo sektoriaus subjekto ar viešojo sektoriaus subjektų grupės veiklos rezultatas, kuris gaunamas perviršį ar deficitą iš vykdomos veiklos pakoregavus apskaitos politikos keitimo ir esminių apskaitos klaidų, valdžios sektoriui priskiriamų įmonių rezultato ir nuosavybės metodo įtakos, nurodytos straipsnyje „Nuosavybės metodo įtaka“, suma ir, jei taikoma, pelno mokesčio suma.</w:t>
                  </w:r>
                </w:p>
              </w:sdtContent>
            </w:sdt>
            <w:sdt>
              <w:sdtPr>
                <w:alias w:val="22 p."/>
                <w:tag w:val="part_766e64267ef8464d94eb4a8435d1c986"/>
                <w:lock w:val="sdtLocked"/>
                <w:richText/>
              </w:sdtPr>
              <w:sdtContent>
                <w:p>
                  <w:pPr>
                    <w:widowControl w:val="0"/>
                    <w:tabs>
                      <w:tab w:val="left" w:pos="851"/>
                    </w:tabs>
                    <w:suppressAutoHyphens/>
                    <w:ind w:firstLine="567"/>
                    <w:jc w:val="both"/>
                    <w:rPr>
                      <w:color w:val="000000"/>
                    </w:rPr>
                  </w:pPr>
                  <w:sdt>
                    <w:sdtPr>
                      <w:alias w:val="Numeris"/>
                      <w:tag w:val="nr_766e64267ef8464d94eb4a8435d1c986"/>
                      <w:lock w:val="sdtLocked"/>
                      <w:richText/>
                    </w:sdtPr>
                    <w:sdtContent>
                      <w:r>
                        <w:rPr>
                          <w:color w:val="000000"/>
                        </w:rPr>
                        <w:t>22</w:t>
                      </w:r>
                    </w:sdtContent>
                  </w:sdt>
                  <w:r>
                    <w:rPr>
                      <w:color w:val="000000"/>
                    </w:rPr>
                    <w:t>.</w:t>
                    <w:tab/>
                    <w:t>Standarto 2–4 prieduose nustatytų formų ataskaitose grynasis perviršis ar deficitas detalizuojamas taip:</w:t>
                  </w:r>
                </w:p>
                <w:sdt>
                  <w:sdtPr>
                    <w:alias w:val="22.1 pp."/>
                    <w:tag w:val="part_206d351d544347f785ce4d648a8cb673"/>
                    <w:lock w:val="sdtLocked"/>
                    <w:richText/>
                  </w:sdtPr>
                  <w:sdtContent>
                    <w:p>
                      <w:pPr>
                        <w:widowControl w:val="0"/>
                        <w:tabs>
                          <w:tab w:val="left" w:pos="851"/>
                        </w:tabs>
                        <w:suppressAutoHyphens/>
                        <w:ind w:firstLine="568"/>
                        <w:jc w:val="both"/>
                        <w:rPr>
                          <w:color w:val="000000"/>
                        </w:rPr>
                      </w:pPr>
                      <w:sdt>
                        <w:sdtPr>
                          <w:alias w:val="Numeris"/>
                          <w:tag w:val="nr_206d351d544347f785ce4d648a8cb673"/>
                          <w:lock w:val="sdtLocked"/>
                          <w:richText/>
                        </w:sdtPr>
                        <w:sdtContent>
                          <w:r>
                            <w:rPr>
                              <w:color w:val="000000"/>
                            </w:rPr>
                            <w:t>22.1</w:t>
                          </w:r>
                        </w:sdtContent>
                      </w:sdt>
                      <w:r>
                        <w:rPr>
                          <w:color w:val="000000"/>
                        </w:rPr>
                        <w:t>.</w:t>
                        <w:tab/>
                        <w:t>straipsnyje „Tenkantis kontroliuojančiajam subjektui“ rodoma ataskaitinio laikotarpio grynojo perviršio ar deficito, tenkančio kontroliuojančiojo viešojo sektoriaus subjekto grupės subjektams, dalis;</w:t>
                      </w:r>
                    </w:p>
                  </w:sdtContent>
                </w:sdt>
                <w:sdt>
                  <w:sdtPr>
                    <w:alias w:val="22.2 pp."/>
                    <w:tag w:val="part_ad1c635da21e4dd68a52a98528ac64c6"/>
                    <w:lock w:val="sdtLocked"/>
                    <w:richText/>
                  </w:sdtPr>
                  <w:sdtContent>
                    <w:p>
                      <w:pPr>
                        <w:widowControl w:val="0"/>
                        <w:tabs>
                          <w:tab w:val="left" w:pos="851"/>
                        </w:tabs>
                        <w:suppressAutoHyphens/>
                        <w:ind w:firstLine="568"/>
                        <w:jc w:val="both"/>
                        <w:rPr>
                          <w:color w:val="000000"/>
                        </w:rPr>
                      </w:pPr>
                      <w:sdt>
                        <w:sdtPr>
                          <w:alias w:val="Numeris"/>
                          <w:tag w:val="nr_ad1c635da21e4dd68a52a98528ac64c6"/>
                          <w:lock w:val="sdtLocked"/>
                          <w:richText/>
                        </w:sdtPr>
                        <w:sdtContent>
                          <w:r>
                            <w:rPr>
                              <w:color w:val="000000"/>
                            </w:rPr>
                            <w:t>22.2</w:t>
                          </w:r>
                        </w:sdtContent>
                      </w:sdt>
                      <w:r>
                        <w:rPr>
                          <w:color w:val="000000"/>
                        </w:rPr>
                        <w:t>.</w:t>
                        <w:tab/>
                        <w:t xml:space="preserve">straipsnyje „Tenkantis mažumos daliai“ rodoma ataskaitinių metų grynojo perviršio ar deficito dalis, tenkanti dalininkams, kurie nėra kontroliuojančiojo viešojo sektoriaus subjekto grupės subjektai, kaip nustatyta 15-ajame </w:t>
                      </w:r>
                      <w:r>
                        <w:t>viešojo sektoriaus apskaitos ir finansinės atskaitomybės standarte „Konsoliduotųjų finansinių ataskaitų rinkinys ir investicijos į kontroliuojamus subjektus“, patvirtintame Lietuvos Respublikos finansų ministro 2008 m. gruodžio 9 d. įsakymu Nr. 1K-433 „Dėl viešojo sektoriaus apskaitos ir finansinės atskaitomybės 15-ojo standarto patvirtinimo“</w:t>
                      </w:r>
                      <w:r>
                        <w:rPr>
                          <w:color w:val="000000"/>
                        </w:rPr>
                        <w:t>.</w:t>
                      </w:r>
                    </w:p>
                    <w:p>
                      <w:pPr>
                        <w:widowControl w:val="0"/>
                        <w:suppressAutoHyphens/>
                        <w:ind w:firstLine="567"/>
                        <w:jc w:val="both"/>
                        <w:rPr>
                          <w:color w:val="000000"/>
                        </w:rPr>
                      </w:pPr>
                    </w:p>
                  </w:sdtContent>
                </w:sdt>
              </w:sdtContent>
            </w:sdt>
          </w:sdtContent>
        </w:sdt>
        <w:sdt>
          <w:sdtPr>
            <w:alias w:val="skyrius"/>
            <w:tag w:val="part_cfa5bb918c6a481dbdfecea27b4a9144"/>
            <w:lock w:val="sdtLocked"/>
            <w:richText/>
          </w:sdtPr>
          <w:sdtContent>
            <w:p>
              <w:pPr>
                <w:widowControl w:val="0"/>
                <w:suppressAutoHyphens/>
                <w:jc w:val="center"/>
                <w:rPr>
                  <w:b/>
                  <w:bCs/>
                  <w:caps/>
                  <w:color w:val="000000"/>
                </w:rPr>
              </w:pPr>
              <w:sdt>
                <w:sdtPr>
                  <w:alias w:val="Numeris"/>
                  <w:tag w:val="nr_cfa5bb918c6a481dbdfecea27b4a9144"/>
                  <w:lock w:val="sdtLocked"/>
                  <w:richText/>
                </w:sdtPr>
                <w:sdtContent>
                  <w:r>
                    <w:rPr>
                      <w:b/>
                      <w:bCs/>
                      <w:caps/>
                      <w:color w:val="000000"/>
                    </w:rPr>
                    <w:t>VI</w:t>
                  </w:r>
                </w:sdtContent>
              </w:sdt>
              <w:r>
                <w:rPr>
                  <w:b/>
                  <w:bCs/>
                  <w:caps/>
                  <w:color w:val="000000"/>
                </w:rPr>
                <w:t xml:space="preserve"> SKYRIUS</w:t>
              </w:r>
            </w:p>
            <w:p>
              <w:pPr>
                <w:widowControl w:val="0"/>
                <w:suppressAutoHyphens/>
                <w:jc w:val="center"/>
                <w:rPr>
                  <w:b/>
                  <w:bCs/>
                  <w:caps/>
                  <w:color w:val="000000"/>
                </w:rPr>
              </w:pPr>
              <w:sdt>
                <w:sdtPr>
                  <w:alias w:val="Pavadinimas"/>
                  <w:tag w:val="title_cfa5bb918c6a481dbdfecea27b4a9144"/>
                  <w:lock w:val="sdtLocked"/>
                  <w:richText/>
                </w:sdtPr>
                <w:sdtContent>
                  <w:r>
                    <w:rPr>
                      <w:b/>
                      <w:bCs/>
                      <w:caps/>
                      <w:color w:val="000000"/>
                    </w:rPr>
                    <w:t>INFORMACIJOS PATEIKIMAS FINANSINIŲ ATASKAITŲ AIŠKINAMAJAME RAŠTE</w:t>
                  </w:r>
                </w:sdtContent>
              </w:sdt>
            </w:p>
            <w:p>
              <w:pPr>
                <w:widowControl w:val="0"/>
                <w:suppressAutoHyphens/>
                <w:ind w:firstLine="567"/>
                <w:jc w:val="both"/>
                <w:rPr>
                  <w:color w:val="000000"/>
                </w:rPr>
              </w:pPr>
            </w:p>
            <w:sdt>
              <w:sdtPr>
                <w:alias w:val="23 p."/>
                <w:tag w:val="part_37940289276e4dbe9c36fc7907a1ab58"/>
                <w:lock w:val="sdtLocked"/>
                <w:richText/>
              </w:sdtPr>
              <w:sdtContent>
                <w:p>
                  <w:pPr>
                    <w:widowControl w:val="0"/>
                    <w:tabs>
                      <w:tab w:val="left" w:pos="851"/>
                    </w:tabs>
                    <w:suppressAutoHyphens/>
                    <w:ind w:firstLine="567"/>
                    <w:jc w:val="both"/>
                    <w:rPr>
                      <w:color w:val="000000"/>
                    </w:rPr>
                  </w:pPr>
                  <w:sdt>
                    <w:sdtPr>
                      <w:alias w:val="Numeris"/>
                      <w:tag w:val="nr_37940289276e4dbe9c36fc7907a1ab58"/>
                      <w:lock w:val="sdtLocked"/>
                      <w:richText/>
                    </w:sdtPr>
                    <w:sdtContent>
                      <w:r>
                        <w:rPr>
                          <w:color w:val="000000"/>
                        </w:rPr>
                        <w:t>23</w:t>
                      </w:r>
                    </w:sdtContent>
                  </w:sdt>
                  <w:r>
                    <w:rPr>
                      <w:color w:val="000000"/>
                    </w:rPr>
                    <w:t>.</w:t>
                    <w:tab/>
                  </w:r>
                  <w:r>
                    <w:rPr>
                      <w:szCs w:val="24"/>
                      <w:lang w:eastAsia="lt-LT"/>
                    </w:rPr>
                    <w:t xml:space="preserve">Ataskaitos stulpelyje „Pastabos Nr.“ prie kiekvieno straipsnio turi būti nurodytas finansinių ataskaitų aiškinamojo rašto (toliau – aiškinamasis raštas) pastabos, kurioje pateikta papildoma detalizuojanti informacija apie ataskaitos straipsnyje nurodytą finansinių ataskaitų elementą, numeris. Informacijai, kuri turi būti pateikiama aiškinamajame rašte, taikomi reikalavimai nurodyti 6-ajame </w:t>
                  </w:r>
                  <w:r>
                    <w:t>viešojo sektoriaus apskaitos ir finansinės atskaitomybės standarte</w:t>
                  </w:r>
                  <w:r>
                    <w:rPr>
                      <w:szCs w:val="24"/>
                      <w:lang w:eastAsia="lt-LT"/>
                    </w:rPr>
                    <w:t xml:space="preserve"> „Finansinių ataskaitų aiškinamasis raštas“, </w:t>
                  </w:r>
                  <w:r>
                    <w:t>patvirtintame Lietuvos Respublikos finansų ministro 2008 m. rugpjūčio 18 d. įsakymu Nr. 1K-247 „Dėl viešojo sektoriaus apskaitos ir finansinės atskaitomybės 6-ojo standarto patvirtinimo“,</w:t>
                  </w:r>
                  <w:r>
                    <w:rPr>
                      <w:szCs w:val="24"/>
                      <w:lang w:eastAsia="lt-LT"/>
                    </w:rPr>
                    <w:t xml:space="preserve"> (toliau – 6-asis VSAFAS „Finansinių ataskaitų aiškinamasis raštas“) ir kituose VSAFAS, reglamentuojančiuose informacijos pateikimą. </w:t>
                  </w:r>
                </w:p>
              </w:sdtContent>
            </w:sdt>
            <w:sdt>
              <w:sdtPr>
                <w:alias w:val="24 p."/>
                <w:tag w:val="part_fb39782be20e4d94a4d83889682012f5"/>
                <w:lock w:val="sdtLocked"/>
                <w:richText/>
              </w:sdtPr>
              <w:sdtContent>
                <w:p>
                  <w:pPr>
                    <w:widowControl w:val="0"/>
                    <w:tabs>
                      <w:tab w:val="left" w:pos="851"/>
                    </w:tabs>
                    <w:suppressAutoHyphens/>
                    <w:ind w:firstLine="567"/>
                    <w:jc w:val="both"/>
                    <w:rPr>
                      <w:color w:val="000000"/>
                    </w:rPr>
                  </w:pPr>
                  <w:sdt>
                    <w:sdtPr>
                      <w:alias w:val="Numeris"/>
                      <w:tag w:val="nr_fb39782be20e4d94a4d83889682012f5"/>
                      <w:lock w:val="sdtLocked"/>
                      <w:richText/>
                    </w:sdtPr>
                    <w:sdtContent>
                      <w:r>
                        <w:rPr>
                          <w:color w:val="000000"/>
                        </w:rPr>
                        <w:t>24</w:t>
                      </w:r>
                    </w:sdtContent>
                  </w:sdt>
                  <w:r>
                    <w:rPr>
                      <w:color w:val="000000"/>
                    </w:rPr>
                    <w:t>.</w:t>
                    <w:tab/>
                    <w:t>Jeigu 6-ajame VSAFAS „Finansinių ataskaitų aiškinamasis raštas“ nėra reikalavimų pateikti informaciją apie kai kuriuos ataskaitos straipsnius, papildoma informacija aiškinamajame rašte pateikiama, jei ji yra reikšminga, atsižvelgiant į reikšmingumo paaiškinimą 1-ajame VSAFAS „Informacijos pateikimas finansinių ataskaitų rinkinyje“.</w:t>
                  </w:r>
                </w:p>
                <w:p>
                  <w:pPr>
                    <w:widowControl w:val="0"/>
                    <w:suppressAutoHyphens/>
                    <w:ind w:firstLine="567"/>
                    <w:jc w:val="both"/>
                    <w:rPr>
                      <w:color w:val="000000"/>
                    </w:rPr>
                  </w:pPr>
                </w:p>
                <w:p>
                  <w:pPr>
                    <w:jc w:val="center"/>
                    <w:rPr>
                      <w:szCs w:val="24"/>
                      <w:lang w:eastAsia="lt-LT"/>
                    </w:rPr>
                  </w:pPr>
                  <w:r>
                    <w:rPr>
                      <w:szCs w:val="24"/>
                      <w:lang w:eastAsia="lt-LT"/>
                    </w:rPr>
                    <w:t>______________________________________</w:t>
                  </w:r>
                </w:p>
                <w:p>
                  <w:pPr>
                    <w:widowControl w:val="0"/>
                    <w:suppressAutoHyphens/>
                    <w:ind w:firstLine="567"/>
                    <w:jc w:val="both"/>
                    <w:rPr>
                      <w:color w:val="000000"/>
                    </w:rPr>
                  </w:pPr>
                </w:p>
                <w:p>
                  <w:pPr>
                    <w:spacing w:line="276" w:lineRule="auto"/>
                  </w:pPr>
                  <w:r>
                    <w:br w:type="page"/>
                  </w:r>
                </w:p>
                <w:p>
                  <w:pPr>
                    <w:rPr>
                      <w:sz w:val="18"/>
                      <w:szCs w:val="18"/>
                    </w:rPr>
                  </w:pPr>
                </w:p>
              </w:sdtContent>
            </w:sdt>
          </w:sdtContent>
        </w:sdt>
      </w:sdtContent>
    </w:sdt>
    <w:sdt>
      <w:sdtPr>
        <w:alias w:val="1 pr."/>
        <w:tag w:val="part_767d85feddec41ee9264e1fe578abf3b"/>
        <w:lock w:val="sdtLocked"/>
        <w:richText/>
      </w:sdtPr>
      <w:sdtContent>
        <w:p>
          <w:pPr>
            <w:ind w:left="4535"/>
            <w:rPr>
              <w:lang w:eastAsia="lt-LT"/>
            </w:rPr>
          </w:pPr>
          <w:r>
            <w:rPr>
              <w:lang w:eastAsia="lt-LT"/>
            </w:rPr>
            <w:t xml:space="preserve">3-iojo </w:t>
          </w:r>
          <w:r>
            <w:rPr>
              <w:szCs w:val="24"/>
            </w:rPr>
            <w:t xml:space="preserve">viešojo sektoriaus apskaitos ir finansinės atskaitomybės standarto </w:t>
          </w:r>
          <w:r>
            <w:rPr>
              <w:lang w:eastAsia="lt-LT"/>
            </w:rPr>
            <w:t xml:space="preserve">„Veiklos rezultatų ataskaita“ </w:t>
          </w:r>
        </w:p>
        <w:p>
          <w:pPr>
            <w:tabs>
              <w:tab w:val="left" w:pos="933"/>
              <w:tab w:val="left" w:pos="4149"/>
              <w:tab w:val="left" w:pos="6103"/>
              <w:tab w:val="left" w:pos="7365"/>
              <w:tab w:val="left" w:pos="8901"/>
              <w:tab w:val="left" w:pos="10344"/>
            </w:tabs>
            <w:ind w:left="4535"/>
            <w:rPr>
              <w:szCs w:val="24"/>
              <w:lang w:eastAsia="lt-LT"/>
            </w:rPr>
          </w:pPr>
          <w:sdt>
            <w:sdtPr>
              <w:alias w:val="Numeris"/>
              <w:tag w:val="nr_767d85feddec41ee9264e1fe578abf3b"/>
              <w:lock w:val="sdtLocked"/>
              <w:richText/>
            </w:sdtPr>
            <w:sdtContent>
              <w:r>
                <w:rPr>
                  <w:szCs w:val="24"/>
                  <w:lang w:eastAsia="lt-LT"/>
                </w:rPr>
                <w:t>1</w:t>
              </w:r>
            </w:sdtContent>
          </w:sdt>
          <w:r>
            <w:rPr>
              <w:szCs w:val="24"/>
              <w:lang w:eastAsia="lt-LT"/>
            </w:rPr>
            <w:t xml:space="preserve"> priedas</w:t>
          </w:r>
        </w:p>
        <w:p>
          <w:pPr>
            <w:tabs>
              <w:tab w:val="left" w:pos="933"/>
              <w:tab w:val="left" w:pos="4149"/>
              <w:tab w:val="left" w:pos="6103"/>
              <w:tab w:val="left" w:pos="7365"/>
              <w:tab w:val="left" w:pos="8901"/>
              <w:tab w:val="left" w:pos="10344"/>
            </w:tabs>
            <w:jc w:val="center"/>
            <w:rPr>
              <w:szCs w:val="24"/>
              <w:lang w:eastAsia="lt-LT"/>
            </w:rPr>
          </w:pPr>
        </w:p>
        <w:p>
          <w:pPr>
            <w:jc w:val="center"/>
            <w:rPr>
              <w:b/>
              <w:bCs/>
              <w:color w:val="000000"/>
              <w:szCs w:val="24"/>
              <w:lang w:eastAsia="lt-LT"/>
            </w:rPr>
          </w:pPr>
          <w:sdt>
            <w:sdtPr>
              <w:alias w:val="Pavadinimas"/>
              <w:tag w:val="title_767d85feddec41ee9264e1fe578abf3b"/>
              <w:lock w:val="sdtLocked"/>
              <w:richText/>
            </w:sdtPr>
            <w:sdtContent>
              <w:r>
                <w:rPr>
                  <w:b/>
                  <w:bCs/>
                  <w:szCs w:val="24"/>
                  <w:lang w:eastAsia="lt-LT"/>
                </w:rPr>
                <w:t xml:space="preserve">(Veiklos rezultatų ataskaitos forma) </w:t>
              </w:r>
            </w:sdtContent>
          </w:sdt>
        </w:p>
        <w:p>
          <w:pPr>
            <w:jc w:val="center"/>
            <w:rPr>
              <w:szCs w:val="24"/>
              <w:lang w:eastAsia="lt-LT"/>
            </w:rPr>
          </w:pPr>
        </w:p>
        <w:p>
          <w:pPr>
            <w:tabs>
              <w:tab w:val="left" w:leader="underscore" w:pos="8901"/>
            </w:tabs>
            <w:jc w:val="center"/>
            <w:rPr>
              <w:szCs w:val="24"/>
              <w:lang w:eastAsia="lt-LT"/>
            </w:rPr>
          </w:pPr>
          <w:r>
            <w:rPr>
              <w:szCs w:val="24"/>
              <w:lang w:eastAsia="lt-LT"/>
            </w:rPr>
            <w:tab/>
            <w:tab/>
          </w:r>
        </w:p>
        <w:p>
          <w:pPr>
            <w:jc w:val="center"/>
            <w:rPr>
              <w:szCs w:val="24"/>
              <w:lang w:eastAsia="lt-LT"/>
            </w:rPr>
          </w:pPr>
          <w:r>
            <w:rPr>
              <w:szCs w:val="24"/>
              <w:lang w:eastAsia="lt-LT"/>
            </w:rPr>
            <w:t>(viešojo sektoriaus subjekto pavadinimas)</w:t>
          </w:r>
        </w:p>
        <w:p>
          <w:pPr>
            <w:tabs>
              <w:tab w:val="left" w:leader="underscore" w:pos="8901"/>
            </w:tabs>
            <w:jc w:val="center"/>
            <w:rPr>
              <w:szCs w:val="24"/>
              <w:lang w:eastAsia="lt-LT"/>
            </w:rPr>
          </w:pPr>
          <w:r>
            <w:rPr>
              <w:szCs w:val="24"/>
              <w:lang w:eastAsia="lt-LT"/>
            </w:rPr>
            <w:t>_________________________________________________________________________</w:t>
          </w:r>
        </w:p>
        <w:p>
          <w:pPr>
            <w:jc w:val="center"/>
            <w:rPr>
              <w:szCs w:val="24"/>
              <w:lang w:eastAsia="lt-LT"/>
            </w:rPr>
          </w:pPr>
          <w:r>
            <w:rPr>
              <w:szCs w:val="24"/>
              <w:lang w:eastAsia="lt-LT"/>
            </w:rPr>
            <w:t>(viešojo sektoriaus subjekto, parengusio finansinės būklės ataskaitą, kodas, adresas)</w:t>
          </w:r>
        </w:p>
        <w:p>
          <w:pPr>
            <w:jc w:val="center"/>
            <w:rPr>
              <w:szCs w:val="24"/>
              <w:lang w:eastAsia="lt-LT"/>
            </w:rPr>
          </w:pPr>
        </w:p>
        <w:sdt>
          <w:sdtPr>
            <w:alias w:val="skirsnis"/>
            <w:tag w:val="part_20f2a2075534487c85f1e4b1a9529160"/>
            <w:lock w:val="sdtLocked"/>
            <w:richText/>
          </w:sdtPr>
          <w:sdtContent>
            <w:sdt>
              <w:sdtPr>
                <w:alias w:val="Pavadinimas"/>
                <w:tag w:val="title_20f2a2075534487c85f1e4b1a9529160"/>
                <w:lock w:val="sdtLocked"/>
                <w:richText/>
              </w:sdtPr>
              <w:sdtContent>
                <w:p>
                  <w:pPr>
                    <w:jc w:val="center"/>
                    <w:rPr>
                      <w:b/>
                      <w:bCs/>
                      <w:szCs w:val="24"/>
                      <w:lang w:eastAsia="lt-LT"/>
                    </w:rPr>
                  </w:pPr>
                  <w:r>
                    <w:rPr>
                      <w:b/>
                      <w:bCs/>
                      <w:szCs w:val="24"/>
                      <w:lang w:eastAsia="lt-LT"/>
                    </w:rPr>
                    <w:t>VEIKLOS REZULTATŲ ATASKAITA</w:t>
                  </w:r>
                </w:p>
                <w:p>
                  <w:pPr>
                    <w:jc w:val="center"/>
                    <w:rPr>
                      <w:b/>
                      <w:bCs/>
                      <w:szCs w:val="24"/>
                      <w:lang w:eastAsia="lt-LT"/>
                    </w:rPr>
                  </w:pPr>
                  <w:r>
                    <w:rPr>
                      <w:b/>
                      <w:bCs/>
                      <w:szCs w:val="24"/>
                      <w:lang w:eastAsia="lt-LT"/>
                    </w:rPr>
                    <w:t>PAGAL 20___M._________D. DUOMENIS</w:t>
                  </w:r>
                </w:p>
              </w:sdtContent>
            </w:sdt>
            <w:p>
              <w:pPr>
                <w:tabs>
                  <w:tab w:val="left" w:pos="933"/>
                  <w:tab w:val="left" w:pos="4149"/>
                  <w:tab w:val="left" w:pos="6103"/>
                  <w:tab w:val="left" w:pos="7365"/>
                  <w:tab w:val="left" w:pos="8901"/>
                  <w:tab w:val="left" w:pos="10344"/>
                </w:tabs>
                <w:jc w:val="center"/>
                <w:rPr>
                  <w:szCs w:val="24"/>
                  <w:lang w:eastAsia="lt-LT"/>
                </w:rPr>
              </w:pPr>
            </w:p>
            <w:p>
              <w:pPr>
                <w:jc w:val="center"/>
                <w:rPr>
                  <w:szCs w:val="24"/>
                  <w:lang w:eastAsia="lt-LT"/>
                </w:rPr>
              </w:pPr>
              <w:r>
                <w:rPr>
                  <w:szCs w:val="24"/>
                  <w:lang w:eastAsia="lt-LT"/>
                </w:rPr>
                <w:t>_________________________Nr._____</w:t>
              </w:r>
            </w:p>
            <w:p>
              <w:pPr>
                <w:jc w:val="center"/>
                <w:rPr>
                  <w:szCs w:val="24"/>
                  <w:lang w:eastAsia="lt-LT"/>
                </w:rPr>
              </w:pPr>
              <w:r>
                <w:rPr>
                  <w:szCs w:val="24"/>
                  <w:lang w:eastAsia="lt-LT"/>
                </w:rPr>
                <w:t>(data)</w:t>
              </w:r>
            </w:p>
            <w:p>
              <w:pPr>
                <w:jc w:val="center"/>
                <w:rPr>
                  <w:szCs w:val="24"/>
                  <w:lang w:eastAsia="lt-LT"/>
                </w:rPr>
              </w:pPr>
            </w:p>
            <w:p>
              <w:pPr>
                <w:jc w:val="right"/>
                <w:rPr>
                  <w:i/>
                  <w:iCs/>
                  <w:szCs w:val="24"/>
                  <w:lang w:eastAsia="lt-LT"/>
                </w:rPr>
              </w:pPr>
              <w:r>
                <w:rPr>
                  <w:i/>
                  <w:iCs/>
                  <w:szCs w:val="24"/>
                  <w:lang w:eastAsia="lt-LT"/>
                </w:rPr>
                <w:t xml:space="preserve">Pateikimo valiuta ir tikslumas: eurais </w:t>
              </w:r>
            </w:p>
            <w:tbl>
              <w:tblPr>
                <w:tblW w:w="10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4938"/>
                <w:gridCol w:w="1123"/>
                <w:gridCol w:w="1701"/>
                <w:gridCol w:w="1451"/>
              </w:tblGrid>
              <w:tr>
                <w:trPr>
                  <w:trHeight w:val="549"/>
                  <w:tblHeader/>
                </w:trPr>
                <w:tc>
                  <w:tcPr>
                    <w:tcW w:w="850" w:type="dxa"/>
                    <w:shd w:val="clear" w:color="auto" w:fill="auto"/>
                    <w:vAlign w:val="center"/>
                  </w:tcPr>
                  <w:p>
                    <w:pPr>
                      <w:jc w:val="center"/>
                      <w:rPr>
                        <w:b/>
                        <w:bCs/>
                        <w:sz w:val="20"/>
                        <w:lang w:eastAsia="lt-LT"/>
                      </w:rPr>
                    </w:pPr>
                    <w:r>
                      <w:rPr>
                        <w:b/>
                        <w:bCs/>
                        <w:sz w:val="20"/>
                        <w:lang w:eastAsia="lt-LT"/>
                      </w:rPr>
                      <w:t>Eil. Nr.</w:t>
                    </w:r>
                  </w:p>
                </w:tc>
                <w:tc>
                  <w:tcPr>
                    <w:tcW w:w="4938" w:type="dxa"/>
                    <w:shd w:val="clear" w:color="auto" w:fill="auto"/>
                    <w:vAlign w:val="center"/>
                  </w:tcPr>
                  <w:p>
                    <w:pPr>
                      <w:jc w:val="center"/>
                      <w:rPr>
                        <w:b/>
                        <w:bCs/>
                        <w:sz w:val="20"/>
                        <w:lang w:eastAsia="lt-LT"/>
                      </w:rPr>
                    </w:pPr>
                    <w:r>
                      <w:rPr>
                        <w:b/>
                        <w:bCs/>
                        <w:sz w:val="20"/>
                        <w:lang w:eastAsia="lt-LT"/>
                      </w:rPr>
                      <w:t>Straipsniai</w:t>
                    </w:r>
                  </w:p>
                </w:tc>
                <w:tc>
                  <w:tcPr>
                    <w:tcW w:w="1123" w:type="dxa"/>
                    <w:shd w:val="clear" w:color="auto" w:fill="auto"/>
                    <w:vAlign w:val="center"/>
                  </w:tcPr>
                  <w:p>
                    <w:pPr>
                      <w:jc w:val="center"/>
                      <w:rPr>
                        <w:b/>
                        <w:bCs/>
                        <w:sz w:val="20"/>
                        <w:lang w:eastAsia="lt-LT"/>
                      </w:rPr>
                    </w:pPr>
                    <w:r>
                      <w:rPr>
                        <w:b/>
                        <w:bCs/>
                        <w:sz w:val="20"/>
                        <w:lang w:eastAsia="lt-LT"/>
                      </w:rPr>
                      <w:t>Pastabos Nr.</w:t>
                    </w:r>
                  </w:p>
                </w:tc>
                <w:tc>
                  <w:tcPr>
                    <w:tcW w:w="1701" w:type="dxa"/>
                    <w:shd w:val="clear" w:color="auto" w:fill="auto"/>
                    <w:vAlign w:val="center"/>
                  </w:tcPr>
                  <w:p>
                    <w:pPr>
                      <w:jc w:val="center"/>
                      <w:rPr>
                        <w:b/>
                        <w:bCs/>
                        <w:sz w:val="20"/>
                        <w:lang w:eastAsia="lt-LT"/>
                      </w:rPr>
                    </w:pPr>
                    <w:r>
                      <w:rPr>
                        <w:b/>
                        <w:bCs/>
                        <w:sz w:val="20"/>
                        <w:lang w:eastAsia="lt-LT"/>
                      </w:rPr>
                      <w:t>Ataskaitinis laikotarpis</w:t>
                    </w:r>
                  </w:p>
                </w:tc>
                <w:tc>
                  <w:tcPr>
                    <w:tcW w:w="1451" w:type="dxa"/>
                    <w:shd w:val="clear" w:color="auto" w:fill="auto"/>
                    <w:vAlign w:val="center"/>
                  </w:tcPr>
                  <w:p>
                    <w:pPr>
                      <w:jc w:val="center"/>
                      <w:rPr>
                        <w:b/>
                        <w:bCs/>
                        <w:sz w:val="20"/>
                        <w:lang w:eastAsia="lt-LT"/>
                      </w:rPr>
                    </w:pPr>
                    <w:r>
                      <w:rPr>
                        <w:b/>
                        <w:bCs/>
                        <w:sz w:val="20"/>
                        <w:lang w:eastAsia="lt-LT"/>
                      </w:rPr>
                      <w:t>Praėjęs ataskaitinis laikotarpis</w:t>
                    </w:r>
                  </w:p>
                </w:tc>
              </w:tr>
              <w:tr>
                <w:trPr>
                  <w:trHeight w:val="130"/>
                  <w:tblHeader/>
                </w:trPr>
                <w:tc>
                  <w:tcPr>
                    <w:tcW w:w="850" w:type="dxa"/>
                    <w:shd w:val="clear" w:color="auto" w:fill="auto"/>
                    <w:vAlign w:val="center"/>
                  </w:tcPr>
                  <w:p>
                    <w:pPr>
                      <w:jc w:val="center"/>
                      <w:rPr>
                        <w:sz w:val="20"/>
                        <w:lang w:eastAsia="lt-LT"/>
                      </w:rPr>
                    </w:pPr>
                    <w:r>
                      <w:rPr>
                        <w:sz w:val="20"/>
                        <w:lang w:eastAsia="lt-LT"/>
                      </w:rPr>
                      <w:t>1</w:t>
                    </w:r>
                  </w:p>
                </w:tc>
                <w:tc>
                  <w:tcPr>
                    <w:tcW w:w="4938" w:type="dxa"/>
                    <w:shd w:val="clear" w:color="auto" w:fill="auto"/>
                    <w:vAlign w:val="center"/>
                  </w:tcPr>
                  <w:p>
                    <w:pPr>
                      <w:jc w:val="center"/>
                      <w:rPr>
                        <w:sz w:val="20"/>
                        <w:lang w:eastAsia="lt-LT"/>
                      </w:rPr>
                    </w:pPr>
                    <w:r>
                      <w:rPr>
                        <w:sz w:val="20"/>
                        <w:lang w:eastAsia="lt-LT"/>
                      </w:rPr>
                      <w:t>2</w:t>
                    </w:r>
                  </w:p>
                </w:tc>
                <w:tc>
                  <w:tcPr>
                    <w:tcW w:w="1123" w:type="dxa"/>
                    <w:shd w:val="clear" w:color="auto" w:fill="auto"/>
                    <w:vAlign w:val="center"/>
                  </w:tcPr>
                  <w:p>
                    <w:pPr>
                      <w:jc w:val="center"/>
                      <w:rPr>
                        <w:sz w:val="20"/>
                        <w:lang w:eastAsia="lt-LT"/>
                      </w:rPr>
                    </w:pPr>
                    <w:r>
                      <w:rPr>
                        <w:sz w:val="20"/>
                        <w:lang w:eastAsia="lt-LT"/>
                      </w:rPr>
                      <w:t>3</w:t>
                    </w:r>
                  </w:p>
                </w:tc>
                <w:tc>
                  <w:tcPr>
                    <w:tcW w:w="1701" w:type="dxa"/>
                    <w:shd w:val="clear" w:color="auto" w:fill="auto"/>
                    <w:vAlign w:val="center"/>
                  </w:tcPr>
                  <w:p>
                    <w:pPr>
                      <w:jc w:val="center"/>
                      <w:rPr>
                        <w:sz w:val="20"/>
                        <w:lang w:eastAsia="lt-LT"/>
                      </w:rPr>
                    </w:pPr>
                    <w:r>
                      <w:rPr>
                        <w:sz w:val="20"/>
                        <w:lang w:eastAsia="lt-LT"/>
                      </w:rPr>
                      <w:t>4</w:t>
                    </w:r>
                  </w:p>
                </w:tc>
                <w:tc>
                  <w:tcPr>
                    <w:tcW w:w="1451" w:type="dxa"/>
                    <w:shd w:val="clear" w:color="auto" w:fill="auto"/>
                    <w:vAlign w:val="center"/>
                  </w:tcPr>
                  <w:p>
                    <w:pPr>
                      <w:jc w:val="center"/>
                      <w:rPr>
                        <w:sz w:val="20"/>
                        <w:lang w:eastAsia="lt-LT"/>
                      </w:rPr>
                    </w:pPr>
                    <w:r>
                      <w:rPr>
                        <w:sz w:val="20"/>
                        <w:lang w:eastAsia="lt-LT"/>
                      </w:rPr>
                      <w:t>5</w:t>
                    </w:r>
                  </w:p>
                </w:tc>
              </w:tr>
              <w:tr>
                <w:trPr>
                  <w:trHeight w:val="315"/>
                </w:trPr>
                <w:tc>
                  <w:tcPr>
                    <w:tcW w:w="850" w:type="dxa"/>
                    <w:shd w:val="clear" w:color="auto" w:fill="auto"/>
                    <w:vAlign w:val="center"/>
                  </w:tcPr>
                  <w:p>
                    <w:pPr>
                      <w:jc w:val="center"/>
                      <w:rPr>
                        <w:b/>
                        <w:bCs/>
                        <w:sz w:val="20"/>
                        <w:lang w:eastAsia="lt-LT"/>
                      </w:rPr>
                    </w:pPr>
                    <w:r>
                      <w:rPr>
                        <w:b/>
                        <w:bCs/>
                        <w:sz w:val="20"/>
                        <w:lang w:eastAsia="lt-LT"/>
                      </w:rPr>
                      <w:t>1.</w:t>
                    </w:r>
                  </w:p>
                </w:tc>
                <w:tc>
                  <w:tcPr>
                    <w:tcW w:w="4938" w:type="dxa"/>
                    <w:shd w:val="clear" w:color="auto" w:fill="auto"/>
                    <w:vAlign w:val="center"/>
                  </w:tcPr>
                  <w:p>
                    <w:pPr>
                      <w:rPr>
                        <w:b/>
                        <w:bCs/>
                        <w:sz w:val="20"/>
                        <w:lang w:eastAsia="lt-LT"/>
                      </w:rPr>
                    </w:pPr>
                    <w:r>
                      <w:rPr>
                        <w:b/>
                        <w:bCs/>
                        <w:sz w:val="20"/>
                        <w:lang w:eastAsia="lt-LT"/>
                      </w:rPr>
                      <w:t>PAJAMOS</w:t>
                    </w:r>
                  </w:p>
                </w:tc>
                <w:tc>
                  <w:tcPr>
                    <w:tcW w:w="1123" w:type="dxa"/>
                    <w:shd w:val="clear" w:color="auto" w:fill="auto"/>
                    <w:noWrap/>
                    <w:vAlign w:val="center"/>
                  </w:tcPr>
                  <w:p>
                    <w:pPr>
                      <w:ind w:firstLine="60"/>
                      <w:rPr>
                        <w:b/>
                        <w:bCs/>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1.1.</w:t>
                    </w:r>
                  </w:p>
                </w:tc>
                <w:tc>
                  <w:tcPr>
                    <w:tcW w:w="4938" w:type="dxa"/>
                    <w:shd w:val="clear" w:color="auto" w:fill="auto"/>
                    <w:vAlign w:val="center"/>
                  </w:tcPr>
                  <w:p>
                    <w:pPr>
                      <w:rPr>
                        <w:sz w:val="20"/>
                        <w:lang w:eastAsia="lt-LT"/>
                      </w:rPr>
                    </w:pPr>
                    <w:r>
                      <w:rPr>
                        <w:sz w:val="20"/>
                        <w:lang w:eastAsia="lt-LT"/>
                      </w:rPr>
                      <w:t>FINANSAVIMO PAJAMOS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1.1.1.</w:t>
                    </w:r>
                  </w:p>
                </w:tc>
                <w:tc>
                  <w:tcPr>
                    <w:tcW w:w="4938" w:type="dxa"/>
                    <w:shd w:val="clear" w:color="auto" w:fill="auto"/>
                    <w:vAlign w:val="center"/>
                  </w:tcPr>
                  <w:p>
                    <w:pPr>
                      <w:ind w:left="154"/>
                      <w:rPr>
                        <w:sz w:val="20"/>
                        <w:lang w:eastAsia="lt-LT"/>
                      </w:rPr>
                    </w:pPr>
                    <w:r>
                      <w:rPr>
                        <w:sz w:val="20"/>
                        <w:lang w:eastAsia="lt-LT"/>
                      </w:rPr>
                      <w:t xml:space="preserve">Iš valstybės biudžeto </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1.1.2.</w:t>
                    </w:r>
                  </w:p>
                </w:tc>
                <w:tc>
                  <w:tcPr>
                    <w:tcW w:w="4938" w:type="dxa"/>
                    <w:shd w:val="clear" w:color="auto" w:fill="auto"/>
                    <w:vAlign w:val="center"/>
                  </w:tcPr>
                  <w:p>
                    <w:pPr>
                      <w:ind w:left="154"/>
                      <w:rPr>
                        <w:sz w:val="20"/>
                        <w:lang w:eastAsia="lt-LT"/>
                      </w:rPr>
                    </w:pPr>
                    <w:r>
                      <w:rPr>
                        <w:sz w:val="20"/>
                        <w:lang w:eastAsia="lt-LT"/>
                      </w:rPr>
                      <w:t>Iš savivaldybės biudžeto</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1.1.3.</w:t>
                    </w:r>
                  </w:p>
                </w:tc>
                <w:tc>
                  <w:tcPr>
                    <w:tcW w:w="4938" w:type="dxa"/>
                    <w:shd w:val="clear" w:color="auto" w:fill="auto"/>
                    <w:vAlign w:val="center"/>
                  </w:tcPr>
                  <w:p>
                    <w:pPr>
                      <w:ind w:left="154"/>
                      <w:rPr>
                        <w:sz w:val="20"/>
                        <w:lang w:eastAsia="lt-LT"/>
                      </w:rPr>
                    </w:pPr>
                    <w:r>
                      <w:rPr>
                        <w:sz w:val="20"/>
                        <w:lang w:eastAsia="lt-LT"/>
                      </w:rPr>
                      <w:t>Iš Europos Sąjungos, užsienio valstybių ir tarptautinių organizacijų lėšų</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1.1.4.</w:t>
                    </w:r>
                  </w:p>
                </w:tc>
                <w:tc>
                  <w:tcPr>
                    <w:tcW w:w="4938" w:type="dxa"/>
                    <w:shd w:val="clear" w:color="auto" w:fill="auto"/>
                    <w:vAlign w:val="center"/>
                  </w:tcPr>
                  <w:p>
                    <w:pPr>
                      <w:ind w:left="154"/>
                      <w:rPr>
                        <w:sz w:val="20"/>
                        <w:lang w:eastAsia="lt-LT"/>
                      </w:rPr>
                    </w:pPr>
                    <w:r>
                      <w:rPr>
                        <w:sz w:val="20"/>
                        <w:lang w:eastAsia="lt-LT"/>
                      </w:rPr>
                      <w:t>Iš viešojo sektoriaus subjektų pajamų</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1.1.5.</w:t>
                    </w:r>
                  </w:p>
                </w:tc>
                <w:tc>
                  <w:tcPr>
                    <w:tcW w:w="4938" w:type="dxa"/>
                    <w:shd w:val="clear" w:color="auto" w:fill="auto"/>
                    <w:vAlign w:val="center"/>
                  </w:tcPr>
                  <w:p>
                    <w:pPr>
                      <w:ind w:left="154"/>
                      <w:rPr>
                        <w:sz w:val="20"/>
                        <w:lang w:eastAsia="lt-LT"/>
                      </w:rPr>
                    </w:pPr>
                    <w:r>
                      <w:rPr>
                        <w:sz w:val="20"/>
                        <w:lang w:eastAsia="lt-LT"/>
                      </w:rPr>
                      <w:t>Iš fizinių ir privačių juridinių asmenų</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1.2.</w:t>
                    </w:r>
                  </w:p>
                </w:tc>
                <w:tc>
                  <w:tcPr>
                    <w:tcW w:w="4938" w:type="dxa"/>
                    <w:shd w:val="clear" w:color="auto" w:fill="auto"/>
                    <w:vAlign w:val="center"/>
                  </w:tcPr>
                  <w:p>
                    <w:pPr>
                      <w:rPr>
                        <w:sz w:val="20"/>
                        <w:lang w:eastAsia="lt-LT"/>
                      </w:rPr>
                    </w:pPr>
                    <w:r>
                      <w:rPr>
                        <w:sz w:val="20"/>
                        <w:lang w:eastAsia="lt-LT"/>
                      </w:rPr>
                      <w:t xml:space="preserve">KITOS PAJAMOS </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1.2.1.</w:t>
                    </w:r>
                  </w:p>
                </w:tc>
                <w:tc>
                  <w:tcPr>
                    <w:tcW w:w="4938" w:type="dxa"/>
                    <w:shd w:val="clear" w:color="auto" w:fill="auto"/>
                    <w:vAlign w:val="center"/>
                  </w:tcPr>
                  <w:p>
                    <w:pPr>
                      <w:ind w:left="154"/>
                      <w:rPr>
                        <w:sz w:val="20"/>
                        <w:lang w:eastAsia="lt-LT"/>
                      </w:rPr>
                    </w:pPr>
                    <w:r>
                      <w:rPr>
                        <w:sz w:val="20"/>
                        <w:lang w:eastAsia="lt-LT"/>
                      </w:rPr>
                      <w:t>Rinkliavų ir žyminio mokesčio pajamos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1.2.1.1.</w:t>
                    </w:r>
                  </w:p>
                </w:tc>
                <w:tc>
                  <w:tcPr>
                    <w:tcW w:w="4938" w:type="dxa"/>
                    <w:shd w:val="clear" w:color="auto" w:fill="auto"/>
                    <w:vAlign w:val="center"/>
                  </w:tcPr>
                  <w:p>
                    <w:pPr>
                      <w:ind w:left="459"/>
                      <w:rPr>
                        <w:sz w:val="20"/>
                        <w:lang w:eastAsia="lt-LT"/>
                      </w:rPr>
                    </w:pPr>
                    <w:r>
                      <w:rPr>
                        <w:sz w:val="20"/>
                        <w:lang w:eastAsia="lt-LT"/>
                      </w:rPr>
                      <w:t>Rinkliavų pajamos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1.2.1.2.</w:t>
                    </w:r>
                  </w:p>
                </w:tc>
                <w:tc>
                  <w:tcPr>
                    <w:tcW w:w="4938" w:type="dxa"/>
                    <w:shd w:val="clear" w:color="auto" w:fill="auto"/>
                    <w:vAlign w:val="center"/>
                  </w:tcPr>
                  <w:p>
                    <w:pPr>
                      <w:ind w:left="459"/>
                      <w:rPr>
                        <w:sz w:val="20"/>
                        <w:lang w:eastAsia="lt-LT"/>
                      </w:rPr>
                    </w:pPr>
                    <w:r>
                      <w:rPr>
                        <w:sz w:val="20"/>
                        <w:lang w:eastAsia="lt-LT"/>
                      </w:rPr>
                      <w:t>Įskaitytas žyminis mokestis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1.2.1.3.</w:t>
                    </w:r>
                  </w:p>
                </w:tc>
                <w:tc>
                  <w:tcPr>
                    <w:tcW w:w="4938" w:type="dxa"/>
                    <w:shd w:val="clear" w:color="auto" w:fill="auto"/>
                    <w:vAlign w:val="center"/>
                  </w:tcPr>
                  <w:p>
                    <w:pPr>
                      <w:ind w:left="459"/>
                      <w:rPr>
                        <w:sz w:val="20"/>
                        <w:lang w:eastAsia="lt-LT"/>
                      </w:rPr>
                    </w:pPr>
                    <w:r>
                      <w:rPr>
                        <w:sz w:val="20"/>
                        <w:lang w:eastAsia="lt-LT"/>
                      </w:rPr>
                      <w:t xml:space="preserve">Grąžintinas žyminis mokestis </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1.2.2.</w:t>
                    </w:r>
                  </w:p>
                </w:tc>
                <w:tc>
                  <w:tcPr>
                    <w:tcW w:w="4938" w:type="dxa"/>
                    <w:shd w:val="clear" w:color="auto" w:fill="auto"/>
                    <w:vAlign w:val="center"/>
                  </w:tcPr>
                  <w:p>
                    <w:pPr>
                      <w:ind w:left="154"/>
                      <w:rPr>
                        <w:sz w:val="20"/>
                        <w:lang w:eastAsia="lt-LT"/>
                      </w:rPr>
                    </w:pPr>
                    <w:r>
                      <w:rPr>
                        <w:sz w:val="20"/>
                        <w:lang w:eastAsia="lt-LT"/>
                      </w:rPr>
                      <w:t>Prekių pardavimo ir paslaugų pajamos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1.2.2.1.</w:t>
                    </w:r>
                  </w:p>
                </w:tc>
                <w:tc>
                  <w:tcPr>
                    <w:tcW w:w="4938" w:type="dxa"/>
                    <w:shd w:val="clear" w:color="auto" w:fill="auto"/>
                    <w:vAlign w:val="center"/>
                  </w:tcPr>
                  <w:p>
                    <w:pPr>
                      <w:ind w:left="453"/>
                      <w:rPr>
                        <w:sz w:val="20"/>
                        <w:lang w:eastAsia="lt-LT"/>
                      </w:rPr>
                    </w:pPr>
                    <w:r>
                      <w:rPr>
                        <w:sz w:val="20"/>
                        <w:lang w:eastAsia="lt-LT"/>
                      </w:rPr>
                      <w:t>Prekių pardavimo ir paslaugų, apmokamų viešojo sektoriaus subjektų lėšomis, pajamos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1.2.2.2.</w:t>
                    </w:r>
                  </w:p>
                </w:tc>
                <w:tc>
                  <w:tcPr>
                    <w:tcW w:w="4938" w:type="dxa"/>
                    <w:shd w:val="clear" w:color="auto" w:fill="auto"/>
                    <w:vAlign w:val="center"/>
                  </w:tcPr>
                  <w:p>
                    <w:pPr>
                      <w:ind w:left="453"/>
                      <w:rPr>
                        <w:sz w:val="20"/>
                        <w:lang w:eastAsia="lt-LT"/>
                      </w:rPr>
                    </w:pPr>
                    <w:r>
                      <w:rPr>
                        <w:sz w:val="20"/>
                        <w:lang w:eastAsia="lt-LT"/>
                      </w:rPr>
                      <w:t>Kitų prekių pardavimo ir paslaugų pajamos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1.2.3.</w:t>
                    </w:r>
                  </w:p>
                </w:tc>
                <w:tc>
                  <w:tcPr>
                    <w:tcW w:w="4938" w:type="dxa"/>
                    <w:shd w:val="clear" w:color="auto" w:fill="auto"/>
                    <w:vAlign w:val="center"/>
                  </w:tcPr>
                  <w:p>
                    <w:pPr>
                      <w:ind w:left="154"/>
                      <w:rPr>
                        <w:sz w:val="20"/>
                        <w:lang w:eastAsia="lt-LT"/>
                      </w:rPr>
                    </w:pPr>
                    <w:r>
                      <w:rPr>
                        <w:sz w:val="20"/>
                        <w:lang w:eastAsia="lt-LT"/>
                      </w:rPr>
                      <w:t>Baudų, konfiskuoto turto ir netesybų pajamos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1.2.4.</w:t>
                    </w:r>
                  </w:p>
                </w:tc>
                <w:tc>
                  <w:tcPr>
                    <w:tcW w:w="4938" w:type="dxa"/>
                    <w:shd w:val="clear" w:color="auto" w:fill="auto"/>
                    <w:vAlign w:val="center"/>
                  </w:tcPr>
                  <w:p>
                    <w:pPr>
                      <w:ind w:left="154"/>
                      <w:rPr>
                        <w:sz w:val="20"/>
                        <w:lang w:eastAsia="lt-LT"/>
                      </w:rPr>
                    </w:pPr>
                    <w:r>
                      <w:rPr>
                        <w:sz w:val="20"/>
                        <w:lang w:eastAsia="lt-LT"/>
                      </w:rPr>
                      <w:t>Finansinės ir investicinės veiklos pajamos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1.2.5</w:t>
                    </w:r>
                  </w:p>
                </w:tc>
                <w:tc>
                  <w:tcPr>
                    <w:tcW w:w="4938" w:type="dxa"/>
                    <w:shd w:val="clear" w:color="auto" w:fill="auto"/>
                    <w:vAlign w:val="center"/>
                  </w:tcPr>
                  <w:p>
                    <w:pPr>
                      <w:ind w:left="154"/>
                      <w:rPr>
                        <w:sz w:val="20"/>
                        <w:lang w:eastAsia="lt-LT"/>
                      </w:rPr>
                    </w:pPr>
                    <w:r>
                      <w:rPr>
                        <w:sz w:val="20"/>
                        <w:lang w:eastAsia="lt-LT"/>
                      </w:rPr>
                      <w:t xml:space="preserve">Kitos </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sz w:val="20"/>
                        <w:lang w:eastAsia="lt-LT"/>
                      </w:rPr>
                    </w:pPr>
                  </w:p>
                </w:tc>
                <w:tc>
                  <w:tcPr>
                    <w:tcW w:w="1451" w:type="dxa"/>
                    <w:shd w:val="clear" w:color="auto" w:fill="auto"/>
                    <w:vAlign w:val="center"/>
                  </w:tcPr>
                  <w:p>
                    <w:pPr>
                      <w:ind w:firstLine="60"/>
                      <w:rPr>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1.2.6.</w:t>
                    </w:r>
                  </w:p>
                </w:tc>
                <w:tc>
                  <w:tcPr>
                    <w:tcW w:w="4938" w:type="dxa"/>
                    <w:shd w:val="clear" w:color="auto" w:fill="auto"/>
                    <w:vAlign w:val="center"/>
                  </w:tcPr>
                  <w:p>
                    <w:pPr>
                      <w:ind w:left="154"/>
                      <w:rPr>
                        <w:sz w:val="20"/>
                        <w:lang w:eastAsia="lt-LT"/>
                      </w:rPr>
                    </w:pPr>
                    <w:r>
                      <w:rPr>
                        <w:sz w:val="20"/>
                        <w:lang w:eastAsia="lt-LT"/>
                      </w:rPr>
                      <w:t>Negrąžintinai pervestinos į biudžetus, išteklių fondus pajamos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sz w:val="20"/>
                        <w:lang w:eastAsia="lt-LT"/>
                      </w:rPr>
                    </w:pPr>
                  </w:p>
                </w:tc>
                <w:tc>
                  <w:tcPr>
                    <w:tcW w:w="1451" w:type="dxa"/>
                    <w:shd w:val="clear" w:color="auto" w:fill="auto"/>
                    <w:vAlign w:val="center"/>
                  </w:tcPr>
                  <w:p>
                    <w:pPr>
                      <w:ind w:firstLine="60"/>
                      <w:rPr>
                        <w:sz w:val="20"/>
                        <w:lang w:eastAsia="lt-LT"/>
                      </w:rPr>
                    </w:pPr>
                  </w:p>
                </w:tc>
              </w:tr>
              <w:tr>
                <w:trPr>
                  <w:trHeight w:val="58"/>
                </w:trPr>
                <w:tc>
                  <w:tcPr>
                    <w:tcW w:w="850" w:type="dxa"/>
                    <w:shd w:val="clear" w:color="auto" w:fill="auto"/>
                    <w:vAlign w:val="center"/>
                  </w:tcPr>
                  <w:p>
                    <w:pPr>
                      <w:jc w:val="center"/>
                      <w:rPr>
                        <w:b/>
                        <w:bCs/>
                        <w:sz w:val="20"/>
                        <w:lang w:eastAsia="lt-LT"/>
                      </w:rPr>
                    </w:pPr>
                    <w:r>
                      <w:rPr>
                        <w:b/>
                        <w:bCs/>
                        <w:sz w:val="20"/>
                        <w:lang w:eastAsia="lt-LT"/>
                      </w:rPr>
                      <w:t>2.</w:t>
                    </w:r>
                  </w:p>
                </w:tc>
                <w:tc>
                  <w:tcPr>
                    <w:tcW w:w="4938" w:type="dxa"/>
                    <w:shd w:val="clear" w:color="auto" w:fill="auto"/>
                    <w:vAlign w:val="center"/>
                  </w:tcPr>
                  <w:p>
                    <w:pPr>
                      <w:rPr>
                        <w:b/>
                        <w:bCs/>
                        <w:sz w:val="20"/>
                        <w:lang w:eastAsia="lt-LT"/>
                      </w:rPr>
                    </w:pPr>
                    <w:r>
                      <w:rPr>
                        <w:b/>
                        <w:bCs/>
                        <w:sz w:val="20"/>
                        <w:lang w:eastAsia="lt-LT"/>
                      </w:rPr>
                      <w:t>SĄNAUDOS</w:t>
                    </w:r>
                  </w:p>
                </w:tc>
                <w:tc>
                  <w:tcPr>
                    <w:tcW w:w="1123" w:type="dxa"/>
                    <w:shd w:val="clear" w:color="auto" w:fill="auto"/>
                    <w:noWrap/>
                    <w:vAlign w:val="center"/>
                  </w:tcPr>
                  <w:p>
                    <w:pPr>
                      <w:ind w:firstLine="60"/>
                      <w:rPr>
                        <w:b/>
                        <w:bCs/>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2.1.</w:t>
                    </w:r>
                  </w:p>
                </w:tc>
                <w:tc>
                  <w:tcPr>
                    <w:tcW w:w="4938" w:type="dxa"/>
                    <w:shd w:val="clear" w:color="auto" w:fill="auto"/>
                    <w:vAlign w:val="center"/>
                  </w:tcPr>
                  <w:p>
                    <w:pPr>
                      <w:ind w:left="11"/>
                      <w:rPr>
                        <w:sz w:val="20"/>
                        <w:lang w:eastAsia="lt-LT"/>
                      </w:rPr>
                    </w:pPr>
                    <w:r>
                      <w:rPr>
                        <w:sz w:val="20"/>
                        <w:lang w:eastAsia="lt-LT"/>
                      </w:rPr>
                      <w:t>SU DARBO SANTYKIAIS SUSIJUSIŲ IŠMOKŲ SĄNAUDOS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2.1.1.</w:t>
                    </w:r>
                  </w:p>
                </w:tc>
                <w:tc>
                  <w:tcPr>
                    <w:tcW w:w="4938" w:type="dxa"/>
                    <w:shd w:val="clear" w:color="auto" w:fill="auto"/>
                    <w:vAlign w:val="center"/>
                  </w:tcPr>
                  <w:p>
                    <w:pPr>
                      <w:ind w:left="180"/>
                      <w:rPr>
                        <w:sz w:val="20"/>
                        <w:lang w:eastAsia="lt-LT"/>
                      </w:rPr>
                    </w:pPr>
                    <w:r>
                      <w:rPr>
                        <w:sz w:val="20"/>
                        <w:lang w:eastAsia="lt-LT"/>
                      </w:rPr>
                      <w:t>Darbo užmokesčio ir socialinio draudimo sąnaudos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2.1.2.</w:t>
                    </w:r>
                  </w:p>
                </w:tc>
                <w:tc>
                  <w:tcPr>
                    <w:tcW w:w="4938" w:type="dxa"/>
                    <w:shd w:val="clear" w:color="auto" w:fill="auto"/>
                    <w:vAlign w:val="center"/>
                  </w:tcPr>
                  <w:p>
                    <w:pPr>
                      <w:ind w:left="180"/>
                      <w:rPr>
                        <w:sz w:val="20"/>
                        <w:lang w:eastAsia="lt-LT"/>
                      </w:rPr>
                    </w:pPr>
                    <w:r>
                      <w:rPr>
                        <w:sz w:val="20"/>
                        <w:lang w:eastAsia="lt-LT"/>
                      </w:rPr>
                      <w:t>Socialinių ir kitų išmokų darbuotojams sąnaudos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2.2.</w:t>
                    </w:r>
                  </w:p>
                </w:tc>
                <w:tc>
                  <w:tcPr>
                    <w:tcW w:w="4938" w:type="dxa"/>
                    <w:shd w:val="clear" w:color="auto" w:fill="auto"/>
                    <w:vAlign w:val="center"/>
                  </w:tcPr>
                  <w:p>
                    <w:pPr>
                      <w:ind w:left="11"/>
                      <w:rPr>
                        <w:sz w:val="20"/>
                        <w:lang w:eastAsia="lt-LT"/>
                      </w:rPr>
                    </w:pPr>
                    <w:r>
                      <w:rPr>
                        <w:sz w:val="20"/>
                        <w:lang w:eastAsia="lt-LT"/>
                      </w:rPr>
                      <w:t>PREKIŲ IR PASLAUGŲ SĄNAUDOS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sz w:val="20"/>
                        <w:lang w:eastAsia="lt-LT"/>
                      </w:rPr>
                    </w:pPr>
                  </w:p>
                </w:tc>
                <w:tc>
                  <w:tcPr>
                    <w:tcW w:w="1451" w:type="dxa"/>
                    <w:shd w:val="clear" w:color="auto" w:fill="auto"/>
                    <w:vAlign w:val="center"/>
                  </w:tcPr>
                  <w:p>
                    <w:pPr>
                      <w:ind w:firstLine="60"/>
                      <w:rPr>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2.2.1.</w:t>
                    </w:r>
                  </w:p>
                </w:tc>
                <w:tc>
                  <w:tcPr>
                    <w:tcW w:w="4938" w:type="dxa"/>
                    <w:shd w:val="clear" w:color="auto" w:fill="auto"/>
                    <w:vAlign w:val="center"/>
                  </w:tcPr>
                  <w:p>
                    <w:pPr>
                      <w:ind w:left="153"/>
                      <w:rPr>
                        <w:sz w:val="20"/>
                        <w:lang w:eastAsia="lt-LT"/>
                      </w:rPr>
                    </w:pPr>
                    <w:r>
                      <w:rPr>
                        <w:sz w:val="20"/>
                        <w:lang w:eastAsia="lt-LT"/>
                      </w:rPr>
                      <w:t>Prekių ir paslaugų sąnaudos veiklai</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rPr>
                        <w:sz w:val="20"/>
                        <w:lang w:eastAsia="lt-LT"/>
                      </w:rPr>
                    </w:pPr>
                  </w:p>
                </w:tc>
                <w:tc>
                  <w:tcPr>
                    <w:tcW w:w="1451" w:type="dxa"/>
                    <w:shd w:val="clear" w:color="auto" w:fill="auto"/>
                    <w:vAlign w:val="center"/>
                  </w:tcPr>
                  <w:p>
                    <w:pPr>
                      <w:ind w:firstLine="60"/>
                      <w:rPr>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2.2.2.</w:t>
                    </w:r>
                  </w:p>
                </w:tc>
                <w:tc>
                  <w:tcPr>
                    <w:tcW w:w="4938" w:type="dxa"/>
                    <w:shd w:val="clear" w:color="auto" w:fill="auto"/>
                    <w:vAlign w:val="center"/>
                  </w:tcPr>
                  <w:p>
                    <w:pPr>
                      <w:ind w:left="175"/>
                      <w:rPr>
                        <w:sz w:val="20"/>
                        <w:lang w:eastAsia="lt-LT"/>
                      </w:rPr>
                    </w:pPr>
                    <w:r>
                      <w:rPr>
                        <w:sz w:val="20"/>
                        <w:lang w:eastAsia="lt-LT"/>
                      </w:rPr>
                      <w:t>Prekių ir paslaugų sąnaudos viešajam ūkiui</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sz w:val="20"/>
                        <w:lang w:val="en-US" w:eastAsia="lt-LT"/>
                      </w:rPr>
                    </w:pPr>
                  </w:p>
                </w:tc>
                <w:tc>
                  <w:tcPr>
                    <w:tcW w:w="1451" w:type="dxa"/>
                    <w:shd w:val="clear" w:color="auto" w:fill="auto"/>
                    <w:vAlign w:val="center"/>
                  </w:tcPr>
                  <w:p>
                    <w:pPr>
                      <w:ind w:firstLine="60"/>
                      <w:rPr>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2.3.</w:t>
                    </w:r>
                  </w:p>
                </w:tc>
                <w:tc>
                  <w:tcPr>
                    <w:tcW w:w="4938" w:type="dxa"/>
                    <w:shd w:val="clear" w:color="auto" w:fill="auto"/>
                    <w:vAlign w:val="center"/>
                  </w:tcPr>
                  <w:p>
                    <w:pPr>
                      <w:ind w:left="11"/>
                      <w:rPr>
                        <w:sz w:val="20"/>
                        <w:lang w:eastAsia="lt-LT"/>
                      </w:rPr>
                    </w:pPr>
                    <w:r>
                      <w:rPr>
                        <w:sz w:val="20"/>
                        <w:lang w:eastAsia="lt-LT"/>
                      </w:rPr>
                      <w:t>NUSIDĖVĖJIMO IR AMORTIZACIJOS SĄNAUDOS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2.4.</w:t>
                    </w:r>
                  </w:p>
                </w:tc>
                <w:tc>
                  <w:tcPr>
                    <w:tcW w:w="4938" w:type="dxa"/>
                    <w:shd w:val="clear" w:color="auto" w:fill="auto"/>
                    <w:vAlign w:val="center"/>
                  </w:tcPr>
                  <w:p>
                    <w:pPr>
                      <w:ind w:left="11"/>
                      <w:rPr>
                        <w:sz w:val="20"/>
                        <w:lang w:eastAsia="lt-LT"/>
                      </w:rPr>
                    </w:pPr>
                    <w:r>
                      <w:rPr>
                        <w:sz w:val="20"/>
                        <w:lang w:eastAsia="lt-LT"/>
                      </w:rPr>
                      <w:t>NUVERTĖJIMO IR NURAŠYTŲ SUMŲ SĄNAUDOS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b/>
                        <w:bCs/>
                        <w:sz w:val="20"/>
                        <w:lang w:eastAsia="lt-LT"/>
                      </w:rPr>
                    </w:pPr>
                  </w:p>
                </w:tc>
                <w:tc>
                  <w:tcPr>
                    <w:tcW w:w="1451" w:type="dxa"/>
                    <w:shd w:val="clear" w:color="auto" w:fill="auto"/>
                    <w:vAlign w:val="center"/>
                  </w:tcPr>
                  <w:p>
                    <w:pPr>
                      <w:ind w:firstLine="60"/>
                      <w:rPr>
                        <w:b/>
                        <w:bCs/>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2.5.</w:t>
                    </w:r>
                  </w:p>
                </w:tc>
                <w:tc>
                  <w:tcPr>
                    <w:tcW w:w="4938" w:type="dxa"/>
                    <w:shd w:val="clear" w:color="auto" w:fill="auto"/>
                    <w:vAlign w:val="center"/>
                  </w:tcPr>
                  <w:p>
                    <w:pPr>
                      <w:rPr>
                        <w:sz w:val="20"/>
                        <w:lang w:eastAsia="lt-LT"/>
                      </w:rPr>
                    </w:pPr>
                    <w:r>
                      <w:rPr>
                        <w:sz w:val="20"/>
                        <w:lang w:eastAsia="lt-LT"/>
                      </w:rPr>
                      <w:t>SOCIALINIŲ IŠMOKŲ, STIPENDIJŲ, PRIZŲ IR PREMIJŲ SĄNAUDOS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sz w:val="20"/>
                        <w:lang w:eastAsia="lt-LT"/>
                      </w:rPr>
                    </w:pPr>
                  </w:p>
                </w:tc>
                <w:tc>
                  <w:tcPr>
                    <w:tcW w:w="1451" w:type="dxa"/>
                    <w:shd w:val="clear" w:color="auto" w:fill="auto"/>
                    <w:vAlign w:val="center"/>
                  </w:tcPr>
                  <w:p>
                    <w:pPr>
                      <w:ind w:firstLine="60"/>
                      <w:rPr>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2.6.</w:t>
                    </w:r>
                  </w:p>
                </w:tc>
                <w:tc>
                  <w:tcPr>
                    <w:tcW w:w="4938" w:type="dxa"/>
                    <w:shd w:val="clear" w:color="auto" w:fill="auto"/>
                    <w:vAlign w:val="center"/>
                  </w:tcPr>
                  <w:p>
                    <w:pPr>
                      <w:rPr>
                        <w:sz w:val="20"/>
                        <w:lang w:eastAsia="lt-LT"/>
                      </w:rPr>
                    </w:pPr>
                    <w:r>
                      <w:rPr>
                        <w:sz w:val="20"/>
                        <w:lang w:eastAsia="lt-LT"/>
                      </w:rPr>
                      <w:t>FINANSAVIMO SĄNAUDOS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sz w:val="20"/>
                        <w:lang w:eastAsia="lt-LT"/>
                      </w:rPr>
                    </w:pPr>
                  </w:p>
                </w:tc>
                <w:tc>
                  <w:tcPr>
                    <w:tcW w:w="1451" w:type="dxa"/>
                    <w:shd w:val="clear" w:color="auto" w:fill="auto"/>
                    <w:noWrap/>
                    <w:vAlign w:val="center"/>
                  </w:tcPr>
                  <w:p>
                    <w:pPr>
                      <w:ind w:firstLine="60"/>
                      <w:rPr>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2.7.</w:t>
                    </w:r>
                  </w:p>
                </w:tc>
                <w:tc>
                  <w:tcPr>
                    <w:tcW w:w="4938" w:type="dxa"/>
                    <w:shd w:val="clear" w:color="auto" w:fill="auto"/>
                    <w:vAlign w:val="center"/>
                  </w:tcPr>
                  <w:p>
                    <w:pPr>
                      <w:rPr>
                        <w:sz w:val="20"/>
                        <w:lang w:eastAsia="lt-LT"/>
                      </w:rPr>
                    </w:pPr>
                    <w:r>
                      <w:rPr>
                        <w:sz w:val="20"/>
                        <w:lang w:eastAsia="lt-LT"/>
                      </w:rPr>
                      <w:t>FINANSINĖS IR INVESTICINĖS VEIKLOS SĄNAUDOS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0"/>
                      <w:rPr>
                        <w:sz w:val="20"/>
                        <w:lang w:eastAsia="lt-LT"/>
                      </w:rPr>
                    </w:pPr>
                  </w:p>
                </w:tc>
                <w:tc>
                  <w:tcPr>
                    <w:tcW w:w="1451" w:type="dxa"/>
                    <w:shd w:val="clear" w:color="auto" w:fill="auto"/>
                    <w:noWrap/>
                    <w:vAlign w:val="center"/>
                  </w:tcPr>
                  <w:p>
                    <w:pPr>
                      <w:ind w:firstLine="60"/>
                      <w:rPr>
                        <w:sz w:val="20"/>
                        <w:lang w:eastAsia="lt-LT"/>
                      </w:rPr>
                    </w:pPr>
                  </w:p>
                </w:tc>
              </w:tr>
              <w:tr>
                <w:trPr>
                  <w:trHeight w:val="315"/>
                </w:trPr>
                <w:tc>
                  <w:tcPr>
                    <w:tcW w:w="850" w:type="dxa"/>
                    <w:shd w:val="clear" w:color="auto" w:fill="auto"/>
                    <w:vAlign w:val="center"/>
                  </w:tcPr>
                  <w:p>
                    <w:pPr>
                      <w:jc w:val="center"/>
                      <w:rPr>
                        <w:sz w:val="20"/>
                        <w:lang w:eastAsia="lt-LT"/>
                      </w:rPr>
                    </w:pPr>
                    <w:r>
                      <w:rPr>
                        <w:sz w:val="20"/>
                        <w:lang w:eastAsia="lt-LT"/>
                      </w:rPr>
                      <w:t>2.8.</w:t>
                    </w:r>
                  </w:p>
                </w:tc>
                <w:tc>
                  <w:tcPr>
                    <w:tcW w:w="4938" w:type="dxa"/>
                    <w:shd w:val="clear" w:color="auto" w:fill="auto"/>
                    <w:noWrap/>
                    <w:vAlign w:val="center"/>
                  </w:tcPr>
                  <w:p>
                    <w:pPr>
                      <w:rPr>
                        <w:sz w:val="20"/>
                        <w:lang w:eastAsia="lt-LT"/>
                      </w:rPr>
                    </w:pPr>
                    <w:r>
                      <w:rPr>
                        <w:sz w:val="20"/>
                        <w:lang w:eastAsia="lt-LT"/>
                      </w:rPr>
                      <w:t>KITOS SĄNAUDOS</w:t>
                    </w:r>
                  </w:p>
                </w:tc>
                <w:tc>
                  <w:tcPr>
                    <w:tcW w:w="1123" w:type="dxa"/>
                    <w:shd w:val="clear" w:color="auto" w:fill="auto"/>
                    <w:noWrap/>
                    <w:vAlign w:val="center"/>
                  </w:tcPr>
                  <w:p>
                    <w:pPr>
                      <w:ind w:firstLine="60"/>
                      <w:rPr>
                        <w:sz w:val="20"/>
                        <w:lang w:eastAsia="lt-LT"/>
                      </w:rPr>
                    </w:pPr>
                  </w:p>
                </w:tc>
                <w:tc>
                  <w:tcPr>
                    <w:tcW w:w="1701" w:type="dxa"/>
                    <w:shd w:val="clear" w:color="auto" w:fill="auto"/>
                    <w:noWrap/>
                    <w:vAlign w:val="center"/>
                  </w:tcPr>
                  <w:p>
                    <w:pPr>
                      <w:ind w:firstLine="67"/>
                      <w:rPr>
                        <w:sz w:val="20"/>
                        <w:lang w:eastAsia="lt-LT"/>
                      </w:rPr>
                    </w:pPr>
                  </w:p>
                </w:tc>
                <w:tc>
                  <w:tcPr>
                    <w:tcW w:w="1451" w:type="dxa"/>
                    <w:shd w:val="clear" w:color="auto" w:fill="auto"/>
                    <w:noWrap/>
                    <w:vAlign w:val="center"/>
                  </w:tcPr>
                  <w:p>
                    <w:pPr>
                      <w:ind w:firstLine="67"/>
                      <w:rPr>
                        <w:sz w:val="20"/>
                        <w:lang w:eastAsia="lt-LT"/>
                      </w:rPr>
                    </w:pPr>
                  </w:p>
                </w:tc>
              </w:tr>
              <w:tr>
                <w:trPr>
                  <w:trHeight w:val="315"/>
                </w:trPr>
                <w:tc>
                  <w:tcPr>
                    <w:tcW w:w="850" w:type="dxa"/>
                    <w:shd w:val="clear" w:color="auto" w:fill="auto"/>
                    <w:noWrap/>
                    <w:vAlign w:val="center"/>
                  </w:tcPr>
                  <w:p>
                    <w:pPr>
                      <w:jc w:val="center"/>
                      <w:rPr>
                        <w:b/>
                        <w:bCs/>
                        <w:sz w:val="20"/>
                        <w:lang w:eastAsia="lt-LT"/>
                      </w:rPr>
                    </w:pPr>
                    <w:r>
                      <w:rPr>
                        <w:b/>
                        <w:bCs/>
                        <w:sz w:val="20"/>
                        <w:lang w:eastAsia="lt-LT"/>
                      </w:rPr>
                      <w:t>3.</w:t>
                    </w:r>
                  </w:p>
                </w:tc>
                <w:tc>
                  <w:tcPr>
                    <w:tcW w:w="4938" w:type="dxa"/>
                    <w:shd w:val="clear" w:color="auto" w:fill="auto"/>
                    <w:noWrap/>
                    <w:vAlign w:val="center"/>
                  </w:tcPr>
                  <w:p>
                    <w:pPr>
                      <w:rPr>
                        <w:b/>
                        <w:bCs/>
                        <w:sz w:val="20"/>
                        <w:lang w:eastAsia="lt-LT"/>
                      </w:rPr>
                    </w:pPr>
                    <w:r>
                      <w:rPr>
                        <w:b/>
                        <w:bCs/>
                        <w:sz w:val="20"/>
                        <w:lang w:eastAsia="lt-LT"/>
                      </w:rPr>
                      <w:t>PERVIRŠIS AR DEFICITAS IŠ VYKDOMOS VEIKLOS</w:t>
                    </w:r>
                  </w:p>
                </w:tc>
                <w:tc>
                  <w:tcPr>
                    <w:tcW w:w="1123" w:type="dxa"/>
                    <w:shd w:val="clear" w:color="auto" w:fill="auto"/>
                    <w:noWrap/>
                    <w:vAlign w:val="center"/>
                  </w:tcPr>
                  <w:p>
                    <w:pPr>
                      <w:ind w:firstLine="60"/>
                      <w:rPr>
                        <w:b/>
                        <w:bCs/>
                        <w:sz w:val="20"/>
                        <w:lang w:eastAsia="lt-LT"/>
                      </w:rPr>
                    </w:pPr>
                  </w:p>
                </w:tc>
                <w:tc>
                  <w:tcPr>
                    <w:tcW w:w="1701" w:type="dxa"/>
                    <w:shd w:val="clear" w:color="auto" w:fill="auto"/>
                    <w:noWrap/>
                    <w:vAlign w:val="center"/>
                  </w:tcPr>
                  <w:p>
                    <w:pPr>
                      <w:ind w:firstLine="67"/>
                      <w:rPr>
                        <w:b/>
                        <w:bCs/>
                        <w:sz w:val="20"/>
                        <w:lang w:eastAsia="lt-LT"/>
                      </w:rPr>
                    </w:pPr>
                  </w:p>
                </w:tc>
                <w:tc>
                  <w:tcPr>
                    <w:tcW w:w="1451" w:type="dxa"/>
                    <w:shd w:val="clear" w:color="auto" w:fill="auto"/>
                    <w:noWrap/>
                    <w:vAlign w:val="center"/>
                  </w:tcPr>
                  <w:p>
                    <w:pPr>
                      <w:ind w:firstLine="67"/>
                      <w:rPr>
                        <w:b/>
                        <w:bCs/>
                        <w:sz w:val="20"/>
                        <w:lang w:eastAsia="lt-LT"/>
                      </w:rPr>
                    </w:pPr>
                  </w:p>
                </w:tc>
              </w:tr>
              <w:tr>
                <w:trPr>
                  <w:trHeight w:val="600"/>
                </w:trPr>
                <w:tc>
                  <w:tcPr>
                    <w:tcW w:w="850" w:type="dxa"/>
                    <w:shd w:val="clear" w:color="auto" w:fill="auto"/>
                    <w:noWrap/>
                    <w:vAlign w:val="center"/>
                  </w:tcPr>
                  <w:p>
                    <w:pPr>
                      <w:jc w:val="center"/>
                      <w:rPr>
                        <w:b/>
                        <w:sz w:val="20"/>
                        <w:lang w:eastAsia="lt-LT"/>
                      </w:rPr>
                    </w:pPr>
                    <w:r>
                      <w:rPr>
                        <w:b/>
                        <w:sz w:val="20"/>
                        <w:lang w:eastAsia="lt-LT"/>
                      </w:rPr>
                      <w:t>4.</w:t>
                    </w:r>
                  </w:p>
                </w:tc>
                <w:tc>
                  <w:tcPr>
                    <w:tcW w:w="4938" w:type="dxa"/>
                    <w:shd w:val="clear" w:color="auto" w:fill="auto"/>
                    <w:vAlign w:val="center"/>
                  </w:tcPr>
                  <w:p>
                    <w:pPr>
                      <w:rPr>
                        <w:b/>
                        <w:sz w:val="20"/>
                        <w:lang w:eastAsia="lt-LT"/>
                      </w:rPr>
                    </w:pPr>
                    <w:r>
                      <w:rPr>
                        <w:b/>
                        <w:sz w:val="20"/>
                        <w:lang w:eastAsia="lt-LT"/>
                      </w:rPr>
                      <w:t>APSKAITOS POLITIKOS KEITIMO IR ESMINIŲ APSKAITOS KLAIDŲ TAISYMO ĮTAKA</w:t>
                    </w:r>
                  </w:p>
                </w:tc>
                <w:tc>
                  <w:tcPr>
                    <w:tcW w:w="1123" w:type="dxa"/>
                    <w:shd w:val="clear" w:color="auto" w:fill="auto"/>
                    <w:noWrap/>
                    <w:vAlign w:val="center"/>
                  </w:tcPr>
                  <w:p>
                    <w:pPr>
                      <w:ind w:firstLine="67"/>
                      <w:rPr>
                        <w:b/>
                        <w:bCs/>
                        <w:sz w:val="20"/>
                        <w:lang w:eastAsia="lt-LT"/>
                      </w:rPr>
                    </w:pPr>
                  </w:p>
                </w:tc>
                <w:tc>
                  <w:tcPr>
                    <w:tcW w:w="1701" w:type="dxa"/>
                    <w:shd w:val="clear" w:color="auto" w:fill="auto"/>
                    <w:noWrap/>
                    <w:vAlign w:val="center"/>
                  </w:tcPr>
                  <w:p>
                    <w:pPr>
                      <w:ind w:firstLine="67"/>
                      <w:rPr>
                        <w:b/>
                        <w:bCs/>
                        <w:sz w:val="20"/>
                        <w:lang w:eastAsia="lt-LT"/>
                      </w:rPr>
                    </w:pPr>
                  </w:p>
                </w:tc>
                <w:tc>
                  <w:tcPr>
                    <w:tcW w:w="1451" w:type="dxa"/>
                    <w:shd w:val="clear" w:color="auto" w:fill="auto"/>
                    <w:noWrap/>
                    <w:vAlign w:val="center"/>
                  </w:tcPr>
                  <w:p>
                    <w:pPr>
                      <w:ind w:firstLine="67"/>
                      <w:rPr>
                        <w:b/>
                        <w:bCs/>
                        <w:sz w:val="20"/>
                        <w:lang w:eastAsia="lt-LT"/>
                      </w:rPr>
                    </w:pPr>
                  </w:p>
                </w:tc>
              </w:tr>
              <w:tr>
                <w:trPr>
                  <w:trHeight w:val="193"/>
                </w:trPr>
                <w:tc>
                  <w:tcPr>
                    <w:tcW w:w="850" w:type="dxa"/>
                    <w:shd w:val="clear" w:color="auto" w:fill="auto"/>
                    <w:noWrap/>
                    <w:vAlign w:val="center"/>
                  </w:tcPr>
                  <w:p>
                    <w:pPr>
                      <w:jc w:val="center"/>
                      <w:rPr>
                        <w:b/>
                        <w:sz w:val="20"/>
                        <w:lang w:eastAsia="lt-LT"/>
                      </w:rPr>
                    </w:pPr>
                    <w:r>
                      <w:rPr>
                        <w:b/>
                        <w:sz w:val="20"/>
                        <w:lang w:eastAsia="lt-LT"/>
                      </w:rPr>
                      <w:t>5.</w:t>
                    </w:r>
                  </w:p>
                </w:tc>
                <w:tc>
                  <w:tcPr>
                    <w:tcW w:w="4938" w:type="dxa"/>
                    <w:shd w:val="clear" w:color="auto" w:fill="auto"/>
                    <w:vAlign w:val="center"/>
                  </w:tcPr>
                  <w:p>
                    <w:pPr>
                      <w:rPr>
                        <w:b/>
                        <w:sz w:val="20"/>
                        <w:lang w:eastAsia="lt-LT"/>
                      </w:rPr>
                    </w:pPr>
                    <w:r>
                      <w:rPr>
                        <w:b/>
                        <w:sz w:val="20"/>
                        <w:lang w:eastAsia="lt-LT"/>
                      </w:rPr>
                      <w:t>PELNO MOKESTIS</w:t>
                    </w:r>
                  </w:p>
                </w:tc>
                <w:tc>
                  <w:tcPr>
                    <w:tcW w:w="1123" w:type="dxa"/>
                    <w:shd w:val="clear" w:color="auto" w:fill="auto"/>
                    <w:noWrap/>
                    <w:vAlign w:val="center"/>
                  </w:tcPr>
                  <w:p>
                    <w:pPr>
                      <w:ind w:firstLine="67"/>
                      <w:rPr>
                        <w:sz w:val="20"/>
                        <w:lang w:eastAsia="lt-LT"/>
                      </w:rPr>
                    </w:pPr>
                  </w:p>
                </w:tc>
                <w:tc>
                  <w:tcPr>
                    <w:tcW w:w="1701" w:type="dxa"/>
                    <w:shd w:val="clear" w:color="auto" w:fill="auto"/>
                    <w:noWrap/>
                    <w:vAlign w:val="center"/>
                  </w:tcPr>
                  <w:p>
                    <w:pPr>
                      <w:ind w:firstLine="67"/>
                      <w:rPr>
                        <w:sz w:val="20"/>
                        <w:lang w:eastAsia="lt-LT"/>
                      </w:rPr>
                    </w:pPr>
                  </w:p>
                </w:tc>
                <w:tc>
                  <w:tcPr>
                    <w:tcW w:w="1451" w:type="dxa"/>
                    <w:shd w:val="clear" w:color="auto" w:fill="auto"/>
                    <w:noWrap/>
                    <w:vAlign w:val="center"/>
                  </w:tcPr>
                  <w:p>
                    <w:pPr>
                      <w:ind w:firstLine="67"/>
                      <w:rPr>
                        <w:sz w:val="20"/>
                        <w:lang w:eastAsia="lt-LT"/>
                      </w:rPr>
                    </w:pPr>
                  </w:p>
                </w:tc>
              </w:tr>
              <w:tr>
                <w:trPr>
                  <w:trHeight w:val="315"/>
                </w:trPr>
                <w:tc>
                  <w:tcPr>
                    <w:tcW w:w="850" w:type="dxa"/>
                    <w:shd w:val="clear" w:color="auto" w:fill="auto"/>
                    <w:noWrap/>
                    <w:vAlign w:val="center"/>
                  </w:tcPr>
                  <w:p>
                    <w:pPr>
                      <w:jc w:val="center"/>
                      <w:rPr>
                        <w:b/>
                        <w:sz w:val="20"/>
                        <w:lang w:eastAsia="lt-LT"/>
                      </w:rPr>
                    </w:pPr>
                    <w:r>
                      <w:rPr>
                        <w:b/>
                        <w:sz w:val="20"/>
                        <w:lang w:eastAsia="lt-LT"/>
                      </w:rPr>
                      <w:t>6.</w:t>
                    </w:r>
                  </w:p>
                </w:tc>
                <w:tc>
                  <w:tcPr>
                    <w:tcW w:w="4938" w:type="dxa"/>
                    <w:shd w:val="clear" w:color="auto" w:fill="auto"/>
                    <w:noWrap/>
                    <w:vAlign w:val="center"/>
                  </w:tcPr>
                  <w:p>
                    <w:pPr>
                      <w:rPr>
                        <w:b/>
                        <w:sz w:val="20"/>
                        <w:lang w:eastAsia="lt-LT"/>
                      </w:rPr>
                    </w:pPr>
                    <w:r>
                      <w:rPr>
                        <w:b/>
                        <w:sz w:val="20"/>
                        <w:lang w:eastAsia="lt-LT"/>
                      </w:rPr>
                      <w:t>NUOSAVYBĖS METODO ĮTAKA</w:t>
                    </w:r>
                  </w:p>
                </w:tc>
                <w:tc>
                  <w:tcPr>
                    <w:tcW w:w="1123" w:type="dxa"/>
                    <w:shd w:val="clear" w:color="auto" w:fill="auto"/>
                    <w:noWrap/>
                    <w:vAlign w:val="center"/>
                  </w:tcPr>
                  <w:p>
                    <w:pPr>
                      <w:ind w:firstLine="67"/>
                      <w:rPr>
                        <w:b/>
                        <w:bCs/>
                        <w:sz w:val="20"/>
                        <w:lang w:eastAsia="lt-LT"/>
                      </w:rPr>
                    </w:pPr>
                  </w:p>
                </w:tc>
                <w:tc>
                  <w:tcPr>
                    <w:tcW w:w="1701" w:type="dxa"/>
                    <w:shd w:val="clear" w:color="auto" w:fill="auto"/>
                    <w:noWrap/>
                    <w:vAlign w:val="center"/>
                  </w:tcPr>
                  <w:p>
                    <w:pPr>
                      <w:ind w:firstLine="67"/>
                      <w:rPr>
                        <w:b/>
                        <w:bCs/>
                        <w:sz w:val="20"/>
                        <w:lang w:eastAsia="lt-LT"/>
                      </w:rPr>
                    </w:pPr>
                  </w:p>
                </w:tc>
                <w:tc>
                  <w:tcPr>
                    <w:tcW w:w="1451" w:type="dxa"/>
                    <w:shd w:val="clear" w:color="auto" w:fill="auto"/>
                    <w:noWrap/>
                    <w:vAlign w:val="center"/>
                  </w:tcPr>
                  <w:p>
                    <w:pPr>
                      <w:ind w:firstLine="67"/>
                      <w:rPr>
                        <w:b/>
                        <w:bCs/>
                        <w:sz w:val="20"/>
                        <w:lang w:eastAsia="lt-LT"/>
                      </w:rPr>
                    </w:pPr>
                  </w:p>
                </w:tc>
              </w:tr>
              <w:tr>
                <w:trPr>
                  <w:trHeight w:val="315"/>
                </w:trPr>
                <w:tc>
                  <w:tcPr>
                    <w:tcW w:w="850" w:type="dxa"/>
                    <w:shd w:val="clear" w:color="auto" w:fill="auto"/>
                    <w:noWrap/>
                    <w:vAlign w:val="center"/>
                  </w:tcPr>
                  <w:p>
                    <w:pPr>
                      <w:jc w:val="center"/>
                      <w:rPr>
                        <w:b/>
                        <w:bCs/>
                        <w:sz w:val="20"/>
                        <w:lang w:eastAsia="lt-LT"/>
                      </w:rPr>
                    </w:pPr>
                    <w:r>
                      <w:rPr>
                        <w:b/>
                        <w:bCs/>
                        <w:sz w:val="20"/>
                        <w:lang w:eastAsia="lt-LT"/>
                      </w:rPr>
                      <w:t>7.</w:t>
                    </w:r>
                  </w:p>
                </w:tc>
                <w:tc>
                  <w:tcPr>
                    <w:tcW w:w="4938" w:type="dxa"/>
                    <w:shd w:val="clear" w:color="auto" w:fill="auto"/>
                    <w:noWrap/>
                    <w:vAlign w:val="center"/>
                  </w:tcPr>
                  <w:p>
                    <w:pPr>
                      <w:rPr>
                        <w:b/>
                        <w:bCs/>
                        <w:sz w:val="20"/>
                        <w:lang w:eastAsia="lt-LT"/>
                      </w:rPr>
                    </w:pPr>
                    <w:r>
                      <w:rPr>
                        <w:b/>
                        <w:bCs/>
                        <w:sz w:val="20"/>
                        <w:lang w:eastAsia="lt-LT"/>
                      </w:rPr>
                      <w:t>GRYNASIS PERVIRŠIS AR DEFICITAS</w:t>
                    </w:r>
                  </w:p>
                </w:tc>
                <w:tc>
                  <w:tcPr>
                    <w:tcW w:w="1123" w:type="dxa"/>
                    <w:shd w:val="clear" w:color="auto" w:fill="auto"/>
                    <w:noWrap/>
                    <w:vAlign w:val="center"/>
                  </w:tcPr>
                  <w:p>
                    <w:pPr>
                      <w:ind w:firstLine="67"/>
                      <w:rPr>
                        <w:b/>
                        <w:bCs/>
                        <w:sz w:val="20"/>
                        <w:lang w:eastAsia="lt-LT"/>
                      </w:rPr>
                    </w:pPr>
                  </w:p>
                </w:tc>
                <w:tc>
                  <w:tcPr>
                    <w:tcW w:w="1701" w:type="dxa"/>
                    <w:shd w:val="clear" w:color="auto" w:fill="auto"/>
                    <w:noWrap/>
                    <w:vAlign w:val="center"/>
                  </w:tcPr>
                  <w:p>
                    <w:pPr>
                      <w:ind w:firstLine="67"/>
                      <w:rPr>
                        <w:b/>
                        <w:bCs/>
                        <w:sz w:val="20"/>
                        <w:lang w:eastAsia="lt-LT"/>
                      </w:rPr>
                    </w:pPr>
                  </w:p>
                </w:tc>
                <w:tc>
                  <w:tcPr>
                    <w:tcW w:w="1451" w:type="dxa"/>
                    <w:shd w:val="clear" w:color="auto" w:fill="auto"/>
                    <w:noWrap/>
                    <w:vAlign w:val="center"/>
                  </w:tcPr>
                  <w:p>
                    <w:pPr>
                      <w:ind w:firstLine="67"/>
                      <w:rPr>
                        <w:b/>
                        <w:bCs/>
                        <w:sz w:val="20"/>
                        <w:lang w:eastAsia="lt-LT"/>
                      </w:rPr>
                    </w:pPr>
                  </w:p>
                </w:tc>
              </w:tr>
            </w:tbl>
            <w:p>
              <w:pPr>
                <w:jc w:val="both"/>
                <w:rPr>
                  <w:bCs/>
                  <w:szCs w:val="24"/>
                  <w:lang w:eastAsia="lt-LT"/>
                </w:rPr>
              </w:pPr>
              <w:r>
                <w:rPr>
                  <w:b/>
                  <w:szCs w:val="24"/>
                  <w:lang w:eastAsia="lt-LT"/>
                </w:rPr>
                <w:t>Pastaba</w:t>
              </w:r>
              <w:r>
                <w:rPr>
                  <w:bCs/>
                  <w:szCs w:val="24"/>
                  <w:lang w:eastAsia="lt-LT"/>
                </w:rPr>
                <w:t xml:space="preserve">. Forma pildoma rengiant viešojo sektoriaus subjektų, išskyrus išteklių fondus, mokesčių fondus ir fondų fondus, veiklos rezultatų ataskaitą. </w:t>
              </w:r>
            </w:p>
            <w:p>
              <w:pPr>
                <w:jc w:val="center"/>
                <w:rPr>
                  <w:szCs w:val="24"/>
                  <w:lang w:eastAsia="lt-LT"/>
                </w:rPr>
              </w:pPr>
            </w:p>
            <w:p>
              <w:pPr>
                <w:jc w:val="center"/>
              </w:pPr>
              <w:r>
                <w:t>______________________________________</w:t>
              </w:r>
            </w:p>
            <w:p>
              <w:pPr>
                <w:jc w:val="center"/>
              </w:pPr>
            </w:p>
            <w:p>
              <w:pPr>
                <w:spacing w:line="276" w:lineRule="auto"/>
              </w:pPr>
              <w:r>
                <w:br w:type="page"/>
              </w:r>
            </w:p>
            <w:p>
              <w:pPr>
                <w:rPr>
                  <w:sz w:val="18"/>
                  <w:szCs w:val="18"/>
                </w:rPr>
              </w:pPr>
            </w:p>
          </w:sdtContent>
        </w:sdt>
      </w:sdtContent>
    </w:sdt>
    <w:sdt>
      <w:sdtPr>
        <w:alias w:val="2 pr."/>
        <w:tag w:val="part_ca35c838653e4b88a4922493732a798f"/>
        <w:lock w:val="sdtLocked"/>
        <w:richText/>
      </w:sdtPr>
      <w:sdtContent>
        <w:p>
          <w:pPr>
            <w:ind w:left="4535"/>
            <w:rPr>
              <w:szCs w:val="24"/>
              <w:lang w:eastAsia="lt-LT"/>
            </w:rPr>
          </w:pPr>
          <w:r>
            <w:rPr>
              <w:szCs w:val="24"/>
              <w:lang w:eastAsia="lt-LT"/>
            </w:rPr>
            <w:t xml:space="preserve">3-iojo </w:t>
          </w:r>
          <w:r>
            <w:rPr>
              <w:szCs w:val="24"/>
            </w:rPr>
            <w:t xml:space="preserve">viešojo sektoriaus apskaitos ir finansinės atskaitomybės standarto </w:t>
          </w:r>
          <w:r>
            <w:rPr>
              <w:szCs w:val="24"/>
              <w:lang w:eastAsia="lt-LT"/>
            </w:rPr>
            <w:t>„Veiklos rezultatų ataskaita“</w:t>
          </w:r>
        </w:p>
        <w:p>
          <w:pPr>
            <w:tabs>
              <w:tab w:val="left" w:pos="933"/>
              <w:tab w:val="left" w:pos="4149"/>
              <w:tab w:val="left" w:pos="6103"/>
              <w:tab w:val="left" w:pos="7365"/>
              <w:tab w:val="left" w:pos="8901"/>
              <w:tab w:val="left" w:pos="10344"/>
            </w:tabs>
            <w:ind w:left="4535"/>
            <w:rPr>
              <w:szCs w:val="24"/>
              <w:lang w:eastAsia="lt-LT"/>
            </w:rPr>
          </w:pPr>
          <w:sdt>
            <w:sdtPr>
              <w:alias w:val="Numeris"/>
              <w:tag w:val="nr_ca35c838653e4b88a4922493732a798f"/>
              <w:lock w:val="sdtLocked"/>
              <w:richText/>
            </w:sdtPr>
            <w:sdtContent>
              <w:r>
                <w:rPr>
                  <w:szCs w:val="24"/>
                  <w:lang w:eastAsia="lt-LT"/>
                </w:rPr>
                <w:t>2</w:t>
              </w:r>
            </w:sdtContent>
          </w:sdt>
          <w:r>
            <w:rPr>
              <w:szCs w:val="24"/>
              <w:lang w:eastAsia="lt-LT"/>
            </w:rPr>
            <w:t xml:space="preserve"> priedas</w:t>
          </w:r>
        </w:p>
        <w:p>
          <w:pPr>
            <w:tabs>
              <w:tab w:val="left" w:pos="933"/>
              <w:tab w:val="left" w:pos="4149"/>
              <w:tab w:val="left" w:pos="6103"/>
              <w:tab w:val="left" w:pos="7365"/>
              <w:tab w:val="left" w:pos="8901"/>
              <w:tab w:val="left" w:pos="10344"/>
            </w:tabs>
            <w:jc w:val="center"/>
            <w:rPr>
              <w:szCs w:val="24"/>
              <w:lang w:eastAsia="lt-LT"/>
            </w:rPr>
          </w:pPr>
        </w:p>
        <w:p>
          <w:pPr>
            <w:jc w:val="center"/>
            <w:rPr>
              <w:b/>
              <w:bCs/>
              <w:color w:val="000000"/>
              <w:szCs w:val="24"/>
              <w:lang w:eastAsia="lt-LT"/>
            </w:rPr>
          </w:pPr>
          <w:sdt>
            <w:sdtPr>
              <w:alias w:val="Pavadinimas"/>
              <w:tag w:val="title_ca35c838653e4b88a4922493732a798f"/>
              <w:lock w:val="sdtLocked"/>
              <w:richText/>
            </w:sdtPr>
            <w:sdtContent>
              <w:r>
                <w:rPr>
                  <w:b/>
                  <w:bCs/>
                  <w:szCs w:val="24"/>
                  <w:lang w:eastAsia="lt-LT"/>
                </w:rPr>
                <w:t xml:space="preserve">(Veiklos rezultatų ataskaitos forma) </w:t>
              </w:r>
            </w:sdtContent>
          </w:sdt>
        </w:p>
        <w:p>
          <w:pPr>
            <w:jc w:val="center"/>
            <w:rPr>
              <w:szCs w:val="24"/>
              <w:lang w:eastAsia="lt-LT"/>
            </w:rPr>
          </w:pPr>
        </w:p>
        <w:p>
          <w:pPr>
            <w:tabs>
              <w:tab w:val="left" w:leader="underscore" w:pos="8901"/>
            </w:tabs>
            <w:jc w:val="center"/>
            <w:rPr>
              <w:szCs w:val="24"/>
              <w:lang w:eastAsia="lt-LT"/>
            </w:rPr>
          </w:pPr>
          <w:r>
            <w:rPr>
              <w:szCs w:val="24"/>
              <w:lang w:eastAsia="lt-LT"/>
            </w:rPr>
            <w:tab/>
          </w:r>
        </w:p>
        <w:p>
          <w:pPr>
            <w:jc w:val="center"/>
            <w:rPr>
              <w:szCs w:val="24"/>
              <w:lang w:eastAsia="lt-LT"/>
            </w:rPr>
          </w:pPr>
          <w:r>
            <w:rPr>
              <w:szCs w:val="24"/>
              <w:lang w:eastAsia="lt-LT"/>
            </w:rPr>
            <w:t>(viešojo sektoriaus subjekto pavadinimas)</w:t>
          </w:r>
        </w:p>
        <w:p>
          <w:pPr>
            <w:tabs>
              <w:tab w:val="left" w:leader="underscore" w:pos="8901"/>
            </w:tabs>
            <w:jc w:val="center"/>
            <w:rPr>
              <w:szCs w:val="24"/>
              <w:lang w:eastAsia="lt-LT"/>
            </w:rPr>
          </w:pPr>
          <w:r>
            <w:rPr>
              <w:szCs w:val="24"/>
              <w:lang w:eastAsia="lt-LT"/>
            </w:rPr>
            <w:tab/>
          </w:r>
        </w:p>
        <w:p>
          <w:pPr>
            <w:jc w:val="center"/>
            <w:rPr>
              <w:szCs w:val="24"/>
              <w:lang w:eastAsia="lt-LT"/>
            </w:rPr>
          </w:pPr>
          <w:r>
            <w:rPr>
              <w:szCs w:val="24"/>
              <w:lang w:eastAsia="lt-LT"/>
            </w:rPr>
            <w:t>(viešojo sektoriaus subjekto, parengusio finansinės būklės ataskaitą, kodas, adresas)</w:t>
          </w:r>
        </w:p>
        <w:p>
          <w:pPr>
            <w:jc w:val="center"/>
            <w:rPr>
              <w:szCs w:val="24"/>
              <w:lang w:eastAsia="lt-LT"/>
            </w:rPr>
          </w:pPr>
        </w:p>
        <w:sdt>
          <w:sdtPr>
            <w:alias w:val="skirsnis"/>
            <w:tag w:val="part_fa701f962239466a9b2a94f0e5dde7cb"/>
            <w:lock w:val="sdtLocked"/>
            <w:richText/>
          </w:sdtPr>
          <w:sdtContent>
            <w:sdt>
              <w:sdtPr>
                <w:alias w:val="Pavadinimas"/>
                <w:tag w:val="title_fa701f962239466a9b2a94f0e5dde7cb"/>
                <w:lock w:val="sdtLocked"/>
                <w:richText/>
              </w:sdtPr>
              <w:sdtContent>
                <w:p>
                  <w:pPr>
                    <w:jc w:val="center"/>
                    <w:rPr>
                      <w:b/>
                      <w:bCs/>
                      <w:szCs w:val="24"/>
                      <w:lang w:eastAsia="lt-LT"/>
                    </w:rPr>
                  </w:pPr>
                  <w:r>
                    <w:rPr>
                      <w:b/>
                      <w:bCs/>
                      <w:szCs w:val="24"/>
                      <w:lang w:eastAsia="lt-LT"/>
                    </w:rPr>
                    <w:t>VEIKLOS REZULTATŲ ATASKAITA</w:t>
                  </w:r>
                </w:p>
                <w:p>
                  <w:pPr>
                    <w:jc w:val="center"/>
                    <w:rPr>
                      <w:b/>
                      <w:bCs/>
                      <w:szCs w:val="24"/>
                      <w:lang w:eastAsia="lt-LT"/>
                    </w:rPr>
                  </w:pPr>
                  <w:r>
                    <w:rPr>
                      <w:b/>
                      <w:bCs/>
                      <w:szCs w:val="24"/>
                      <w:lang w:eastAsia="lt-LT"/>
                    </w:rPr>
                    <w:t>PAGAL 20___M._________D. DUOMENIS</w:t>
                  </w:r>
                </w:p>
              </w:sdtContent>
            </w:sdt>
            <w:p>
              <w:pPr>
                <w:tabs>
                  <w:tab w:val="left" w:pos="933"/>
                  <w:tab w:val="left" w:pos="4149"/>
                  <w:tab w:val="left" w:pos="6103"/>
                  <w:tab w:val="left" w:pos="7365"/>
                  <w:tab w:val="left" w:pos="8901"/>
                  <w:tab w:val="left" w:pos="10344"/>
                </w:tabs>
                <w:jc w:val="center"/>
                <w:rPr>
                  <w:szCs w:val="24"/>
                  <w:lang w:eastAsia="lt-LT"/>
                </w:rPr>
              </w:pPr>
            </w:p>
            <w:p>
              <w:pPr>
                <w:jc w:val="center"/>
                <w:rPr>
                  <w:szCs w:val="24"/>
                  <w:lang w:eastAsia="lt-LT"/>
                </w:rPr>
              </w:pPr>
              <w:r>
                <w:rPr>
                  <w:szCs w:val="24"/>
                  <w:lang w:eastAsia="lt-LT"/>
                </w:rPr>
                <w:t>_________________________Nr._____</w:t>
              </w:r>
            </w:p>
            <w:p>
              <w:pPr>
                <w:jc w:val="center"/>
                <w:rPr>
                  <w:szCs w:val="24"/>
                  <w:lang w:eastAsia="lt-LT"/>
                </w:rPr>
              </w:pPr>
              <w:r>
                <w:rPr>
                  <w:szCs w:val="24"/>
                  <w:lang w:eastAsia="lt-LT"/>
                </w:rPr>
                <w:t>(data)</w:t>
              </w:r>
            </w:p>
            <w:p>
              <w:pPr>
                <w:jc w:val="center"/>
                <w:rPr>
                  <w:szCs w:val="24"/>
                  <w:lang w:eastAsia="lt-LT"/>
                </w:rPr>
              </w:pPr>
            </w:p>
            <w:p>
              <w:pPr>
                <w:jc w:val="right"/>
                <w:rPr>
                  <w:i/>
                  <w:iCs/>
                  <w:szCs w:val="24"/>
                  <w:lang w:eastAsia="lt-LT"/>
                </w:rPr>
              </w:pPr>
              <w:r>
                <w:rPr>
                  <w:i/>
                  <w:iCs/>
                  <w:szCs w:val="24"/>
                  <w:lang w:eastAsia="lt-LT"/>
                </w:rPr>
                <w:t>Pateikimo valiuta ir tikslumas: eurais arba tūkstančiais eurų</w:t>
              </w:r>
            </w:p>
            <w:tbl>
              <w:tblPr>
                <w:tblW w:w="9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4542"/>
                <w:gridCol w:w="1134"/>
                <w:gridCol w:w="1559"/>
                <w:gridCol w:w="1405"/>
              </w:tblGrid>
              <w:tr>
                <w:trPr>
                  <w:trHeight w:val="1002"/>
                  <w:tblHeader/>
                </w:trPr>
                <w:tc>
                  <w:tcPr>
                    <w:tcW w:w="840" w:type="dxa"/>
                    <w:shd w:val="clear" w:color="auto" w:fill="auto"/>
                    <w:vAlign w:val="center"/>
                  </w:tcPr>
                  <w:p>
                    <w:pPr>
                      <w:jc w:val="center"/>
                      <w:rPr>
                        <w:b/>
                        <w:bCs/>
                        <w:sz w:val="20"/>
                        <w:lang w:eastAsia="lt-LT"/>
                      </w:rPr>
                    </w:pPr>
                    <w:r>
                      <w:rPr>
                        <w:b/>
                        <w:bCs/>
                        <w:sz w:val="20"/>
                        <w:lang w:eastAsia="lt-LT"/>
                      </w:rPr>
                      <w:t>Eil. Nr.</w:t>
                    </w:r>
                  </w:p>
                </w:tc>
                <w:tc>
                  <w:tcPr>
                    <w:tcW w:w="4542" w:type="dxa"/>
                    <w:shd w:val="clear" w:color="auto" w:fill="auto"/>
                    <w:vAlign w:val="center"/>
                  </w:tcPr>
                  <w:p>
                    <w:pPr>
                      <w:jc w:val="center"/>
                      <w:rPr>
                        <w:b/>
                        <w:bCs/>
                        <w:sz w:val="20"/>
                        <w:lang w:eastAsia="lt-LT"/>
                      </w:rPr>
                    </w:pPr>
                    <w:r>
                      <w:rPr>
                        <w:b/>
                        <w:bCs/>
                        <w:sz w:val="20"/>
                        <w:lang w:eastAsia="lt-LT"/>
                      </w:rPr>
                      <w:t>Straipsniai</w:t>
                    </w:r>
                  </w:p>
                </w:tc>
                <w:tc>
                  <w:tcPr>
                    <w:tcW w:w="1134" w:type="dxa"/>
                    <w:shd w:val="clear" w:color="auto" w:fill="auto"/>
                    <w:vAlign w:val="center"/>
                  </w:tcPr>
                  <w:p>
                    <w:pPr>
                      <w:jc w:val="center"/>
                      <w:rPr>
                        <w:b/>
                        <w:bCs/>
                        <w:sz w:val="20"/>
                        <w:lang w:eastAsia="lt-LT"/>
                      </w:rPr>
                    </w:pPr>
                    <w:r>
                      <w:rPr>
                        <w:b/>
                        <w:bCs/>
                        <w:sz w:val="20"/>
                        <w:lang w:eastAsia="lt-LT"/>
                      </w:rPr>
                      <w:t>Pastabos Nr.</w:t>
                    </w:r>
                  </w:p>
                </w:tc>
                <w:tc>
                  <w:tcPr>
                    <w:tcW w:w="1559" w:type="dxa"/>
                    <w:shd w:val="clear" w:color="auto" w:fill="auto"/>
                    <w:vAlign w:val="center"/>
                  </w:tcPr>
                  <w:p>
                    <w:pPr>
                      <w:jc w:val="center"/>
                      <w:rPr>
                        <w:b/>
                        <w:bCs/>
                        <w:sz w:val="20"/>
                        <w:lang w:eastAsia="lt-LT"/>
                      </w:rPr>
                    </w:pPr>
                    <w:r>
                      <w:rPr>
                        <w:b/>
                        <w:bCs/>
                        <w:sz w:val="20"/>
                        <w:lang w:eastAsia="lt-LT"/>
                      </w:rPr>
                      <w:t>Ataskaitinis laikotarpis</w:t>
                    </w:r>
                  </w:p>
                </w:tc>
                <w:tc>
                  <w:tcPr>
                    <w:tcW w:w="1405" w:type="dxa"/>
                    <w:shd w:val="clear" w:color="auto" w:fill="auto"/>
                    <w:vAlign w:val="center"/>
                  </w:tcPr>
                  <w:p>
                    <w:pPr>
                      <w:jc w:val="center"/>
                      <w:rPr>
                        <w:b/>
                        <w:bCs/>
                        <w:sz w:val="20"/>
                        <w:lang w:eastAsia="lt-LT"/>
                      </w:rPr>
                    </w:pPr>
                    <w:r>
                      <w:rPr>
                        <w:b/>
                        <w:bCs/>
                        <w:sz w:val="20"/>
                        <w:lang w:eastAsia="lt-LT"/>
                      </w:rPr>
                      <w:t>Praėjęs ataskaitinis laikotarpis</w:t>
                    </w:r>
                  </w:p>
                </w:tc>
              </w:tr>
              <w:tr>
                <w:trPr>
                  <w:trHeight w:val="70"/>
                  <w:tblHeader/>
                </w:trPr>
                <w:tc>
                  <w:tcPr>
                    <w:tcW w:w="840" w:type="dxa"/>
                    <w:shd w:val="clear" w:color="auto" w:fill="auto"/>
                    <w:vAlign w:val="center"/>
                  </w:tcPr>
                  <w:p>
                    <w:pPr>
                      <w:jc w:val="center"/>
                      <w:rPr>
                        <w:sz w:val="20"/>
                        <w:lang w:eastAsia="lt-LT"/>
                      </w:rPr>
                    </w:pPr>
                    <w:r>
                      <w:rPr>
                        <w:sz w:val="20"/>
                        <w:lang w:eastAsia="lt-LT"/>
                      </w:rPr>
                      <w:t>1</w:t>
                    </w:r>
                  </w:p>
                </w:tc>
                <w:tc>
                  <w:tcPr>
                    <w:tcW w:w="4542" w:type="dxa"/>
                    <w:shd w:val="clear" w:color="auto" w:fill="auto"/>
                    <w:vAlign w:val="center"/>
                  </w:tcPr>
                  <w:p>
                    <w:pPr>
                      <w:jc w:val="center"/>
                      <w:rPr>
                        <w:sz w:val="20"/>
                        <w:lang w:eastAsia="lt-LT"/>
                      </w:rPr>
                    </w:pPr>
                    <w:r>
                      <w:rPr>
                        <w:sz w:val="20"/>
                        <w:lang w:eastAsia="lt-LT"/>
                      </w:rPr>
                      <w:t>2</w:t>
                    </w:r>
                  </w:p>
                </w:tc>
                <w:tc>
                  <w:tcPr>
                    <w:tcW w:w="1134" w:type="dxa"/>
                    <w:shd w:val="clear" w:color="auto" w:fill="auto"/>
                    <w:vAlign w:val="center"/>
                  </w:tcPr>
                  <w:p>
                    <w:pPr>
                      <w:jc w:val="center"/>
                      <w:rPr>
                        <w:sz w:val="20"/>
                        <w:lang w:eastAsia="lt-LT"/>
                      </w:rPr>
                    </w:pPr>
                    <w:r>
                      <w:rPr>
                        <w:sz w:val="20"/>
                        <w:lang w:eastAsia="lt-LT"/>
                      </w:rPr>
                      <w:t>3</w:t>
                    </w:r>
                  </w:p>
                </w:tc>
                <w:tc>
                  <w:tcPr>
                    <w:tcW w:w="1559" w:type="dxa"/>
                    <w:shd w:val="clear" w:color="auto" w:fill="auto"/>
                    <w:vAlign w:val="center"/>
                  </w:tcPr>
                  <w:p>
                    <w:pPr>
                      <w:jc w:val="center"/>
                      <w:rPr>
                        <w:sz w:val="20"/>
                        <w:lang w:eastAsia="lt-LT"/>
                      </w:rPr>
                    </w:pPr>
                    <w:r>
                      <w:rPr>
                        <w:sz w:val="20"/>
                        <w:lang w:eastAsia="lt-LT"/>
                      </w:rPr>
                      <w:t>4</w:t>
                    </w:r>
                  </w:p>
                </w:tc>
                <w:tc>
                  <w:tcPr>
                    <w:tcW w:w="1405" w:type="dxa"/>
                    <w:shd w:val="clear" w:color="auto" w:fill="auto"/>
                    <w:vAlign w:val="center"/>
                  </w:tcPr>
                  <w:p>
                    <w:pPr>
                      <w:jc w:val="center"/>
                      <w:rPr>
                        <w:sz w:val="20"/>
                        <w:lang w:eastAsia="lt-LT"/>
                      </w:rPr>
                    </w:pPr>
                    <w:r>
                      <w:rPr>
                        <w:sz w:val="20"/>
                        <w:lang w:eastAsia="lt-LT"/>
                      </w:rPr>
                      <w:t>5</w:t>
                    </w:r>
                  </w:p>
                </w:tc>
              </w:tr>
              <w:tr>
                <w:trPr>
                  <w:trHeight w:val="315"/>
                </w:trPr>
                <w:tc>
                  <w:tcPr>
                    <w:tcW w:w="840" w:type="dxa"/>
                    <w:shd w:val="clear" w:color="auto" w:fill="auto"/>
                    <w:vAlign w:val="center"/>
                  </w:tcPr>
                  <w:p>
                    <w:pPr>
                      <w:jc w:val="center"/>
                      <w:rPr>
                        <w:b/>
                        <w:bCs/>
                        <w:sz w:val="20"/>
                        <w:lang w:eastAsia="lt-LT"/>
                      </w:rPr>
                    </w:pPr>
                    <w:r>
                      <w:rPr>
                        <w:b/>
                        <w:bCs/>
                        <w:sz w:val="20"/>
                        <w:lang w:eastAsia="lt-LT"/>
                      </w:rPr>
                      <w:t>1.</w:t>
                    </w:r>
                  </w:p>
                </w:tc>
                <w:tc>
                  <w:tcPr>
                    <w:tcW w:w="4542" w:type="dxa"/>
                    <w:shd w:val="clear" w:color="auto" w:fill="auto"/>
                    <w:vAlign w:val="center"/>
                  </w:tcPr>
                  <w:p>
                    <w:pPr>
                      <w:rPr>
                        <w:b/>
                        <w:bCs/>
                        <w:sz w:val="20"/>
                        <w:lang w:eastAsia="lt-LT"/>
                      </w:rPr>
                    </w:pPr>
                    <w:r>
                      <w:rPr>
                        <w:b/>
                        <w:bCs/>
                        <w:sz w:val="20"/>
                        <w:lang w:eastAsia="lt-LT"/>
                      </w:rPr>
                      <w:t>PAJAMOS</w:t>
                    </w:r>
                  </w:p>
                </w:tc>
                <w:tc>
                  <w:tcPr>
                    <w:tcW w:w="1134" w:type="dxa"/>
                    <w:shd w:val="clear" w:color="auto" w:fill="auto"/>
                    <w:noWrap/>
                    <w:vAlign w:val="center"/>
                  </w:tcPr>
                  <w:p>
                    <w:pPr>
                      <w:ind w:firstLine="60"/>
                      <w:rPr>
                        <w:b/>
                        <w:bCs/>
                        <w:sz w:val="20"/>
                        <w:lang w:eastAsia="lt-LT"/>
                      </w:rPr>
                    </w:pPr>
                  </w:p>
                </w:tc>
                <w:tc>
                  <w:tcPr>
                    <w:tcW w:w="1559" w:type="dxa"/>
                    <w:shd w:val="clear" w:color="auto" w:fill="auto"/>
                    <w:noWrap/>
                    <w:vAlign w:val="center"/>
                  </w:tcPr>
                  <w:p>
                    <w:pPr>
                      <w:ind w:firstLine="60"/>
                      <w:rPr>
                        <w:b/>
                        <w:bCs/>
                        <w:sz w:val="20"/>
                        <w:lang w:eastAsia="lt-LT"/>
                      </w:rPr>
                    </w:pPr>
                  </w:p>
                </w:tc>
                <w:tc>
                  <w:tcPr>
                    <w:tcW w:w="1405" w:type="dxa"/>
                    <w:shd w:val="clear" w:color="auto" w:fill="auto"/>
                    <w:vAlign w:val="center"/>
                  </w:tcPr>
                  <w:p>
                    <w:pPr>
                      <w:ind w:firstLine="60"/>
                      <w:rPr>
                        <w:b/>
                        <w:bCs/>
                        <w:sz w:val="20"/>
                        <w:lang w:eastAsia="lt-LT"/>
                      </w:rPr>
                    </w:pPr>
                  </w:p>
                </w:tc>
              </w:tr>
              <w:tr>
                <w:trPr>
                  <w:trHeight w:val="315"/>
                </w:trPr>
                <w:tc>
                  <w:tcPr>
                    <w:tcW w:w="840" w:type="dxa"/>
                    <w:shd w:val="clear" w:color="auto" w:fill="auto"/>
                    <w:vAlign w:val="center"/>
                  </w:tcPr>
                  <w:p>
                    <w:pPr>
                      <w:jc w:val="center"/>
                      <w:rPr>
                        <w:sz w:val="20"/>
                        <w:lang w:eastAsia="lt-LT"/>
                      </w:rPr>
                    </w:pPr>
                    <w:r>
                      <w:rPr>
                        <w:sz w:val="20"/>
                        <w:lang w:eastAsia="lt-LT"/>
                      </w:rPr>
                      <w:t>1.1.</w:t>
                    </w:r>
                  </w:p>
                </w:tc>
                <w:tc>
                  <w:tcPr>
                    <w:tcW w:w="4542" w:type="dxa"/>
                    <w:shd w:val="clear" w:color="auto" w:fill="auto"/>
                    <w:vAlign w:val="center"/>
                  </w:tcPr>
                  <w:p>
                    <w:pPr>
                      <w:rPr>
                        <w:sz w:val="20"/>
                        <w:lang w:eastAsia="lt-LT"/>
                      </w:rPr>
                    </w:pPr>
                    <w:r>
                      <w:rPr>
                        <w:sz w:val="20"/>
                        <w:lang w:eastAsia="lt-LT"/>
                      </w:rPr>
                      <w:t>FINANSAVIMO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405" w:type="dxa"/>
                    <w:shd w:val="clear" w:color="auto" w:fill="auto"/>
                    <w:vAlign w:val="center"/>
                  </w:tcPr>
                  <w:p>
                    <w:pPr>
                      <w:ind w:firstLine="60"/>
                      <w:rPr>
                        <w:b/>
                        <w:bCs/>
                        <w:sz w:val="20"/>
                        <w:lang w:eastAsia="lt-LT"/>
                      </w:rPr>
                    </w:pPr>
                  </w:p>
                </w:tc>
              </w:tr>
              <w:tr>
                <w:trPr>
                  <w:trHeight w:val="315"/>
                </w:trPr>
                <w:tc>
                  <w:tcPr>
                    <w:tcW w:w="840" w:type="dxa"/>
                    <w:shd w:val="clear" w:color="auto" w:fill="auto"/>
                    <w:vAlign w:val="center"/>
                  </w:tcPr>
                  <w:p>
                    <w:pPr>
                      <w:jc w:val="center"/>
                      <w:rPr>
                        <w:sz w:val="20"/>
                        <w:lang w:eastAsia="lt-LT"/>
                      </w:rPr>
                    </w:pPr>
                    <w:r>
                      <w:rPr>
                        <w:sz w:val="20"/>
                        <w:lang w:eastAsia="lt-LT"/>
                      </w:rPr>
                      <w:t>1.1.1.</w:t>
                    </w:r>
                  </w:p>
                </w:tc>
                <w:tc>
                  <w:tcPr>
                    <w:tcW w:w="4542" w:type="dxa"/>
                    <w:shd w:val="clear" w:color="auto" w:fill="auto"/>
                    <w:vAlign w:val="center"/>
                  </w:tcPr>
                  <w:p>
                    <w:pPr>
                      <w:ind w:left="154"/>
                      <w:rPr>
                        <w:sz w:val="20"/>
                        <w:lang w:eastAsia="lt-LT"/>
                      </w:rPr>
                    </w:pPr>
                    <w:r>
                      <w:rPr>
                        <w:sz w:val="20"/>
                        <w:lang w:eastAsia="lt-LT"/>
                      </w:rPr>
                      <w:t xml:space="preserve">Iš valstybės biudžeto </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405" w:type="dxa"/>
                    <w:shd w:val="clear" w:color="auto" w:fill="auto"/>
                    <w:vAlign w:val="center"/>
                  </w:tcPr>
                  <w:p>
                    <w:pPr>
                      <w:ind w:firstLine="60"/>
                      <w:rPr>
                        <w:b/>
                        <w:bCs/>
                        <w:sz w:val="20"/>
                        <w:lang w:eastAsia="lt-LT"/>
                      </w:rPr>
                    </w:pPr>
                  </w:p>
                </w:tc>
              </w:tr>
              <w:tr>
                <w:trPr>
                  <w:trHeight w:val="315"/>
                </w:trPr>
                <w:tc>
                  <w:tcPr>
                    <w:tcW w:w="840" w:type="dxa"/>
                    <w:shd w:val="clear" w:color="auto" w:fill="auto"/>
                    <w:vAlign w:val="center"/>
                  </w:tcPr>
                  <w:p>
                    <w:pPr>
                      <w:jc w:val="center"/>
                      <w:rPr>
                        <w:sz w:val="20"/>
                        <w:lang w:eastAsia="lt-LT"/>
                      </w:rPr>
                    </w:pPr>
                    <w:r>
                      <w:rPr>
                        <w:sz w:val="20"/>
                        <w:lang w:eastAsia="lt-LT"/>
                      </w:rPr>
                      <w:t>1.1.2.</w:t>
                    </w:r>
                  </w:p>
                </w:tc>
                <w:tc>
                  <w:tcPr>
                    <w:tcW w:w="4542" w:type="dxa"/>
                    <w:shd w:val="clear" w:color="auto" w:fill="auto"/>
                    <w:vAlign w:val="center"/>
                  </w:tcPr>
                  <w:p>
                    <w:pPr>
                      <w:ind w:left="154"/>
                      <w:rPr>
                        <w:sz w:val="20"/>
                        <w:lang w:eastAsia="lt-LT"/>
                      </w:rPr>
                    </w:pPr>
                    <w:r>
                      <w:rPr>
                        <w:sz w:val="20"/>
                        <w:lang w:eastAsia="lt-LT"/>
                      </w:rPr>
                      <w:t xml:space="preserve">Iš savivaldybės biudžeto </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405" w:type="dxa"/>
                    <w:shd w:val="clear" w:color="auto" w:fill="auto"/>
                    <w:vAlign w:val="center"/>
                  </w:tcPr>
                  <w:p>
                    <w:pPr>
                      <w:ind w:firstLine="60"/>
                      <w:rPr>
                        <w:b/>
                        <w:bCs/>
                        <w:sz w:val="20"/>
                        <w:lang w:eastAsia="lt-LT"/>
                      </w:rPr>
                    </w:pPr>
                  </w:p>
                </w:tc>
              </w:tr>
              <w:tr>
                <w:trPr>
                  <w:trHeight w:val="315"/>
                </w:trPr>
                <w:tc>
                  <w:tcPr>
                    <w:tcW w:w="840" w:type="dxa"/>
                    <w:shd w:val="clear" w:color="auto" w:fill="auto"/>
                    <w:vAlign w:val="center"/>
                  </w:tcPr>
                  <w:p>
                    <w:pPr>
                      <w:jc w:val="center"/>
                      <w:rPr>
                        <w:sz w:val="20"/>
                        <w:lang w:eastAsia="lt-LT"/>
                      </w:rPr>
                    </w:pPr>
                    <w:r>
                      <w:rPr>
                        <w:sz w:val="20"/>
                        <w:lang w:eastAsia="lt-LT"/>
                      </w:rPr>
                      <w:t>1.1.3.</w:t>
                    </w:r>
                  </w:p>
                </w:tc>
                <w:tc>
                  <w:tcPr>
                    <w:tcW w:w="4542" w:type="dxa"/>
                    <w:shd w:val="clear" w:color="auto" w:fill="auto"/>
                    <w:vAlign w:val="center"/>
                  </w:tcPr>
                  <w:p>
                    <w:pPr>
                      <w:ind w:left="154"/>
                      <w:rPr>
                        <w:sz w:val="20"/>
                        <w:lang w:eastAsia="lt-LT"/>
                      </w:rPr>
                    </w:pPr>
                    <w:r>
                      <w:rPr>
                        <w:sz w:val="20"/>
                        <w:lang w:eastAsia="lt-LT"/>
                      </w:rPr>
                      <w:t>Iš Europos Sąjungos, užsienio valstybių ir tarptautinių organizacijų lėšų</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405" w:type="dxa"/>
                    <w:shd w:val="clear" w:color="auto" w:fill="auto"/>
                    <w:vAlign w:val="center"/>
                  </w:tcPr>
                  <w:p>
                    <w:pPr>
                      <w:ind w:firstLine="60"/>
                      <w:rPr>
                        <w:b/>
                        <w:bCs/>
                        <w:sz w:val="20"/>
                        <w:lang w:eastAsia="lt-LT"/>
                      </w:rPr>
                    </w:pPr>
                  </w:p>
                </w:tc>
              </w:tr>
              <w:tr>
                <w:trPr>
                  <w:trHeight w:val="315"/>
                </w:trPr>
                <w:tc>
                  <w:tcPr>
                    <w:tcW w:w="840" w:type="dxa"/>
                    <w:shd w:val="clear" w:color="auto" w:fill="auto"/>
                    <w:vAlign w:val="center"/>
                  </w:tcPr>
                  <w:p>
                    <w:pPr>
                      <w:jc w:val="center"/>
                      <w:rPr>
                        <w:sz w:val="20"/>
                        <w:lang w:eastAsia="lt-LT"/>
                      </w:rPr>
                    </w:pPr>
                    <w:r>
                      <w:rPr>
                        <w:sz w:val="20"/>
                        <w:lang w:eastAsia="lt-LT"/>
                      </w:rPr>
                      <w:t>1.1.4.</w:t>
                    </w:r>
                  </w:p>
                </w:tc>
                <w:tc>
                  <w:tcPr>
                    <w:tcW w:w="4542" w:type="dxa"/>
                    <w:shd w:val="clear" w:color="auto" w:fill="auto"/>
                    <w:vAlign w:val="center"/>
                  </w:tcPr>
                  <w:p>
                    <w:pPr>
                      <w:ind w:left="154"/>
                      <w:rPr>
                        <w:sz w:val="20"/>
                        <w:lang w:eastAsia="lt-LT"/>
                      </w:rPr>
                    </w:pPr>
                    <w:r>
                      <w:rPr>
                        <w:sz w:val="20"/>
                        <w:lang w:eastAsia="lt-LT"/>
                      </w:rPr>
                      <w:t>Iš viešojo sektoriaus subjektų pajamų</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405" w:type="dxa"/>
                    <w:shd w:val="clear" w:color="auto" w:fill="auto"/>
                    <w:vAlign w:val="center"/>
                  </w:tcPr>
                  <w:p>
                    <w:pPr>
                      <w:ind w:firstLine="60"/>
                      <w:rPr>
                        <w:b/>
                        <w:bCs/>
                        <w:sz w:val="20"/>
                        <w:lang w:eastAsia="lt-LT"/>
                      </w:rPr>
                    </w:pPr>
                  </w:p>
                </w:tc>
              </w:tr>
              <w:tr>
                <w:trPr>
                  <w:trHeight w:val="315"/>
                </w:trPr>
                <w:tc>
                  <w:tcPr>
                    <w:tcW w:w="840" w:type="dxa"/>
                    <w:shd w:val="clear" w:color="auto" w:fill="auto"/>
                    <w:vAlign w:val="center"/>
                  </w:tcPr>
                  <w:p>
                    <w:pPr>
                      <w:jc w:val="center"/>
                      <w:rPr>
                        <w:sz w:val="20"/>
                        <w:lang w:eastAsia="lt-LT"/>
                      </w:rPr>
                    </w:pPr>
                    <w:r>
                      <w:rPr>
                        <w:sz w:val="20"/>
                        <w:lang w:eastAsia="lt-LT"/>
                      </w:rPr>
                      <w:t>1.1.5.</w:t>
                    </w:r>
                  </w:p>
                </w:tc>
                <w:tc>
                  <w:tcPr>
                    <w:tcW w:w="4542" w:type="dxa"/>
                    <w:shd w:val="clear" w:color="auto" w:fill="auto"/>
                    <w:vAlign w:val="center"/>
                  </w:tcPr>
                  <w:p>
                    <w:pPr>
                      <w:ind w:left="154"/>
                      <w:rPr>
                        <w:sz w:val="20"/>
                        <w:lang w:eastAsia="lt-LT"/>
                      </w:rPr>
                    </w:pPr>
                    <w:r>
                      <w:rPr>
                        <w:sz w:val="20"/>
                        <w:lang w:eastAsia="lt-LT"/>
                      </w:rPr>
                      <w:t>Iš fizinių ir privačių juridinių asmenų</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405" w:type="dxa"/>
                    <w:shd w:val="clear" w:color="auto" w:fill="auto"/>
                    <w:vAlign w:val="center"/>
                  </w:tcPr>
                  <w:p>
                    <w:pPr>
                      <w:ind w:firstLine="60"/>
                      <w:rPr>
                        <w:b/>
                        <w:bCs/>
                        <w:sz w:val="20"/>
                        <w:lang w:eastAsia="lt-LT"/>
                      </w:rPr>
                    </w:pPr>
                  </w:p>
                </w:tc>
              </w:tr>
              <w:tr>
                <w:trPr>
                  <w:trHeight w:val="315"/>
                </w:trPr>
                <w:tc>
                  <w:tcPr>
                    <w:tcW w:w="840" w:type="dxa"/>
                    <w:shd w:val="clear" w:color="auto" w:fill="auto"/>
                    <w:vAlign w:val="center"/>
                  </w:tcPr>
                  <w:p>
                    <w:pPr>
                      <w:jc w:val="center"/>
                      <w:rPr>
                        <w:sz w:val="20"/>
                        <w:lang w:eastAsia="lt-LT"/>
                      </w:rPr>
                    </w:pPr>
                    <w:r>
                      <w:rPr>
                        <w:sz w:val="20"/>
                        <w:lang w:eastAsia="lt-LT"/>
                      </w:rPr>
                      <w:t>1.2.</w:t>
                    </w:r>
                  </w:p>
                </w:tc>
                <w:tc>
                  <w:tcPr>
                    <w:tcW w:w="4542" w:type="dxa"/>
                    <w:shd w:val="clear" w:color="auto" w:fill="auto"/>
                    <w:vAlign w:val="center"/>
                  </w:tcPr>
                  <w:p>
                    <w:pPr>
                      <w:rPr>
                        <w:sz w:val="20"/>
                        <w:lang w:eastAsia="lt-LT"/>
                      </w:rPr>
                    </w:pPr>
                    <w:r>
                      <w:rPr>
                        <w:sz w:val="20"/>
                        <w:lang w:eastAsia="lt-LT"/>
                      </w:rPr>
                      <w:t>ĮMOKŲ Į FONDUS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405" w:type="dxa"/>
                    <w:shd w:val="clear" w:color="auto" w:fill="auto"/>
                    <w:vAlign w:val="center"/>
                  </w:tcPr>
                  <w:p>
                    <w:pPr>
                      <w:ind w:firstLine="60"/>
                      <w:rPr>
                        <w:b/>
                        <w:bCs/>
                        <w:sz w:val="20"/>
                        <w:lang w:eastAsia="lt-LT"/>
                      </w:rPr>
                    </w:pPr>
                  </w:p>
                </w:tc>
              </w:tr>
              <w:tr>
                <w:trPr>
                  <w:trHeight w:val="31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lang w:eastAsia="lt-LT"/>
                      </w:rPr>
                    </w:pPr>
                    <w:r>
                      <w:rPr>
                        <w:sz w:val="20"/>
                        <w:lang w:eastAsia="lt-LT"/>
                      </w:rPr>
                      <w:t xml:space="preserve">KITOS PAJAMOS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31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1.3.1.</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ind w:left="154"/>
                      <w:rPr>
                        <w:sz w:val="20"/>
                        <w:lang w:eastAsia="lt-LT"/>
                      </w:rPr>
                    </w:pPr>
                    <w:r>
                      <w:rPr>
                        <w:sz w:val="20"/>
                        <w:lang w:eastAsia="lt-LT"/>
                      </w:rPr>
                      <w:t>Rinkliavų pajamos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48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1.3.2.</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ind w:left="154"/>
                      <w:rPr>
                        <w:sz w:val="20"/>
                        <w:lang w:eastAsia="lt-LT"/>
                      </w:rPr>
                    </w:pPr>
                    <w:r>
                      <w:rPr>
                        <w:sz w:val="20"/>
                        <w:lang w:eastAsia="lt-LT"/>
                      </w:rPr>
                      <w:t>Prekių pardavimo ir paslaugų pajamos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48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1.3.2.1</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ind w:left="466"/>
                      <w:rPr>
                        <w:sz w:val="20"/>
                        <w:lang w:eastAsia="lt-LT"/>
                      </w:rPr>
                    </w:pPr>
                    <w:r>
                      <w:rPr>
                        <w:sz w:val="20"/>
                        <w:lang w:eastAsia="lt-LT"/>
                      </w:rPr>
                      <w:t>Prekių pardavimo ir paslaugų, apmokamų viešojo sektoriaus subjektų lėšomis, pajamos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31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1.3.2.2.</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ind w:left="466"/>
                      <w:rPr>
                        <w:sz w:val="20"/>
                        <w:lang w:eastAsia="lt-LT"/>
                      </w:rPr>
                    </w:pPr>
                    <w:r>
                      <w:rPr>
                        <w:sz w:val="20"/>
                        <w:lang w:eastAsia="lt-LT"/>
                      </w:rPr>
                      <w:t>Kitų prekių pardavimo ir paslaugų pajamos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31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1.3.3.</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ind w:left="154"/>
                      <w:rPr>
                        <w:sz w:val="20"/>
                        <w:lang w:eastAsia="lt-LT"/>
                      </w:rPr>
                    </w:pPr>
                    <w:r>
                      <w:rPr>
                        <w:sz w:val="20"/>
                        <w:lang w:eastAsia="lt-LT"/>
                      </w:rPr>
                      <w:t>Baudų, konfiskuoto turto ir netesybų pajamos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31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1.3.4.</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ind w:left="154"/>
                      <w:rPr>
                        <w:sz w:val="20"/>
                        <w:lang w:eastAsia="lt-LT"/>
                      </w:rPr>
                    </w:pPr>
                    <w:r>
                      <w:rPr>
                        <w:sz w:val="20"/>
                        <w:lang w:eastAsia="lt-LT"/>
                      </w:rPr>
                      <w:t>Finansinės ir investicinės veiklos pajamos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31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1.3.5.</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ind w:left="154"/>
                      <w:rPr>
                        <w:sz w:val="20"/>
                        <w:lang w:eastAsia="lt-LT"/>
                      </w:rPr>
                    </w:pPr>
                    <w:r>
                      <w:rPr>
                        <w:sz w:val="20"/>
                        <w:lang w:eastAsia="lt-LT"/>
                      </w:rPr>
                      <w:t xml:space="preserve">Kitos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31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1.3.6.</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ind w:left="154"/>
                      <w:rPr>
                        <w:sz w:val="20"/>
                        <w:lang w:eastAsia="lt-LT"/>
                      </w:rPr>
                    </w:pPr>
                    <w:r>
                      <w:rPr>
                        <w:sz w:val="20"/>
                        <w:lang w:eastAsia="lt-LT"/>
                      </w:rPr>
                      <w:t>Negrąžintinai pervestinos į biudžetus, išteklių fondus pajamos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31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2.</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rPr>
                        <w:b/>
                        <w:bCs/>
                        <w:sz w:val="20"/>
                        <w:lang w:eastAsia="lt-LT"/>
                      </w:rPr>
                    </w:pPr>
                    <w:r>
                      <w:rPr>
                        <w:b/>
                        <w:bCs/>
                        <w:sz w:val="20"/>
                        <w:lang w:eastAsia="lt-LT"/>
                      </w:rPr>
                      <w:t>SĄNAUDOS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31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lang w:eastAsia="lt-LT"/>
                      </w:rPr>
                    </w:pPr>
                    <w:r>
                      <w:rPr>
                        <w:sz w:val="20"/>
                        <w:lang w:eastAsia="lt-LT"/>
                      </w:rPr>
                      <w:t>SU DARBO SANTYKIAIS SUSIJUSIŲ IŠMOKŲ SĄNAUDOS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31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2.1.1.</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ind w:left="181"/>
                      <w:rPr>
                        <w:sz w:val="20"/>
                        <w:lang w:eastAsia="lt-LT"/>
                      </w:rPr>
                    </w:pPr>
                    <w:r>
                      <w:rPr>
                        <w:sz w:val="20"/>
                        <w:lang w:eastAsia="lt-LT"/>
                      </w:rPr>
                      <w:t>Darbo užmokesčio ir socialinio draudimo sąnaudos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31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ind w:left="181"/>
                      <w:rPr>
                        <w:sz w:val="20"/>
                        <w:lang w:eastAsia="lt-LT"/>
                      </w:rPr>
                    </w:pPr>
                    <w:r>
                      <w:rPr>
                        <w:sz w:val="20"/>
                        <w:lang w:eastAsia="lt-LT"/>
                      </w:rPr>
                      <w:t>Socialinių ir kitų išmokų darbuotojams sąnaudos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31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2.2.</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lang w:eastAsia="lt-LT"/>
                      </w:rPr>
                    </w:pPr>
                    <w:r>
                      <w:rPr>
                        <w:sz w:val="20"/>
                        <w:lang w:eastAsia="lt-LT"/>
                      </w:rPr>
                      <w:t>PREKIŲ IR PASLAUGŲ SĄNAUDOS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31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2.2.1.</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ind w:left="181"/>
                      <w:rPr>
                        <w:sz w:val="20"/>
                        <w:lang w:eastAsia="lt-LT"/>
                      </w:rPr>
                    </w:pPr>
                    <w:r>
                      <w:rPr>
                        <w:sz w:val="20"/>
                        <w:lang w:eastAsia="lt-LT"/>
                      </w:rPr>
                      <w:t>Prekių ir paslaugų sąnaudos veiklai</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31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2.2.2.</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ind w:left="181"/>
                      <w:rPr>
                        <w:sz w:val="20"/>
                        <w:lang w:eastAsia="lt-LT"/>
                      </w:rPr>
                    </w:pPr>
                    <w:r>
                      <w:rPr>
                        <w:sz w:val="20"/>
                        <w:lang w:eastAsia="lt-LT"/>
                      </w:rPr>
                      <w:t>Prekių ir paslaugų sąnaudos viešajam ūkiui</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31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2.3.</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lang w:eastAsia="lt-LT"/>
                      </w:rPr>
                    </w:pPr>
                    <w:r>
                      <w:rPr>
                        <w:sz w:val="20"/>
                        <w:lang w:eastAsia="lt-LT"/>
                      </w:rPr>
                      <w:t>NUSIDĖVĖJIMO IR AMORTIZACIJOS SĄNAUDOS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315"/>
                </w:trPr>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2.4.</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lang w:eastAsia="lt-LT"/>
                      </w:rPr>
                    </w:pPr>
                    <w:r>
                      <w:rPr>
                        <w:sz w:val="20"/>
                        <w:lang w:eastAsia="lt-LT"/>
                      </w:rPr>
                      <w:t>NUVERTĖJIMO IR NURAŠYTŲ SUMŲ SĄNAUDOS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sz w:val="20"/>
                        <w:lang w:eastAsia="lt-LT"/>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rPr>
                        <w:b/>
                        <w:bCs/>
                        <w:sz w:val="20"/>
                        <w:lang w:eastAsia="lt-LT"/>
                      </w:rPr>
                    </w:pP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rPr>
                        <w:b/>
                        <w:bCs/>
                        <w:sz w:val="20"/>
                        <w:lang w:eastAsia="lt-LT"/>
                      </w:rPr>
                    </w:pPr>
                  </w:p>
                </w:tc>
              </w:tr>
              <w:tr>
                <w:trPr>
                  <w:trHeight w:val="315"/>
                </w:trPr>
                <w:tc>
                  <w:tcPr>
                    <w:tcW w:w="840" w:type="dxa"/>
                    <w:shd w:val="clear" w:color="auto" w:fill="auto"/>
                    <w:vAlign w:val="center"/>
                  </w:tcPr>
                  <w:p>
                    <w:pPr>
                      <w:jc w:val="center"/>
                      <w:rPr>
                        <w:sz w:val="20"/>
                        <w:lang w:eastAsia="lt-LT"/>
                      </w:rPr>
                    </w:pPr>
                    <w:r>
                      <w:rPr>
                        <w:sz w:val="20"/>
                        <w:lang w:eastAsia="lt-LT"/>
                      </w:rPr>
                      <w:t>2.5.</w:t>
                    </w:r>
                  </w:p>
                </w:tc>
                <w:tc>
                  <w:tcPr>
                    <w:tcW w:w="4542" w:type="dxa"/>
                    <w:shd w:val="clear" w:color="auto" w:fill="auto"/>
                    <w:vAlign w:val="center"/>
                  </w:tcPr>
                  <w:p>
                    <w:pPr>
                      <w:rPr>
                        <w:sz w:val="20"/>
                        <w:lang w:eastAsia="lt-LT"/>
                      </w:rPr>
                    </w:pPr>
                    <w:r>
                      <w:rPr>
                        <w:sz w:val="20"/>
                        <w:lang w:eastAsia="lt-LT"/>
                      </w:rPr>
                      <w:t>SOCIALINIŲ IŠMOKŲ, STIPENDIJŲ, PRIZŲ IR PREMIJŲ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405" w:type="dxa"/>
                    <w:shd w:val="clear" w:color="auto" w:fill="auto"/>
                    <w:vAlign w:val="center"/>
                  </w:tcPr>
                  <w:p>
                    <w:pPr>
                      <w:ind w:firstLine="60"/>
                      <w:rPr>
                        <w:sz w:val="20"/>
                        <w:lang w:eastAsia="lt-LT"/>
                      </w:rPr>
                    </w:pPr>
                  </w:p>
                </w:tc>
              </w:tr>
              <w:tr>
                <w:trPr>
                  <w:trHeight w:val="315"/>
                </w:trPr>
                <w:tc>
                  <w:tcPr>
                    <w:tcW w:w="840" w:type="dxa"/>
                    <w:shd w:val="clear" w:color="auto" w:fill="auto"/>
                    <w:vAlign w:val="center"/>
                  </w:tcPr>
                  <w:p>
                    <w:pPr>
                      <w:jc w:val="center"/>
                      <w:rPr>
                        <w:sz w:val="20"/>
                        <w:lang w:eastAsia="lt-LT"/>
                      </w:rPr>
                    </w:pPr>
                    <w:r>
                      <w:rPr>
                        <w:sz w:val="20"/>
                        <w:lang w:eastAsia="lt-LT"/>
                      </w:rPr>
                      <w:t>2.6.</w:t>
                    </w:r>
                  </w:p>
                </w:tc>
                <w:tc>
                  <w:tcPr>
                    <w:tcW w:w="4542" w:type="dxa"/>
                    <w:shd w:val="clear" w:color="auto" w:fill="auto"/>
                    <w:vAlign w:val="center"/>
                  </w:tcPr>
                  <w:p>
                    <w:pPr>
                      <w:rPr>
                        <w:sz w:val="20"/>
                        <w:lang w:eastAsia="lt-LT"/>
                      </w:rPr>
                    </w:pPr>
                    <w:r>
                      <w:rPr>
                        <w:sz w:val="20"/>
                        <w:lang w:eastAsia="lt-LT"/>
                      </w:rPr>
                      <w:t>FINANSAVIMO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405" w:type="dxa"/>
                    <w:shd w:val="clear" w:color="auto" w:fill="auto"/>
                    <w:noWrap/>
                    <w:vAlign w:val="center"/>
                  </w:tcPr>
                  <w:p>
                    <w:pPr>
                      <w:ind w:firstLine="60"/>
                      <w:rPr>
                        <w:sz w:val="20"/>
                        <w:lang w:eastAsia="lt-LT"/>
                      </w:rPr>
                    </w:pPr>
                  </w:p>
                </w:tc>
              </w:tr>
              <w:tr>
                <w:trPr>
                  <w:trHeight w:val="315"/>
                </w:trPr>
                <w:tc>
                  <w:tcPr>
                    <w:tcW w:w="840" w:type="dxa"/>
                    <w:shd w:val="clear" w:color="auto" w:fill="auto"/>
                    <w:vAlign w:val="center"/>
                  </w:tcPr>
                  <w:p>
                    <w:pPr>
                      <w:jc w:val="center"/>
                      <w:rPr>
                        <w:sz w:val="20"/>
                        <w:lang w:eastAsia="lt-LT"/>
                      </w:rPr>
                    </w:pPr>
                    <w:r>
                      <w:rPr>
                        <w:sz w:val="20"/>
                        <w:lang w:eastAsia="lt-LT"/>
                      </w:rPr>
                      <w:t>2.7.</w:t>
                    </w:r>
                  </w:p>
                </w:tc>
                <w:tc>
                  <w:tcPr>
                    <w:tcW w:w="4542" w:type="dxa"/>
                    <w:shd w:val="clear" w:color="auto" w:fill="auto"/>
                    <w:vAlign w:val="center"/>
                  </w:tcPr>
                  <w:p>
                    <w:pPr>
                      <w:rPr>
                        <w:sz w:val="20"/>
                        <w:lang w:eastAsia="lt-LT"/>
                      </w:rPr>
                    </w:pPr>
                    <w:r>
                      <w:rPr>
                        <w:sz w:val="20"/>
                        <w:lang w:eastAsia="lt-LT"/>
                      </w:rPr>
                      <w:t>FINANSINĖS IR INVESTICINĖS VEIKLOS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405" w:type="dxa"/>
                    <w:shd w:val="clear" w:color="auto" w:fill="auto"/>
                    <w:noWrap/>
                    <w:vAlign w:val="center"/>
                  </w:tcPr>
                  <w:p>
                    <w:pPr>
                      <w:ind w:firstLine="60"/>
                      <w:rPr>
                        <w:sz w:val="20"/>
                        <w:lang w:eastAsia="lt-LT"/>
                      </w:rPr>
                    </w:pPr>
                  </w:p>
                </w:tc>
              </w:tr>
              <w:tr>
                <w:trPr>
                  <w:trHeight w:val="315"/>
                </w:trPr>
                <w:tc>
                  <w:tcPr>
                    <w:tcW w:w="840" w:type="dxa"/>
                    <w:shd w:val="clear" w:color="auto" w:fill="auto"/>
                    <w:vAlign w:val="center"/>
                  </w:tcPr>
                  <w:p>
                    <w:pPr>
                      <w:jc w:val="center"/>
                      <w:rPr>
                        <w:sz w:val="20"/>
                        <w:lang w:eastAsia="lt-LT"/>
                      </w:rPr>
                    </w:pPr>
                    <w:r>
                      <w:rPr>
                        <w:sz w:val="20"/>
                        <w:lang w:eastAsia="lt-LT"/>
                      </w:rPr>
                      <w:t>2.8.</w:t>
                    </w:r>
                  </w:p>
                </w:tc>
                <w:tc>
                  <w:tcPr>
                    <w:tcW w:w="4542" w:type="dxa"/>
                    <w:shd w:val="clear" w:color="auto" w:fill="auto"/>
                    <w:noWrap/>
                    <w:vAlign w:val="center"/>
                  </w:tcPr>
                  <w:p>
                    <w:pPr>
                      <w:rPr>
                        <w:sz w:val="20"/>
                        <w:lang w:eastAsia="lt-LT"/>
                      </w:rPr>
                    </w:pPr>
                    <w:r>
                      <w:rPr>
                        <w:sz w:val="20"/>
                        <w:lang w:eastAsia="lt-LT"/>
                      </w:rPr>
                      <w:t>KITOS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7"/>
                      <w:rPr>
                        <w:rFonts w:ascii="Arial" w:hAnsi="Arial" w:cs="Arial"/>
                        <w:sz w:val="20"/>
                        <w:lang w:eastAsia="lt-LT"/>
                      </w:rPr>
                    </w:pPr>
                  </w:p>
                </w:tc>
                <w:tc>
                  <w:tcPr>
                    <w:tcW w:w="1405" w:type="dxa"/>
                    <w:shd w:val="clear" w:color="auto" w:fill="auto"/>
                    <w:noWrap/>
                    <w:vAlign w:val="center"/>
                  </w:tcPr>
                  <w:p>
                    <w:pPr>
                      <w:ind w:firstLine="67"/>
                      <w:rPr>
                        <w:rFonts w:ascii="Arial" w:hAnsi="Arial" w:cs="Arial"/>
                        <w:sz w:val="20"/>
                        <w:lang w:eastAsia="lt-LT"/>
                      </w:rPr>
                    </w:pPr>
                  </w:p>
                </w:tc>
              </w:tr>
              <w:tr>
                <w:trPr>
                  <w:trHeight w:val="315"/>
                </w:trPr>
                <w:tc>
                  <w:tcPr>
                    <w:tcW w:w="840" w:type="dxa"/>
                    <w:shd w:val="clear" w:color="auto" w:fill="auto"/>
                    <w:noWrap/>
                    <w:vAlign w:val="center"/>
                  </w:tcPr>
                  <w:p>
                    <w:pPr>
                      <w:jc w:val="center"/>
                      <w:rPr>
                        <w:b/>
                        <w:bCs/>
                        <w:sz w:val="20"/>
                        <w:lang w:eastAsia="lt-LT"/>
                      </w:rPr>
                    </w:pPr>
                    <w:r>
                      <w:rPr>
                        <w:b/>
                        <w:bCs/>
                        <w:sz w:val="20"/>
                        <w:lang w:eastAsia="lt-LT"/>
                      </w:rPr>
                      <w:t>3.</w:t>
                    </w:r>
                  </w:p>
                </w:tc>
                <w:tc>
                  <w:tcPr>
                    <w:tcW w:w="4542" w:type="dxa"/>
                    <w:shd w:val="clear" w:color="auto" w:fill="auto"/>
                    <w:noWrap/>
                    <w:vAlign w:val="center"/>
                  </w:tcPr>
                  <w:p>
                    <w:pPr>
                      <w:rPr>
                        <w:b/>
                        <w:bCs/>
                        <w:sz w:val="20"/>
                        <w:lang w:eastAsia="lt-LT"/>
                      </w:rPr>
                    </w:pPr>
                    <w:r>
                      <w:rPr>
                        <w:b/>
                        <w:bCs/>
                        <w:sz w:val="20"/>
                        <w:lang w:eastAsia="lt-LT"/>
                      </w:rPr>
                      <w:t>PERVIRŠIS AR DEFICITAS IŠ VYKDOMOS VEIKLOS</w:t>
                    </w:r>
                  </w:p>
                </w:tc>
                <w:tc>
                  <w:tcPr>
                    <w:tcW w:w="1134" w:type="dxa"/>
                    <w:shd w:val="clear" w:color="auto" w:fill="auto"/>
                    <w:noWrap/>
                    <w:vAlign w:val="center"/>
                  </w:tcPr>
                  <w:p>
                    <w:pPr>
                      <w:ind w:firstLine="60"/>
                      <w:rPr>
                        <w:b/>
                        <w:bCs/>
                        <w:sz w:val="20"/>
                        <w:lang w:eastAsia="lt-LT"/>
                      </w:rPr>
                    </w:pPr>
                  </w:p>
                </w:tc>
                <w:tc>
                  <w:tcPr>
                    <w:tcW w:w="1559" w:type="dxa"/>
                    <w:shd w:val="clear" w:color="auto" w:fill="auto"/>
                    <w:noWrap/>
                    <w:vAlign w:val="center"/>
                  </w:tcPr>
                  <w:p>
                    <w:pPr>
                      <w:ind w:firstLine="67"/>
                      <w:rPr>
                        <w:rFonts w:ascii="Arial" w:hAnsi="Arial" w:cs="Arial"/>
                        <w:b/>
                        <w:bCs/>
                        <w:sz w:val="20"/>
                        <w:lang w:eastAsia="lt-LT"/>
                      </w:rPr>
                    </w:pPr>
                  </w:p>
                </w:tc>
                <w:tc>
                  <w:tcPr>
                    <w:tcW w:w="1405" w:type="dxa"/>
                    <w:shd w:val="clear" w:color="auto" w:fill="auto"/>
                    <w:noWrap/>
                    <w:vAlign w:val="center"/>
                  </w:tcPr>
                  <w:p>
                    <w:pPr>
                      <w:ind w:firstLine="67"/>
                      <w:rPr>
                        <w:rFonts w:ascii="Arial" w:hAnsi="Arial" w:cs="Arial"/>
                        <w:b/>
                        <w:bCs/>
                        <w:sz w:val="20"/>
                        <w:lang w:eastAsia="lt-LT"/>
                      </w:rPr>
                    </w:pPr>
                  </w:p>
                </w:tc>
              </w:tr>
              <w:tr>
                <w:trPr>
                  <w:trHeight w:val="600"/>
                </w:trPr>
                <w:tc>
                  <w:tcPr>
                    <w:tcW w:w="840" w:type="dxa"/>
                    <w:shd w:val="clear" w:color="auto" w:fill="auto"/>
                    <w:noWrap/>
                    <w:vAlign w:val="center"/>
                  </w:tcPr>
                  <w:p>
                    <w:pPr>
                      <w:jc w:val="center"/>
                      <w:rPr>
                        <w:b/>
                        <w:sz w:val="20"/>
                        <w:lang w:eastAsia="lt-LT"/>
                      </w:rPr>
                    </w:pPr>
                    <w:r>
                      <w:rPr>
                        <w:b/>
                        <w:sz w:val="20"/>
                        <w:lang w:eastAsia="lt-LT"/>
                      </w:rPr>
                      <w:t>4.</w:t>
                    </w:r>
                  </w:p>
                </w:tc>
                <w:tc>
                  <w:tcPr>
                    <w:tcW w:w="4542" w:type="dxa"/>
                    <w:shd w:val="clear" w:color="auto" w:fill="auto"/>
                    <w:vAlign w:val="center"/>
                  </w:tcPr>
                  <w:p>
                    <w:pPr>
                      <w:rPr>
                        <w:b/>
                        <w:sz w:val="20"/>
                        <w:lang w:eastAsia="lt-LT"/>
                      </w:rPr>
                    </w:pPr>
                    <w:r>
                      <w:rPr>
                        <w:b/>
                        <w:sz w:val="20"/>
                        <w:lang w:eastAsia="lt-LT"/>
                      </w:rPr>
                      <w:t>APSKAITOS POLITIKOS KEITIMO IR ESMINIŲ APSKAITOS KLAIDŲ TAISYMO ĮTAKA</w:t>
                    </w:r>
                  </w:p>
                </w:tc>
                <w:tc>
                  <w:tcPr>
                    <w:tcW w:w="1134" w:type="dxa"/>
                    <w:shd w:val="clear" w:color="auto" w:fill="auto"/>
                    <w:noWrap/>
                    <w:vAlign w:val="center"/>
                  </w:tcPr>
                  <w:p>
                    <w:pPr>
                      <w:ind w:firstLine="67"/>
                      <w:rPr>
                        <w:rFonts w:ascii="Arial" w:hAnsi="Arial" w:cs="Arial"/>
                        <w:sz w:val="20"/>
                        <w:lang w:eastAsia="lt-LT"/>
                      </w:rPr>
                    </w:pPr>
                  </w:p>
                </w:tc>
                <w:tc>
                  <w:tcPr>
                    <w:tcW w:w="1559" w:type="dxa"/>
                    <w:shd w:val="clear" w:color="auto" w:fill="auto"/>
                    <w:noWrap/>
                    <w:vAlign w:val="center"/>
                  </w:tcPr>
                  <w:p>
                    <w:pPr>
                      <w:ind w:firstLine="67"/>
                      <w:rPr>
                        <w:rFonts w:ascii="Arial" w:hAnsi="Arial" w:cs="Arial"/>
                        <w:sz w:val="20"/>
                        <w:lang w:eastAsia="lt-LT"/>
                      </w:rPr>
                    </w:pPr>
                  </w:p>
                </w:tc>
                <w:tc>
                  <w:tcPr>
                    <w:tcW w:w="1405" w:type="dxa"/>
                    <w:shd w:val="clear" w:color="auto" w:fill="auto"/>
                    <w:noWrap/>
                    <w:vAlign w:val="center"/>
                  </w:tcPr>
                  <w:p>
                    <w:pPr>
                      <w:ind w:firstLine="67"/>
                      <w:rPr>
                        <w:rFonts w:ascii="Arial" w:hAnsi="Arial" w:cs="Arial"/>
                        <w:sz w:val="20"/>
                        <w:lang w:eastAsia="lt-LT"/>
                      </w:rPr>
                    </w:pPr>
                  </w:p>
                </w:tc>
              </w:tr>
              <w:tr>
                <w:trPr>
                  <w:trHeight w:val="315"/>
                </w:trPr>
                <w:tc>
                  <w:tcPr>
                    <w:tcW w:w="840" w:type="dxa"/>
                    <w:shd w:val="clear" w:color="auto" w:fill="auto"/>
                    <w:noWrap/>
                    <w:vAlign w:val="center"/>
                  </w:tcPr>
                  <w:p>
                    <w:pPr>
                      <w:jc w:val="center"/>
                      <w:rPr>
                        <w:b/>
                        <w:sz w:val="20"/>
                        <w:lang w:eastAsia="lt-LT"/>
                      </w:rPr>
                    </w:pPr>
                    <w:r>
                      <w:rPr>
                        <w:b/>
                        <w:sz w:val="20"/>
                        <w:lang w:eastAsia="lt-LT"/>
                      </w:rPr>
                      <w:t>5.</w:t>
                    </w:r>
                  </w:p>
                </w:tc>
                <w:tc>
                  <w:tcPr>
                    <w:tcW w:w="4542" w:type="dxa"/>
                    <w:shd w:val="clear" w:color="auto" w:fill="auto"/>
                    <w:noWrap/>
                    <w:vAlign w:val="center"/>
                  </w:tcPr>
                  <w:p>
                    <w:pPr>
                      <w:rPr>
                        <w:b/>
                        <w:sz w:val="20"/>
                        <w:lang w:eastAsia="lt-LT"/>
                      </w:rPr>
                    </w:pPr>
                    <w:r>
                      <w:rPr>
                        <w:b/>
                        <w:sz w:val="20"/>
                        <w:lang w:eastAsia="lt-LT"/>
                      </w:rPr>
                      <w:t>PELNO MOKESTIS</w:t>
                    </w:r>
                  </w:p>
                </w:tc>
                <w:tc>
                  <w:tcPr>
                    <w:tcW w:w="1134" w:type="dxa"/>
                    <w:shd w:val="clear" w:color="auto" w:fill="auto"/>
                    <w:noWrap/>
                    <w:vAlign w:val="center"/>
                  </w:tcPr>
                  <w:p>
                    <w:pPr>
                      <w:ind w:firstLine="67"/>
                      <w:rPr>
                        <w:rFonts w:ascii="Arial" w:hAnsi="Arial" w:cs="Arial"/>
                        <w:sz w:val="20"/>
                        <w:lang w:eastAsia="lt-LT"/>
                      </w:rPr>
                    </w:pPr>
                  </w:p>
                </w:tc>
                <w:tc>
                  <w:tcPr>
                    <w:tcW w:w="1559" w:type="dxa"/>
                    <w:shd w:val="clear" w:color="auto" w:fill="auto"/>
                    <w:noWrap/>
                    <w:vAlign w:val="center"/>
                  </w:tcPr>
                  <w:p>
                    <w:pPr>
                      <w:ind w:firstLine="67"/>
                      <w:rPr>
                        <w:rFonts w:ascii="Arial" w:hAnsi="Arial" w:cs="Arial"/>
                        <w:sz w:val="20"/>
                        <w:lang w:eastAsia="lt-LT"/>
                      </w:rPr>
                    </w:pPr>
                  </w:p>
                </w:tc>
                <w:tc>
                  <w:tcPr>
                    <w:tcW w:w="1405" w:type="dxa"/>
                    <w:shd w:val="clear" w:color="auto" w:fill="auto"/>
                    <w:noWrap/>
                    <w:vAlign w:val="center"/>
                  </w:tcPr>
                  <w:p>
                    <w:pPr>
                      <w:ind w:firstLine="67"/>
                      <w:rPr>
                        <w:rFonts w:ascii="Arial" w:hAnsi="Arial" w:cs="Arial"/>
                        <w:sz w:val="20"/>
                        <w:lang w:eastAsia="lt-LT"/>
                      </w:rPr>
                    </w:pPr>
                  </w:p>
                </w:tc>
              </w:tr>
              <w:tr>
                <w:trPr>
                  <w:trHeight w:val="315"/>
                </w:trPr>
                <w:tc>
                  <w:tcPr>
                    <w:tcW w:w="840" w:type="dxa"/>
                    <w:shd w:val="clear" w:color="auto" w:fill="auto"/>
                    <w:noWrap/>
                    <w:vAlign w:val="center"/>
                  </w:tcPr>
                  <w:p>
                    <w:pPr>
                      <w:jc w:val="center"/>
                      <w:rPr>
                        <w:b/>
                        <w:bCs/>
                        <w:sz w:val="20"/>
                        <w:lang w:eastAsia="lt-LT"/>
                      </w:rPr>
                    </w:pPr>
                    <w:r>
                      <w:rPr>
                        <w:b/>
                        <w:bCs/>
                        <w:sz w:val="20"/>
                        <w:lang w:eastAsia="lt-LT"/>
                      </w:rPr>
                      <w:t>6.</w:t>
                    </w:r>
                  </w:p>
                </w:tc>
                <w:tc>
                  <w:tcPr>
                    <w:tcW w:w="4542" w:type="dxa"/>
                    <w:shd w:val="clear" w:color="auto" w:fill="auto"/>
                    <w:noWrap/>
                    <w:vAlign w:val="center"/>
                  </w:tcPr>
                  <w:p>
                    <w:pPr>
                      <w:rPr>
                        <w:b/>
                        <w:sz w:val="20"/>
                        <w:lang w:eastAsia="lt-LT"/>
                      </w:rPr>
                    </w:pPr>
                    <w:r>
                      <w:rPr>
                        <w:b/>
                        <w:sz w:val="20"/>
                        <w:lang w:eastAsia="lt-LT"/>
                      </w:rPr>
                      <w:t>VALDŽIOS SEKTORIUI PRISKIRIAMŲ ĮMONIŲ REZULTATAS</w:t>
                    </w:r>
                  </w:p>
                </w:tc>
                <w:tc>
                  <w:tcPr>
                    <w:tcW w:w="1134" w:type="dxa"/>
                    <w:shd w:val="clear" w:color="auto" w:fill="auto"/>
                    <w:noWrap/>
                    <w:vAlign w:val="center"/>
                  </w:tcPr>
                  <w:p>
                    <w:pPr>
                      <w:ind w:firstLine="67"/>
                      <w:rPr>
                        <w:rFonts w:ascii="Arial" w:hAnsi="Arial" w:cs="Arial"/>
                        <w:b/>
                        <w:bCs/>
                        <w:sz w:val="20"/>
                        <w:lang w:eastAsia="lt-LT"/>
                      </w:rPr>
                    </w:pPr>
                  </w:p>
                </w:tc>
                <w:tc>
                  <w:tcPr>
                    <w:tcW w:w="1559" w:type="dxa"/>
                    <w:shd w:val="clear" w:color="auto" w:fill="auto"/>
                    <w:noWrap/>
                    <w:vAlign w:val="center"/>
                  </w:tcPr>
                  <w:p>
                    <w:pPr>
                      <w:ind w:firstLine="67"/>
                      <w:rPr>
                        <w:rFonts w:ascii="Arial" w:hAnsi="Arial" w:cs="Arial"/>
                        <w:b/>
                        <w:bCs/>
                        <w:sz w:val="20"/>
                        <w:lang w:eastAsia="lt-LT"/>
                      </w:rPr>
                    </w:pPr>
                  </w:p>
                </w:tc>
                <w:tc>
                  <w:tcPr>
                    <w:tcW w:w="1405" w:type="dxa"/>
                    <w:shd w:val="clear" w:color="auto" w:fill="auto"/>
                    <w:noWrap/>
                    <w:vAlign w:val="center"/>
                  </w:tcPr>
                  <w:p>
                    <w:pPr>
                      <w:ind w:firstLine="67"/>
                      <w:rPr>
                        <w:rFonts w:ascii="Arial" w:hAnsi="Arial" w:cs="Arial"/>
                        <w:b/>
                        <w:bCs/>
                        <w:sz w:val="20"/>
                        <w:lang w:eastAsia="lt-LT"/>
                      </w:rPr>
                    </w:pPr>
                  </w:p>
                </w:tc>
              </w:tr>
              <w:tr>
                <w:trPr>
                  <w:trHeight w:val="315"/>
                </w:trPr>
                <w:tc>
                  <w:tcPr>
                    <w:tcW w:w="840" w:type="dxa"/>
                    <w:shd w:val="clear" w:color="auto" w:fill="auto"/>
                    <w:noWrap/>
                    <w:vAlign w:val="center"/>
                  </w:tcPr>
                  <w:p>
                    <w:pPr>
                      <w:jc w:val="center"/>
                      <w:rPr>
                        <w:bCs/>
                        <w:sz w:val="20"/>
                        <w:lang w:eastAsia="lt-LT"/>
                      </w:rPr>
                    </w:pPr>
                    <w:r>
                      <w:rPr>
                        <w:bCs/>
                        <w:sz w:val="20"/>
                        <w:lang w:eastAsia="lt-LT"/>
                      </w:rPr>
                      <w:t>6.1.</w:t>
                    </w:r>
                  </w:p>
                </w:tc>
                <w:tc>
                  <w:tcPr>
                    <w:tcW w:w="4542" w:type="dxa"/>
                    <w:shd w:val="clear" w:color="auto" w:fill="auto"/>
                    <w:noWrap/>
                    <w:vAlign w:val="center"/>
                  </w:tcPr>
                  <w:p>
                    <w:pPr>
                      <w:ind w:left="11"/>
                      <w:rPr>
                        <w:sz w:val="20"/>
                        <w:lang w:eastAsia="lt-LT"/>
                      </w:rPr>
                    </w:pPr>
                    <w:r>
                      <w:rPr>
                        <w:sz w:val="20"/>
                        <w:lang w:eastAsia="lt-LT"/>
                      </w:rPr>
                      <w:t>VALDŽIOS SEKTORIUI PRISKIRIAMŲ ĮMONIŲ PAJAMOS</w:t>
                    </w:r>
                  </w:p>
                </w:tc>
                <w:tc>
                  <w:tcPr>
                    <w:tcW w:w="1134" w:type="dxa"/>
                    <w:shd w:val="clear" w:color="auto" w:fill="auto"/>
                    <w:noWrap/>
                    <w:vAlign w:val="center"/>
                  </w:tcPr>
                  <w:p>
                    <w:pPr>
                      <w:ind w:firstLine="67"/>
                      <w:rPr>
                        <w:rFonts w:ascii="Arial" w:hAnsi="Arial" w:cs="Arial"/>
                        <w:b/>
                        <w:bCs/>
                        <w:sz w:val="20"/>
                        <w:lang w:eastAsia="lt-LT"/>
                      </w:rPr>
                    </w:pPr>
                  </w:p>
                </w:tc>
                <w:tc>
                  <w:tcPr>
                    <w:tcW w:w="1559" w:type="dxa"/>
                    <w:shd w:val="clear" w:color="auto" w:fill="auto"/>
                    <w:noWrap/>
                    <w:vAlign w:val="center"/>
                  </w:tcPr>
                  <w:p>
                    <w:pPr>
                      <w:ind w:firstLine="67"/>
                      <w:rPr>
                        <w:rFonts w:ascii="Arial" w:hAnsi="Arial" w:cs="Arial"/>
                        <w:b/>
                        <w:bCs/>
                        <w:sz w:val="20"/>
                        <w:lang w:eastAsia="lt-LT"/>
                      </w:rPr>
                    </w:pPr>
                  </w:p>
                </w:tc>
                <w:tc>
                  <w:tcPr>
                    <w:tcW w:w="1405" w:type="dxa"/>
                    <w:shd w:val="clear" w:color="auto" w:fill="auto"/>
                    <w:noWrap/>
                    <w:vAlign w:val="center"/>
                  </w:tcPr>
                  <w:p>
                    <w:pPr>
                      <w:ind w:firstLine="67"/>
                      <w:rPr>
                        <w:rFonts w:ascii="Arial" w:hAnsi="Arial" w:cs="Arial"/>
                        <w:b/>
                        <w:bCs/>
                        <w:sz w:val="20"/>
                        <w:lang w:eastAsia="lt-LT"/>
                      </w:rPr>
                    </w:pPr>
                  </w:p>
                </w:tc>
              </w:tr>
              <w:tr>
                <w:trPr>
                  <w:trHeight w:val="315"/>
                </w:trPr>
                <w:tc>
                  <w:tcPr>
                    <w:tcW w:w="840" w:type="dxa"/>
                    <w:shd w:val="clear" w:color="auto" w:fill="auto"/>
                    <w:noWrap/>
                    <w:vAlign w:val="center"/>
                  </w:tcPr>
                  <w:p>
                    <w:pPr>
                      <w:jc w:val="center"/>
                      <w:rPr>
                        <w:bCs/>
                        <w:sz w:val="20"/>
                        <w:lang w:eastAsia="lt-LT"/>
                      </w:rPr>
                    </w:pPr>
                    <w:r>
                      <w:rPr>
                        <w:bCs/>
                        <w:sz w:val="20"/>
                        <w:lang w:eastAsia="lt-LT"/>
                      </w:rPr>
                      <w:t>6.2.</w:t>
                    </w:r>
                  </w:p>
                </w:tc>
                <w:tc>
                  <w:tcPr>
                    <w:tcW w:w="4542" w:type="dxa"/>
                    <w:shd w:val="clear" w:color="auto" w:fill="auto"/>
                    <w:noWrap/>
                    <w:vAlign w:val="center"/>
                  </w:tcPr>
                  <w:p>
                    <w:pPr>
                      <w:ind w:left="11"/>
                      <w:rPr>
                        <w:sz w:val="20"/>
                        <w:lang w:eastAsia="lt-LT"/>
                      </w:rPr>
                    </w:pPr>
                    <w:r>
                      <w:rPr>
                        <w:sz w:val="20"/>
                        <w:lang w:eastAsia="lt-LT"/>
                      </w:rPr>
                      <w:t>VALDŽIOS SEKTORIUI PRISKIRIAMŲ ĮMONIŲ SĄNAUDOS</w:t>
                    </w:r>
                  </w:p>
                </w:tc>
                <w:tc>
                  <w:tcPr>
                    <w:tcW w:w="1134" w:type="dxa"/>
                    <w:shd w:val="clear" w:color="auto" w:fill="auto"/>
                    <w:noWrap/>
                    <w:vAlign w:val="center"/>
                  </w:tcPr>
                  <w:p>
                    <w:pPr>
                      <w:ind w:firstLine="67"/>
                      <w:rPr>
                        <w:rFonts w:ascii="Arial" w:hAnsi="Arial" w:cs="Arial"/>
                        <w:b/>
                        <w:bCs/>
                        <w:sz w:val="20"/>
                        <w:lang w:eastAsia="lt-LT"/>
                      </w:rPr>
                    </w:pPr>
                  </w:p>
                </w:tc>
                <w:tc>
                  <w:tcPr>
                    <w:tcW w:w="1559" w:type="dxa"/>
                    <w:shd w:val="clear" w:color="auto" w:fill="auto"/>
                    <w:noWrap/>
                    <w:vAlign w:val="center"/>
                  </w:tcPr>
                  <w:p>
                    <w:pPr>
                      <w:ind w:firstLine="67"/>
                      <w:rPr>
                        <w:rFonts w:ascii="Arial" w:hAnsi="Arial" w:cs="Arial"/>
                        <w:b/>
                        <w:bCs/>
                        <w:sz w:val="20"/>
                        <w:lang w:eastAsia="lt-LT"/>
                      </w:rPr>
                    </w:pPr>
                  </w:p>
                </w:tc>
                <w:tc>
                  <w:tcPr>
                    <w:tcW w:w="1405" w:type="dxa"/>
                    <w:shd w:val="clear" w:color="auto" w:fill="auto"/>
                    <w:noWrap/>
                    <w:vAlign w:val="center"/>
                  </w:tcPr>
                  <w:p>
                    <w:pPr>
                      <w:ind w:firstLine="67"/>
                      <w:rPr>
                        <w:rFonts w:ascii="Arial" w:hAnsi="Arial" w:cs="Arial"/>
                        <w:b/>
                        <w:bCs/>
                        <w:sz w:val="20"/>
                        <w:lang w:eastAsia="lt-LT"/>
                      </w:rPr>
                    </w:pPr>
                  </w:p>
                </w:tc>
              </w:tr>
              <w:tr>
                <w:trPr>
                  <w:trHeight w:val="315"/>
                </w:trPr>
                <w:tc>
                  <w:tcPr>
                    <w:tcW w:w="840" w:type="dxa"/>
                    <w:shd w:val="clear" w:color="auto" w:fill="auto"/>
                    <w:noWrap/>
                    <w:vAlign w:val="center"/>
                  </w:tcPr>
                  <w:p>
                    <w:pPr>
                      <w:jc w:val="center"/>
                      <w:rPr>
                        <w:b/>
                        <w:bCs/>
                        <w:sz w:val="20"/>
                        <w:lang w:eastAsia="lt-LT"/>
                      </w:rPr>
                    </w:pPr>
                    <w:r>
                      <w:rPr>
                        <w:b/>
                        <w:bCs/>
                        <w:sz w:val="20"/>
                        <w:lang w:eastAsia="lt-LT"/>
                      </w:rPr>
                      <w:t>7.</w:t>
                    </w:r>
                  </w:p>
                </w:tc>
                <w:tc>
                  <w:tcPr>
                    <w:tcW w:w="4542" w:type="dxa"/>
                    <w:shd w:val="clear" w:color="auto" w:fill="auto"/>
                    <w:noWrap/>
                    <w:vAlign w:val="center"/>
                  </w:tcPr>
                  <w:p>
                    <w:pPr>
                      <w:rPr>
                        <w:b/>
                        <w:bCs/>
                        <w:sz w:val="20"/>
                        <w:lang w:eastAsia="lt-LT"/>
                      </w:rPr>
                    </w:pPr>
                    <w:r>
                      <w:rPr>
                        <w:b/>
                        <w:bCs/>
                        <w:sz w:val="20"/>
                        <w:lang w:eastAsia="lt-LT"/>
                      </w:rPr>
                      <w:t>NUOSAVYBĖS METODO ĮTAKA</w:t>
                    </w:r>
                  </w:p>
                </w:tc>
                <w:tc>
                  <w:tcPr>
                    <w:tcW w:w="1134" w:type="dxa"/>
                    <w:shd w:val="clear" w:color="auto" w:fill="auto"/>
                    <w:noWrap/>
                    <w:vAlign w:val="center"/>
                  </w:tcPr>
                  <w:p>
                    <w:pPr>
                      <w:ind w:firstLine="67"/>
                      <w:rPr>
                        <w:rFonts w:ascii="Arial" w:hAnsi="Arial" w:cs="Arial"/>
                        <w:b/>
                        <w:bCs/>
                        <w:sz w:val="20"/>
                        <w:lang w:eastAsia="lt-LT"/>
                      </w:rPr>
                    </w:pPr>
                  </w:p>
                </w:tc>
                <w:tc>
                  <w:tcPr>
                    <w:tcW w:w="1559" w:type="dxa"/>
                    <w:shd w:val="clear" w:color="auto" w:fill="auto"/>
                    <w:noWrap/>
                    <w:vAlign w:val="center"/>
                  </w:tcPr>
                  <w:p>
                    <w:pPr>
                      <w:ind w:firstLine="67"/>
                      <w:rPr>
                        <w:rFonts w:ascii="Arial" w:hAnsi="Arial" w:cs="Arial"/>
                        <w:b/>
                        <w:bCs/>
                        <w:sz w:val="20"/>
                        <w:lang w:eastAsia="lt-LT"/>
                      </w:rPr>
                    </w:pPr>
                  </w:p>
                </w:tc>
                <w:tc>
                  <w:tcPr>
                    <w:tcW w:w="1405" w:type="dxa"/>
                    <w:shd w:val="clear" w:color="auto" w:fill="auto"/>
                    <w:noWrap/>
                    <w:vAlign w:val="center"/>
                  </w:tcPr>
                  <w:p>
                    <w:pPr>
                      <w:ind w:firstLine="67"/>
                      <w:rPr>
                        <w:rFonts w:ascii="Arial" w:hAnsi="Arial" w:cs="Arial"/>
                        <w:b/>
                        <w:bCs/>
                        <w:sz w:val="20"/>
                        <w:lang w:eastAsia="lt-LT"/>
                      </w:rPr>
                    </w:pPr>
                  </w:p>
                </w:tc>
              </w:tr>
              <w:tr>
                <w:trPr>
                  <w:trHeight w:val="315"/>
                </w:trPr>
                <w:tc>
                  <w:tcPr>
                    <w:tcW w:w="840" w:type="dxa"/>
                    <w:shd w:val="clear" w:color="auto" w:fill="auto"/>
                    <w:noWrap/>
                    <w:vAlign w:val="center"/>
                  </w:tcPr>
                  <w:p>
                    <w:pPr>
                      <w:jc w:val="center"/>
                      <w:rPr>
                        <w:b/>
                        <w:bCs/>
                        <w:sz w:val="20"/>
                        <w:lang w:eastAsia="lt-LT"/>
                      </w:rPr>
                    </w:pPr>
                    <w:r>
                      <w:rPr>
                        <w:b/>
                        <w:bCs/>
                        <w:sz w:val="20"/>
                        <w:lang w:eastAsia="lt-LT"/>
                      </w:rPr>
                      <w:t>8.</w:t>
                    </w:r>
                  </w:p>
                </w:tc>
                <w:tc>
                  <w:tcPr>
                    <w:tcW w:w="4542" w:type="dxa"/>
                    <w:shd w:val="clear" w:color="auto" w:fill="auto"/>
                    <w:noWrap/>
                    <w:vAlign w:val="center"/>
                  </w:tcPr>
                  <w:p>
                    <w:pPr>
                      <w:rPr>
                        <w:b/>
                        <w:bCs/>
                        <w:sz w:val="20"/>
                        <w:lang w:eastAsia="lt-LT"/>
                      </w:rPr>
                    </w:pPr>
                    <w:r>
                      <w:rPr>
                        <w:b/>
                        <w:bCs/>
                        <w:sz w:val="20"/>
                        <w:lang w:eastAsia="lt-LT"/>
                      </w:rPr>
                      <w:t>GRYNASIS PERVIRŠIS AR DEFICITAS</w:t>
                    </w:r>
                  </w:p>
                </w:tc>
                <w:tc>
                  <w:tcPr>
                    <w:tcW w:w="1134" w:type="dxa"/>
                    <w:shd w:val="clear" w:color="auto" w:fill="auto"/>
                    <w:noWrap/>
                    <w:vAlign w:val="center"/>
                  </w:tcPr>
                  <w:p>
                    <w:pPr>
                      <w:ind w:firstLine="67"/>
                      <w:rPr>
                        <w:rFonts w:ascii="Arial" w:hAnsi="Arial" w:cs="Arial"/>
                        <w:b/>
                        <w:bCs/>
                        <w:sz w:val="20"/>
                        <w:lang w:eastAsia="lt-LT"/>
                      </w:rPr>
                    </w:pPr>
                  </w:p>
                </w:tc>
                <w:tc>
                  <w:tcPr>
                    <w:tcW w:w="1559" w:type="dxa"/>
                    <w:shd w:val="clear" w:color="auto" w:fill="auto"/>
                    <w:noWrap/>
                    <w:vAlign w:val="center"/>
                  </w:tcPr>
                  <w:p>
                    <w:pPr>
                      <w:ind w:firstLine="67"/>
                      <w:rPr>
                        <w:rFonts w:ascii="Arial" w:hAnsi="Arial" w:cs="Arial"/>
                        <w:b/>
                        <w:bCs/>
                        <w:sz w:val="20"/>
                        <w:lang w:eastAsia="lt-LT"/>
                      </w:rPr>
                    </w:pPr>
                  </w:p>
                </w:tc>
                <w:tc>
                  <w:tcPr>
                    <w:tcW w:w="1405" w:type="dxa"/>
                    <w:shd w:val="clear" w:color="auto" w:fill="auto"/>
                    <w:noWrap/>
                    <w:vAlign w:val="center"/>
                  </w:tcPr>
                  <w:p>
                    <w:pPr>
                      <w:ind w:firstLine="67"/>
                      <w:rPr>
                        <w:rFonts w:ascii="Arial" w:hAnsi="Arial" w:cs="Arial"/>
                        <w:b/>
                        <w:bCs/>
                        <w:sz w:val="20"/>
                        <w:lang w:eastAsia="lt-LT"/>
                      </w:rPr>
                    </w:pPr>
                  </w:p>
                </w:tc>
              </w:tr>
              <w:tr>
                <w:trPr>
                  <w:trHeight w:val="315"/>
                </w:trPr>
                <w:tc>
                  <w:tcPr>
                    <w:tcW w:w="840" w:type="dxa"/>
                    <w:shd w:val="clear" w:color="auto" w:fill="auto"/>
                    <w:noWrap/>
                    <w:vAlign w:val="center"/>
                  </w:tcPr>
                  <w:p>
                    <w:pPr>
                      <w:jc w:val="center"/>
                      <w:rPr>
                        <w:sz w:val="20"/>
                        <w:lang w:eastAsia="lt-LT"/>
                      </w:rPr>
                    </w:pPr>
                    <w:r>
                      <w:rPr>
                        <w:sz w:val="20"/>
                        <w:lang w:eastAsia="lt-LT"/>
                      </w:rPr>
                      <w:t>8.1.</w:t>
                    </w:r>
                  </w:p>
                </w:tc>
                <w:tc>
                  <w:tcPr>
                    <w:tcW w:w="4542" w:type="dxa"/>
                    <w:shd w:val="clear" w:color="auto" w:fill="auto"/>
                    <w:noWrap/>
                    <w:vAlign w:val="center"/>
                  </w:tcPr>
                  <w:p>
                    <w:pPr>
                      <w:ind w:firstLine="11"/>
                      <w:rPr>
                        <w:sz w:val="20"/>
                        <w:lang w:eastAsia="lt-LT"/>
                      </w:rPr>
                    </w:pPr>
                    <w:r>
                      <w:rPr>
                        <w:sz w:val="20"/>
                        <w:lang w:eastAsia="lt-LT"/>
                      </w:rPr>
                      <w:t>TENKANTIS KONTROLIUOJANČIAJAM SUBJEKTUI</w:t>
                    </w:r>
                  </w:p>
                </w:tc>
                <w:tc>
                  <w:tcPr>
                    <w:tcW w:w="1134" w:type="dxa"/>
                    <w:shd w:val="clear" w:color="auto" w:fill="auto"/>
                    <w:noWrap/>
                    <w:vAlign w:val="center"/>
                  </w:tcPr>
                  <w:p>
                    <w:pPr>
                      <w:ind w:firstLine="67"/>
                      <w:rPr>
                        <w:rFonts w:ascii="Arial" w:hAnsi="Arial" w:cs="Arial"/>
                        <w:b/>
                        <w:bCs/>
                        <w:sz w:val="20"/>
                        <w:lang w:eastAsia="lt-LT"/>
                      </w:rPr>
                    </w:pPr>
                  </w:p>
                </w:tc>
                <w:tc>
                  <w:tcPr>
                    <w:tcW w:w="1559" w:type="dxa"/>
                    <w:shd w:val="clear" w:color="auto" w:fill="auto"/>
                    <w:noWrap/>
                    <w:vAlign w:val="center"/>
                  </w:tcPr>
                  <w:p>
                    <w:pPr>
                      <w:ind w:firstLine="67"/>
                      <w:rPr>
                        <w:rFonts w:ascii="Arial" w:hAnsi="Arial" w:cs="Arial"/>
                        <w:b/>
                        <w:bCs/>
                        <w:sz w:val="20"/>
                        <w:lang w:eastAsia="lt-LT"/>
                      </w:rPr>
                    </w:pPr>
                  </w:p>
                </w:tc>
                <w:tc>
                  <w:tcPr>
                    <w:tcW w:w="1405" w:type="dxa"/>
                    <w:shd w:val="clear" w:color="auto" w:fill="auto"/>
                    <w:noWrap/>
                    <w:vAlign w:val="center"/>
                  </w:tcPr>
                  <w:p>
                    <w:pPr>
                      <w:ind w:firstLine="67"/>
                      <w:rPr>
                        <w:rFonts w:ascii="Arial" w:hAnsi="Arial" w:cs="Arial"/>
                        <w:b/>
                        <w:bCs/>
                        <w:sz w:val="20"/>
                        <w:lang w:eastAsia="lt-LT"/>
                      </w:rPr>
                    </w:pPr>
                  </w:p>
                </w:tc>
              </w:tr>
              <w:tr>
                <w:trPr>
                  <w:trHeight w:val="315"/>
                </w:trPr>
                <w:tc>
                  <w:tcPr>
                    <w:tcW w:w="840" w:type="dxa"/>
                    <w:shd w:val="clear" w:color="auto" w:fill="auto"/>
                    <w:noWrap/>
                    <w:vAlign w:val="center"/>
                  </w:tcPr>
                  <w:p>
                    <w:pPr>
                      <w:jc w:val="center"/>
                      <w:rPr>
                        <w:sz w:val="20"/>
                        <w:lang w:eastAsia="lt-LT"/>
                      </w:rPr>
                    </w:pPr>
                    <w:r>
                      <w:rPr>
                        <w:sz w:val="20"/>
                        <w:lang w:eastAsia="lt-LT"/>
                      </w:rPr>
                      <w:t>8.2.</w:t>
                    </w:r>
                  </w:p>
                </w:tc>
                <w:tc>
                  <w:tcPr>
                    <w:tcW w:w="4542" w:type="dxa"/>
                    <w:shd w:val="clear" w:color="auto" w:fill="auto"/>
                    <w:noWrap/>
                    <w:vAlign w:val="center"/>
                  </w:tcPr>
                  <w:p>
                    <w:pPr>
                      <w:ind w:firstLine="11"/>
                      <w:rPr>
                        <w:sz w:val="20"/>
                        <w:lang w:eastAsia="lt-LT"/>
                      </w:rPr>
                    </w:pPr>
                    <w:r>
                      <w:rPr>
                        <w:sz w:val="20"/>
                        <w:lang w:eastAsia="lt-LT"/>
                      </w:rPr>
                      <w:t>TENKANTIS MAŽUMOS DALIAI</w:t>
                    </w:r>
                  </w:p>
                </w:tc>
                <w:tc>
                  <w:tcPr>
                    <w:tcW w:w="1134" w:type="dxa"/>
                    <w:shd w:val="clear" w:color="auto" w:fill="auto"/>
                    <w:noWrap/>
                    <w:vAlign w:val="center"/>
                  </w:tcPr>
                  <w:p>
                    <w:pPr>
                      <w:ind w:firstLine="67"/>
                      <w:rPr>
                        <w:rFonts w:ascii="Arial" w:hAnsi="Arial" w:cs="Arial"/>
                        <w:b/>
                        <w:bCs/>
                        <w:sz w:val="20"/>
                        <w:lang w:eastAsia="lt-LT"/>
                      </w:rPr>
                    </w:pPr>
                  </w:p>
                </w:tc>
                <w:tc>
                  <w:tcPr>
                    <w:tcW w:w="1559" w:type="dxa"/>
                    <w:shd w:val="clear" w:color="auto" w:fill="auto"/>
                    <w:noWrap/>
                    <w:vAlign w:val="center"/>
                  </w:tcPr>
                  <w:p>
                    <w:pPr>
                      <w:ind w:firstLine="67"/>
                      <w:rPr>
                        <w:rFonts w:ascii="Arial" w:hAnsi="Arial" w:cs="Arial"/>
                        <w:b/>
                        <w:bCs/>
                        <w:sz w:val="20"/>
                        <w:lang w:eastAsia="lt-LT"/>
                      </w:rPr>
                    </w:pPr>
                  </w:p>
                </w:tc>
                <w:tc>
                  <w:tcPr>
                    <w:tcW w:w="1405" w:type="dxa"/>
                    <w:shd w:val="clear" w:color="auto" w:fill="auto"/>
                    <w:noWrap/>
                    <w:vAlign w:val="center"/>
                  </w:tcPr>
                  <w:p>
                    <w:pPr>
                      <w:ind w:firstLine="67"/>
                      <w:rPr>
                        <w:rFonts w:ascii="Arial" w:hAnsi="Arial" w:cs="Arial"/>
                        <w:b/>
                        <w:bCs/>
                        <w:sz w:val="20"/>
                        <w:lang w:eastAsia="lt-LT"/>
                      </w:rPr>
                    </w:pPr>
                  </w:p>
                </w:tc>
              </w:tr>
            </w:tbl>
            <w:p>
              <w:pPr>
                <w:jc w:val="both"/>
                <w:rPr>
                  <w:bCs/>
                  <w:szCs w:val="24"/>
                  <w:lang w:eastAsia="lt-LT"/>
                </w:rPr>
              </w:pPr>
              <w:r>
                <w:rPr>
                  <w:b/>
                  <w:szCs w:val="24"/>
                  <w:lang w:eastAsia="lt-LT"/>
                </w:rPr>
                <w:t>Pastaba</w:t>
              </w:r>
              <w:r>
                <w:rPr>
                  <w:bCs/>
                  <w:szCs w:val="24"/>
                  <w:lang w:eastAsia="lt-LT"/>
                </w:rPr>
                <w:t xml:space="preserve">. Forma pildoma rengiant viešojo sektoriaus subjektų grupės žemesniojo lygio finansinių ataskaitų rinkinio veiklos rezultatų ataskaitą. </w:t>
              </w:r>
            </w:p>
            <w:p>
              <w:pPr>
                <w:jc w:val="center"/>
                <w:rPr>
                  <w:szCs w:val="24"/>
                  <w:lang w:eastAsia="lt-LT"/>
                </w:rPr>
              </w:pPr>
              <w:r>
                <w:rPr>
                  <w:szCs w:val="24"/>
                  <w:lang w:eastAsia="lt-LT"/>
                </w:rPr>
                <w:t>______________________________________</w:t>
              </w:r>
            </w:p>
            <w:p>
              <w:pPr>
                <w:spacing w:line="276" w:lineRule="auto"/>
                <w:jc w:val="center"/>
                <w:rPr>
                  <w:szCs w:val="24"/>
                  <w:lang w:eastAsia="lt-LT"/>
                </w:rPr>
              </w:pPr>
            </w:p>
            <w:p>
              <w:pPr>
                <w:rPr>
                  <w:sz w:val="18"/>
                  <w:szCs w:val="18"/>
                </w:rPr>
              </w:pPr>
            </w:p>
            <w:p>
              <w:pPr>
                <w:spacing w:line="276" w:lineRule="auto"/>
                <w:rPr>
                  <w:szCs w:val="24"/>
                  <w:lang w:eastAsia="lt-LT"/>
                </w:rPr>
              </w:pPr>
              <w:r>
                <w:rPr>
                  <w:szCs w:val="24"/>
                  <w:lang w:eastAsia="lt-LT"/>
                </w:rPr>
                <w:br w:type="page"/>
              </w:r>
            </w:p>
            <w:p>
              <w:pPr>
                <w:rPr>
                  <w:sz w:val="18"/>
                  <w:szCs w:val="18"/>
                </w:rPr>
              </w:pPr>
            </w:p>
          </w:sdtContent>
        </w:sdt>
      </w:sdtContent>
    </w:sdt>
    <w:sdt>
      <w:sdtPr>
        <w:alias w:val="3 pr."/>
        <w:tag w:val="part_658690fe48674c098d4feb863290d820"/>
        <w:lock w:val="sdtLocked"/>
        <w:richText/>
      </w:sdtPr>
      <w:sdtContent>
        <w:p>
          <w:pPr>
            <w:ind w:left="4535"/>
            <w:rPr>
              <w:szCs w:val="24"/>
              <w:lang w:eastAsia="lt-LT"/>
            </w:rPr>
          </w:pPr>
          <w:r>
            <w:rPr>
              <w:szCs w:val="24"/>
              <w:lang w:eastAsia="lt-LT"/>
            </w:rPr>
            <w:t xml:space="preserve">3-iojo </w:t>
          </w:r>
          <w:r>
            <w:rPr>
              <w:szCs w:val="24"/>
            </w:rPr>
            <w:t xml:space="preserve">viešojo sektoriaus apskaitos ir finansinės atskaitomybės standarto </w:t>
          </w:r>
          <w:r>
            <w:rPr>
              <w:szCs w:val="24"/>
              <w:lang w:eastAsia="lt-LT"/>
            </w:rPr>
            <w:t>„Veiklos rezultatų ataskaita“</w:t>
          </w:r>
        </w:p>
        <w:p>
          <w:pPr>
            <w:tabs>
              <w:tab w:val="left" w:pos="933"/>
              <w:tab w:val="left" w:pos="4149"/>
              <w:tab w:val="left" w:pos="6103"/>
              <w:tab w:val="left" w:pos="7365"/>
              <w:tab w:val="left" w:pos="8901"/>
              <w:tab w:val="left" w:pos="10344"/>
            </w:tabs>
            <w:ind w:left="4535"/>
            <w:rPr>
              <w:szCs w:val="24"/>
              <w:lang w:eastAsia="lt-LT"/>
            </w:rPr>
          </w:pPr>
          <w:sdt>
            <w:sdtPr>
              <w:alias w:val="Numeris"/>
              <w:tag w:val="nr_658690fe48674c098d4feb863290d820"/>
              <w:lock w:val="sdtLocked"/>
              <w:richText/>
            </w:sdtPr>
            <w:sdtContent>
              <w:r>
                <w:rPr>
                  <w:szCs w:val="24"/>
                  <w:lang w:eastAsia="lt-LT"/>
                </w:rPr>
                <w:t>3</w:t>
              </w:r>
            </w:sdtContent>
          </w:sdt>
          <w:r>
            <w:rPr>
              <w:szCs w:val="24"/>
              <w:lang w:eastAsia="lt-LT"/>
            </w:rPr>
            <w:t xml:space="preserve"> priedas</w:t>
          </w:r>
        </w:p>
        <w:p>
          <w:pPr>
            <w:tabs>
              <w:tab w:val="left" w:pos="933"/>
              <w:tab w:val="left" w:pos="4149"/>
              <w:tab w:val="left" w:pos="6103"/>
              <w:tab w:val="left" w:pos="7365"/>
              <w:tab w:val="left" w:pos="8901"/>
              <w:tab w:val="left" w:pos="10344"/>
            </w:tabs>
            <w:jc w:val="center"/>
            <w:rPr>
              <w:szCs w:val="24"/>
              <w:lang w:eastAsia="lt-LT"/>
            </w:rPr>
          </w:pPr>
        </w:p>
        <w:p>
          <w:pPr>
            <w:jc w:val="center"/>
            <w:rPr>
              <w:b/>
              <w:bCs/>
              <w:color w:val="000000"/>
              <w:szCs w:val="24"/>
              <w:lang w:eastAsia="lt-LT"/>
            </w:rPr>
          </w:pPr>
          <w:sdt>
            <w:sdtPr>
              <w:alias w:val="Pavadinimas"/>
              <w:tag w:val="title_658690fe48674c098d4feb863290d820"/>
              <w:lock w:val="sdtLocked"/>
              <w:richText/>
            </w:sdtPr>
            <w:sdtContent>
              <w:r>
                <w:rPr>
                  <w:b/>
                  <w:bCs/>
                  <w:szCs w:val="24"/>
                  <w:lang w:eastAsia="lt-LT"/>
                </w:rPr>
                <w:t xml:space="preserve">(Valstybės veiklos rezultatų ataskaitos forma) </w:t>
              </w:r>
            </w:sdtContent>
          </w:sdt>
        </w:p>
        <w:p>
          <w:pPr>
            <w:tabs>
              <w:tab w:val="left" w:leader="underscore" w:pos="8901"/>
            </w:tabs>
            <w:suppressAutoHyphens/>
            <w:textAlignment w:val="baseline"/>
            <w:rPr>
              <w:szCs w:val="24"/>
              <w:lang w:eastAsia="lt-LT"/>
            </w:rPr>
          </w:pPr>
          <w:r>
            <w:rPr>
              <w:szCs w:val="24"/>
              <w:lang w:eastAsia="lt-LT"/>
            </w:rPr>
            <w:tab/>
          </w:r>
        </w:p>
        <w:p>
          <w:pPr>
            <w:suppressAutoHyphens/>
            <w:jc w:val="center"/>
            <w:textAlignment w:val="baseline"/>
            <w:rPr>
              <w:szCs w:val="24"/>
              <w:lang w:eastAsia="lt-LT"/>
            </w:rPr>
          </w:pPr>
          <w:r>
            <w:rPr>
              <w:szCs w:val="24"/>
              <w:lang w:eastAsia="lt-LT"/>
            </w:rPr>
            <w:t>(valstybės)</w:t>
          </w:r>
        </w:p>
        <w:p>
          <w:pPr>
            <w:tabs>
              <w:tab w:val="left" w:leader="underscore" w:pos="8901"/>
            </w:tabs>
            <w:suppressAutoHyphens/>
            <w:textAlignment w:val="baseline"/>
            <w:rPr>
              <w:szCs w:val="24"/>
              <w:lang w:eastAsia="lt-LT"/>
            </w:rPr>
          </w:pPr>
          <w:r>
            <w:rPr>
              <w:szCs w:val="24"/>
              <w:lang w:eastAsia="lt-LT"/>
            </w:rPr>
            <w:tab/>
          </w:r>
        </w:p>
        <w:p>
          <w:pPr>
            <w:jc w:val="center"/>
            <w:rPr>
              <w:szCs w:val="24"/>
              <w:lang w:eastAsia="lt-LT"/>
            </w:rPr>
          </w:pPr>
          <w:r>
            <w:rPr>
              <w:szCs w:val="24"/>
              <w:lang w:eastAsia="lt-LT"/>
            </w:rPr>
            <w:t>(viešojo sektoriaus subjekto, parengusio valstybės veiklos rezultatų ataskaitą, kodas, adresas)</w:t>
          </w:r>
        </w:p>
        <w:p>
          <w:pPr>
            <w:jc w:val="center"/>
            <w:rPr>
              <w:szCs w:val="24"/>
              <w:lang w:eastAsia="lt-LT"/>
            </w:rPr>
          </w:pPr>
        </w:p>
        <w:sdt>
          <w:sdtPr>
            <w:alias w:val="skirsnis"/>
            <w:tag w:val="part_e15fa6db021c46749fab26a8d2dcfefe"/>
            <w:lock w:val="sdtLocked"/>
            <w:richText/>
          </w:sdtPr>
          <w:sdtContent>
            <w:sdt>
              <w:sdtPr>
                <w:alias w:val="Pavadinimas"/>
                <w:tag w:val="title_e15fa6db021c46749fab26a8d2dcfefe"/>
                <w:lock w:val="sdtLocked"/>
                <w:richText/>
              </w:sdtPr>
              <w:sdtContent>
                <w:p>
                  <w:pPr>
                    <w:jc w:val="center"/>
                    <w:rPr>
                      <w:b/>
                      <w:bCs/>
                      <w:szCs w:val="24"/>
                      <w:lang w:eastAsia="lt-LT"/>
                    </w:rPr>
                  </w:pPr>
                  <w:r>
                    <w:rPr>
                      <w:b/>
                      <w:bCs/>
                      <w:szCs w:val="24"/>
                      <w:lang w:eastAsia="lt-LT"/>
                    </w:rPr>
                    <w:t>VALSTYBĖS VEIKLOS REZULTATŲ ATASKAITA</w:t>
                  </w:r>
                </w:p>
                <w:p>
                  <w:pPr>
                    <w:jc w:val="center"/>
                    <w:rPr>
                      <w:b/>
                      <w:bCs/>
                      <w:szCs w:val="24"/>
                      <w:lang w:eastAsia="lt-LT"/>
                    </w:rPr>
                  </w:pPr>
                  <w:r>
                    <w:rPr>
                      <w:b/>
                      <w:bCs/>
                      <w:szCs w:val="24"/>
                      <w:lang w:eastAsia="lt-LT"/>
                    </w:rPr>
                    <w:t>PAGAL 20___M._________D. DUOMENIS</w:t>
                  </w:r>
                </w:p>
              </w:sdtContent>
            </w:sdt>
            <w:p>
              <w:pPr>
                <w:tabs>
                  <w:tab w:val="left" w:pos="933"/>
                  <w:tab w:val="left" w:pos="4149"/>
                  <w:tab w:val="left" w:pos="6103"/>
                  <w:tab w:val="left" w:pos="7365"/>
                  <w:tab w:val="left" w:pos="8901"/>
                  <w:tab w:val="left" w:pos="10344"/>
                </w:tabs>
                <w:jc w:val="center"/>
                <w:rPr>
                  <w:szCs w:val="24"/>
                  <w:lang w:eastAsia="lt-LT"/>
                </w:rPr>
              </w:pPr>
            </w:p>
            <w:p>
              <w:pPr>
                <w:jc w:val="center"/>
                <w:rPr>
                  <w:szCs w:val="24"/>
                  <w:lang w:eastAsia="lt-LT"/>
                </w:rPr>
              </w:pPr>
              <w:r>
                <w:rPr>
                  <w:szCs w:val="24"/>
                  <w:lang w:eastAsia="lt-LT"/>
                </w:rPr>
                <w:t>_________________________Nr._____</w:t>
              </w:r>
            </w:p>
            <w:p>
              <w:pPr>
                <w:jc w:val="center"/>
                <w:rPr>
                  <w:szCs w:val="24"/>
                  <w:lang w:eastAsia="lt-LT"/>
                </w:rPr>
              </w:pPr>
              <w:r>
                <w:rPr>
                  <w:szCs w:val="24"/>
                  <w:lang w:eastAsia="lt-LT"/>
                </w:rPr>
                <w:t>(data)</w:t>
              </w:r>
            </w:p>
            <w:p>
              <w:pPr>
                <w:jc w:val="center"/>
                <w:rPr>
                  <w:szCs w:val="24"/>
                  <w:lang w:eastAsia="lt-LT"/>
                </w:rPr>
              </w:pPr>
            </w:p>
            <w:p>
              <w:pPr>
                <w:jc w:val="right"/>
                <w:rPr>
                  <w:i/>
                  <w:iCs/>
                  <w:szCs w:val="24"/>
                  <w:lang w:eastAsia="lt-LT"/>
                </w:rPr>
              </w:pPr>
              <w:r>
                <w:rPr>
                  <w:i/>
                  <w:iCs/>
                  <w:szCs w:val="24"/>
                  <w:lang w:eastAsia="lt-LT"/>
                </w:rPr>
                <w:t>Pateikimo valiuta ir tikslumas: tūkstančiais eurų</w:t>
              </w: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4151"/>
                <w:gridCol w:w="1290"/>
                <w:gridCol w:w="1575"/>
                <w:gridCol w:w="1537"/>
              </w:tblGrid>
              <w:tr>
                <w:trPr>
                  <w:trHeight w:val="513"/>
                  <w:tblHeader/>
                </w:trPr>
                <w:tc>
                  <w:tcPr>
                    <w:tcW w:w="1075" w:type="dxa"/>
                    <w:shd w:val="clear" w:color="auto" w:fill="auto"/>
                    <w:vAlign w:val="center"/>
                  </w:tcPr>
                  <w:p>
                    <w:pPr>
                      <w:jc w:val="center"/>
                      <w:rPr>
                        <w:b/>
                        <w:bCs/>
                        <w:sz w:val="20"/>
                        <w:lang w:eastAsia="lt-LT"/>
                      </w:rPr>
                    </w:pPr>
                    <w:r>
                      <w:rPr>
                        <w:b/>
                        <w:bCs/>
                        <w:sz w:val="20"/>
                        <w:lang w:eastAsia="lt-LT"/>
                      </w:rPr>
                      <w:t>Eil. Nr.</w:t>
                    </w:r>
                  </w:p>
                </w:tc>
                <w:tc>
                  <w:tcPr>
                    <w:tcW w:w="4151" w:type="dxa"/>
                    <w:shd w:val="clear" w:color="auto" w:fill="auto"/>
                    <w:vAlign w:val="center"/>
                  </w:tcPr>
                  <w:p>
                    <w:pPr>
                      <w:jc w:val="center"/>
                      <w:rPr>
                        <w:b/>
                        <w:bCs/>
                        <w:sz w:val="20"/>
                        <w:lang w:eastAsia="lt-LT"/>
                      </w:rPr>
                    </w:pPr>
                    <w:r>
                      <w:rPr>
                        <w:b/>
                        <w:bCs/>
                        <w:sz w:val="20"/>
                        <w:lang w:eastAsia="lt-LT"/>
                      </w:rPr>
                      <w:t>Straipsniai</w:t>
                    </w:r>
                  </w:p>
                </w:tc>
                <w:tc>
                  <w:tcPr>
                    <w:tcW w:w="1290" w:type="dxa"/>
                    <w:shd w:val="clear" w:color="auto" w:fill="auto"/>
                    <w:vAlign w:val="center"/>
                  </w:tcPr>
                  <w:p>
                    <w:pPr>
                      <w:jc w:val="center"/>
                      <w:rPr>
                        <w:b/>
                        <w:bCs/>
                        <w:sz w:val="20"/>
                        <w:lang w:eastAsia="lt-LT"/>
                      </w:rPr>
                    </w:pPr>
                    <w:r>
                      <w:rPr>
                        <w:b/>
                        <w:bCs/>
                        <w:sz w:val="20"/>
                        <w:lang w:eastAsia="lt-LT"/>
                      </w:rPr>
                      <w:t>Pastabos Nr.</w:t>
                    </w:r>
                  </w:p>
                </w:tc>
                <w:tc>
                  <w:tcPr>
                    <w:tcW w:w="1575" w:type="dxa"/>
                    <w:shd w:val="clear" w:color="auto" w:fill="auto"/>
                    <w:vAlign w:val="center"/>
                  </w:tcPr>
                  <w:p>
                    <w:pPr>
                      <w:jc w:val="center"/>
                      <w:rPr>
                        <w:b/>
                        <w:bCs/>
                        <w:sz w:val="20"/>
                        <w:lang w:eastAsia="lt-LT"/>
                      </w:rPr>
                    </w:pPr>
                    <w:r>
                      <w:rPr>
                        <w:b/>
                        <w:bCs/>
                        <w:sz w:val="20"/>
                        <w:lang w:eastAsia="lt-LT"/>
                      </w:rPr>
                      <w:t>Ataskaitinis laikotarpis</w:t>
                    </w:r>
                  </w:p>
                </w:tc>
                <w:tc>
                  <w:tcPr>
                    <w:tcW w:w="1537" w:type="dxa"/>
                    <w:shd w:val="clear" w:color="auto" w:fill="auto"/>
                    <w:vAlign w:val="center"/>
                  </w:tcPr>
                  <w:p>
                    <w:pPr>
                      <w:jc w:val="center"/>
                      <w:rPr>
                        <w:b/>
                        <w:bCs/>
                        <w:sz w:val="20"/>
                        <w:lang w:eastAsia="lt-LT"/>
                      </w:rPr>
                    </w:pPr>
                    <w:r>
                      <w:rPr>
                        <w:b/>
                        <w:bCs/>
                        <w:sz w:val="20"/>
                        <w:lang w:eastAsia="lt-LT"/>
                      </w:rPr>
                      <w:t>Praėjęs ataskaitinis laikotarpis</w:t>
                    </w:r>
                  </w:p>
                </w:tc>
              </w:tr>
              <w:tr>
                <w:trPr>
                  <w:trHeight w:val="224"/>
                  <w:tblHeader/>
                </w:trPr>
                <w:tc>
                  <w:tcPr>
                    <w:tcW w:w="1075" w:type="dxa"/>
                    <w:shd w:val="clear" w:color="auto" w:fill="auto"/>
                    <w:vAlign w:val="center"/>
                  </w:tcPr>
                  <w:p>
                    <w:pPr>
                      <w:jc w:val="center"/>
                      <w:rPr>
                        <w:sz w:val="20"/>
                        <w:lang w:eastAsia="lt-LT"/>
                      </w:rPr>
                    </w:pPr>
                    <w:r>
                      <w:rPr>
                        <w:sz w:val="20"/>
                        <w:lang w:eastAsia="lt-LT"/>
                      </w:rPr>
                      <w:t>1</w:t>
                    </w:r>
                  </w:p>
                </w:tc>
                <w:tc>
                  <w:tcPr>
                    <w:tcW w:w="4151" w:type="dxa"/>
                    <w:shd w:val="clear" w:color="auto" w:fill="auto"/>
                    <w:vAlign w:val="center"/>
                  </w:tcPr>
                  <w:p>
                    <w:pPr>
                      <w:jc w:val="center"/>
                      <w:rPr>
                        <w:sz w:val="20"/>
                        <w:lang w:eastAsia="lt-LT"/>
                      </w:rPr>
                    </w:pPr>
                    <w:r>
                      <w:rPr>
                        <w:sz w:val="20"/>
                        <w:lang w:eastAsia="lt-LT"/>
                      </w:rPr>
                      <w:t>2</w:t>
                    </w:r>
                  </w:p>
                </w:tc>
                <w:tc>
                  <w:tcPr>
                    <w:tcW w:w="1290" w:type="dxa"/>
                    <w:shd w:val="clear" w:color="auto" w:fill="auto"/>
                    <w:vAlign w:val="center"/>
                  </w:tcPr>
                  <w:p>
                    <w:pPr>
                      <w:jc w:val="center"/>
                      <w:rPr>
                        <w:sz w:val="20"/>
                        <w:lang w:eastAsia="lt-LT"/>
                      </w:rPr>
                    </w:pPr>
                    <w:r>
                      <w:rPr>
                        <w:sz w:val="20"/>
                        <w:lang w:eastAsia="lt-LT"/>
                      </w:rPr>
                      <w:t>3</w:t>
                    </w:r>
                  </w:p>
                </w:tc>
                <w:tc>
                  <w:tcPr>
                    <w:tcW w:w="1575" w:type="dxa"/>
                    <w:shd w:val="clear" w:color="auto" w:fill="auto"/>
                    <w:vAlign w:val="center"/>
                  </w:tcPr>
                  <w:p>
                    <w:pPr>
                      <w:jc w:val="center"/>
                      <w:rPr>
                        <w:sz w:val="20"/>
                        <w:lang w:eastAsia="lt-LT"/>
                      </w:rPr>
                    </w:pPr>
                    <w:r>
                      <w:rPr>
                        <w:sz w:val="20"/>
                        <w:lang w:eastAsia="lt-LT"/>
                      </w:rPr>
                      <w:t>4</w:t>
                    </w:r>
                  </w:p>
                </w:tc>
                <w:tc>
                  <w:tcPr>
                    <w:tcW w:w="1537" w:type="dxa"/>
                    <w:shd w:val="clear" w:color="auto" w:fill="auto"/>
                    <w:vAlign w:val="center"/>
                  </w:tcPr>
                  <w:p>
                    <w:pPr>
                      <w:jc w:val="center"/>
                      <w:rPr>
                        <w:sz w:val="20"/>
                        <w:lang w:eastAsia="lt-LT"/>
                      </w:rPr>
                    </w:pPr>
                    <w:r>
                      <w:rPr>
                        <w:sz w:val="20"/>
                        <w:lang w:eastAsia="lt-LT"/>
                      </w:rPr>
                      <w:t>5</w:t>
                    </w:r>
                  </w:p>
                </w:tc>
              </w:tr>
              <w:tr>
                <w:trPr>
                  <w:trHeight w:val="315"/>
                </w:trPr>
                <w:tc>
                  <w:tcPr>
                    <w:tcW w:w="1075" w:type="dxa"/>
                    <w:shd w:val="clear" w:color="auto" w:fill="auto"/>
                    <w:vAlign w:val="center"/>
                  </w:tcPr>
                  <w:p>
                    <w:pPr>
                      <w:jc w:val="center"/>
                      <w:rPr>
                        <w:b/>
                        <w:bCs/>
                        <w:sz w:val="20"/>
                        <w:lang w:eastAsia="lt-LT"/>
                      </w:rPr>
                    </w:pPr>
                    <w:r>
                      <w:rPr>
                        <w:b/>
                        <w:bCs/>
                        <w:sz w:val="20"/>
                        <w:lang w:eastAsia="lt-LT"/>
                      </w:rPr>
                      <w:t>1.</w:t>
                    </w:r>
                  </w:p>
                </w:tc>
                <w:tc>
                  <w:tcPr>
                    <w:tcW w:w="4151" w:type="dxa"/>
                    <w:shd w:val="clear" w:color="auto" w:fill="auto"/>
                    <w:vAlign w:val="center"/>
                  </w:tcPr>
                  <w:p>
                    <w:pPr>
                      <w:rPr>
                        <w:b/>
                        <w:bCs/>
                        <w:sz w:val="20"/>
                        <w:lang w:eastAsia="lt-LT"/>
                      </w:rPr>
                    </w:pPr>
                    <w:r>
                      <w:rPr>
                        <w:b/>
                        <w:bCs/>
                        <w:sz w:val="20"/>
                        <w:lang w:eastAsia="lt-LT"/>
                      </w:rPr>
                      <w:t>PAJAMOS</w:t>
                    </w:r>
                  </w:p>
                </w:tc>
                <w:tc>
                  <w:tcPr>
                    <w:tcW w:w="1290" w:type="dxa"/>
                    <w:shd w:val="clear" w:color="auto" w:fill="auto"/>
                    <w:noWrap/>
                    <w:vAlign w:val="center"/>
                  </w:tcPr>
                  <w:p>
                    <w:pPr>
                      <w:ind w:firstLine="60"/>
                      <w:rPr>
                        <w:b/>
                        <w:bCs/>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216"/>
                </w:trPr>
                <w:tc>
                  <w:tcPr>
                    <w:tcW w:w="1075" w:type="dxa"/>
                    <w:shd w:val="clear" w:color="auto" w:fill="auto"/>
                    <w:vAlign w:val="center"/>
                  </w:tcPr>
                  <w:p>
                    <w:pPr>
                      <w:jc w:val="center"/>
                      <w:rPr>
                        <w:sz w:val="20"/>
                        <w:lang w:eastAsia="lt-LT"/>
                      </w:rPr>
                    </w:pPr>
                    <w:r>
                      <w:rPr>
                        <w:sz w:val="20"/>
                        <w:lang w:eastAsia="lt-LT"/>
                      </w:rPr>
                      <w:t>1.1.</w:t>
                    </w:r>
                  </w:p>
                </w:tc>
                <w:tc>
                  <w:tcPr>
                    <w:tcW w:w="4151" w:type="dxa"/>
                    <w:shd w:val="clear" w:color="auto" w:fill="auto"/>
                    <w:vAlign w:val="center"/>
                  </w:tcPr>
                  <w:p>
                    <w:pPr>
                      <w:rPr>
                        <w:sz w:val="20"/>
                        <w:lang w:eastAsia="lt-LT"/>
                      </w:rPr>
                    </w:pPr>
                    <w:r>
                      <w:rPr>
                        <w:sz w:val="20"/>
                        <w:lang w:eastAsia="lt-LT"/>
                      </w:rPr>
                      <w:t>FINANSAVIMO PAJAMOS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220"/>
                </w:trPr>
                <w:tc>
                  <w:tcPr>
                    <w:tcW w:w="1075" w:type="dxa"/>
                    <w:shd w:val="clear" w:color="auto" w:fill="auto"/>
                    <w:vAlign w:val="center"/>
                  </w:tcPr>
                  <w:p>
                    <w:pPr>
                      <w:jc w:val="center"/>
                      <w:rPr>
                        <w:sz w:val="20"/>
                        <w:lang w:eastAsia="lt-LT"/>
                      </w:rPr>
                    </w:pPr>
                    <w:r>
                      <w:rPr>
                        <w:sz w:val="20"/>
                        <w:lang w:eastAsia="lt-LT"/>
                      </w:rPr>
                      <w:t>1.2.</w:t>
                    </w:r>
                  </w:p>
                </w:tc>
                <w:tc>
                  <w:tcPr>
                    <w:tcW w:w="4151" w:type="dxa"/>
                    <w:shd w:val="clear" w:color="auto" w:fill="auto"/>
                    <w:vAlign w:val="center"/>
                  </w:tcPr>
                  <w:p>
                    <w:pPr>
                      <w:rPr>
                        <w:sz w:val="20"/>
                        <w:lang w:eastAsia="lt-LT"/>
                      </w:rPr>
                    </w:pPr>
                    <w:r>
                      <w:rPr>
                        <w:sz w:val="20"/>
                        <w:lang w:eastAsia="lt-LT"/>
                      </w:rPr>
                      <w:t>MOKESČIŲ PAJAMOS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139"/>
                </w:trPr>
                <w:tc>
                  <w:tcPr>
                    <w:tcW w:w="1075" w:type="dxa"/>
                    <w:shd w:val="clear" w:color="auto" w:fill="auto"/>
                    <w:vAlign w:val="center"/>
                  </w:tcPr>
                  <w:p>
                    <w:pPr>
                      <w:jc w:val="center"/>
                      <w:rPr>
                        <w:sz w:val="20"/>
                        <w:lang w:eastAsia="lt-LT"/>
                      </w:rPr>
                    </w:pPr>
                    <w:r>
                      <w:rPr>
                        <w:sz w:val="20"/>
                        <w:lang w:eastAsia="lt-LT"/>
                      </w:rPr>
                      <w:t>1.2.1.</w:t>
                    </w:r>
                  </w:p>
                </w:tc>
                <w:tc>
                  <w:tcPr>
                    <w:tcW w:w="4151" w:type="dxa"/>
                    <w:shd w:val="clear" w:color="auto" w:fill="auto"/>
                    <w:vAlign w:val="center"/>
                  </w:tcPr>
                  <w:p>
                    <w:pPr>
                      <w:ind w:left="117"/>
                      <w:rPr>
                        <w:sz w:val="20"/>
                        <w:lang w:eastAsia="lt-LT"/>
                      </w:rPr>
                    </w:pPr>
                    <w:r>
                      <w:rPr>
                        <w:sz w:val="20"/>
                        <w:lang w:eastAsia="lt-LT"/>
                      </w:rPr>
                      <w:t>Pelno ir pajamų mokesčių</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130"/>
                </w:trPr>
                <w:tc>
                  <w:tcPr>
                    <w:tcW w:w="1075" w:type="dxa"/>
                    <w:shd w:val="clear" w:color="auto" w:fill="auto"/>
                    <w:vAlign w:val="center"/>
                  </w:tcPr>
                  <w:p>
                    <w:pPr>
                      <w:jc w:val="center"/>
                      <w:rPr>
                        <w:sz w:val="20"/>
                        <w:lang w:eastAsia="lt-LT"/>
                      </w:rPr>
                    </w:pPr>
                    <w:r>
                      <w:rPr>
                        <w:sz w:val="20"/>
                        <w:lang w:eastAsia="lt-LT"/>
                      </w:rPr>
                      <w:t>1.2.2.</w:t>
                    </w:r>
                  </w:p>
                </w:tc>
                <w:tc>
                  <w:tcPr>
                    <w:tcW w:w="4151" w:type="dxa"/>
                    <w:shd w:val="clear" w:color="auto" w:fill="auto"/>
                    <w:vAlign w:val="center"/>
                  </w:tcPr>
                  <w:p>
                    <w:pPr>
                      <w:ind w:left="117"/>
                      <w:rPr>
                        <w:sz w:val="20"/>
                        <w:lang w:eastAsia="lt-LT"/>
                      </w:rPr>
                    </w:pPr>
                    <w:r>
                      <w:rPr>
                        <w:sz w:val="20"/>
                        <w:lang w:eastAsia="lt-LT"/>
                      </w:rPr>
                      <w:t>Prekių ir paslaugų mokesčių</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266"/>
                </w:trPr>
                <w:tc>
                  <w:tcPr>
                    <w:tcW w:w="1075" w:type="dxa"/>
                    <w:shd w:val="clear" w:color="auto" w:fill="auto"/>
                    <w:vAlign w:val="center"/>
                  </w:tcPr>
                  <w:p>
                    <w:pPr>
                      <w:jc w:val="center"/>
                      <w:rPr>
                        <w:sz w:val="20"/>
                        <w:lang w:eastAsia="lt-LT"/>
                      </w:rPr>
                    </w:pPr>
                    <w:r>
                      <w:rPr>
                        <w:sz w:val="20"/>
                        <w:lang w:eastAsia="lt-LT"/>
                      </w:rPr>
                      <w:t>1.2.3.</w:t>
                    </w:r>
                  </w:p>
                </w:tc>
                <w:tc>
                  <w:tcPr>
                    <w:tcW w:w="4151" w:type="dxa"/>
                    <w:shd w:val="clear" w:color="auto" w:fill="auto"/>
                    <w:vAlign w:val="center"/>
                  </w:tcPr>
                  <w:p>
                    <w:pPr>
                      <w:ind w:left="117"/>
                      <w:rPr>
                        <w:sz w:val="20"/>
                        <w:lang w:eastAsia="lt-LT"/>
                      </w:rPr>
                    </w:pPr>
                    <w:r>
                      <w:rPr>
                        <w:sz w:val="20"/>
                        <w:lang w:eastAsia="lt-LT"/>
                      </w:rPr>
                      <w:t>Kitų mokesčių pajamos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266"/>
                </w:trPr>
                <w:tc>
                  <w:tcPr>
                    <w:tcW w:w="1075" w:type="dxa"/>
                    <w:shd w:val="clear" w:color="auto" w:fill="auto"/>
                    <w:vAlign w:val="center"/>
                  </w:tcPr>
                  <w:p>
                    <w:pPr>
                      <w:jc w:val="center"/>
                      <w:rPr>
                        <w:sz w:val="20"/>
                        <w:lang w:eastAsia="lt-LT"/>
                      </w:rPr>
                    </w:pPr>
                    <w:r>
                      <w:rPr>
                        <w:sz w:val="20"/>
                        <w:lang w:eastAsia="lt-LT"/>
                      </w:rPr>
                      <w:t>1.3.</w:t>
                    </w:r>
                  </w:p>
                </w:tc>
                <w:tc>
                  <w:tcPr>
                    <w:tcW w:w="4151" w:type="dxa"/>
                    <w:shd w:val="clear" w:color="auto" w:fill="auto"/>
                    <w:vAlign w:val="center"/>
                  </w:tcPr>
                  <w:p>
                    <w:pPr>
                      <w:rPr>
                        <w:sz w:val="20"/>
                        <w:lang w:eastAsia="lt-LT"/>
                      </w:rPr>
                    </w:pPr>
                    <w:r>
                      <w:rPr>
                        <w:sz w:val="20"/>
                        <w:lang w:eastAsia="lt-LT"/>
                      </w:rPr>
                      <w:t>SOCIALINIŲ ĮMOKŲ IR KITŲ ĮMOKŲ Į FONDUS PAJAMOS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266"/>
                </w:trPr>
                <w:tc>
                  <w:tcPr>
                    <w:tcW w:w="1075" w:type="dxa"/>
                    <w:shd w:val="clear" w:color="auto" w:fill="auto"/>
                    <w:vAlign w:val="center"/>
                  </w:tcPr>
                  <w:p>
                    <w:pPr>
                      <w:jc w:val="center"/>
                      <w:rPr>
                        <w:sz w:val="20"/>
                        <w:lang w:eastAsia="lt-LT"/>
                      </w:rPr>
                    </w:pPr>
                    <w:r>
                      <w:rPr>
                        <w:sz w:val="20"/>
                        <w:lang w:eastAsia="lt-LT"/>
                      </w:rPr>
                      <w:t>1.3.1.</w:t>
                    </w:r>
                  </w:p>
                </w:tc>
                <w:tc>
                  <w:tcPr>
                    <w:tcW w:w="4151" w:type="dxa"/>
                    <w:shd w:val="clear" w:color="auto" w:fill="auto"/>
                    <w:vAlign w:val="center"/>
                  </w:tcPr>
                  <w:p>
                    <w:pPr>
                      <w:ind w:left="117"/>
                      <w:rPr>
                        <w:sz w:val="20"/>
                        <w:lang w:eastAsia="lt-LT"/>
                      </w:rPr>
                    </w:pPr>
                    <w:r>
                      <w:rPr>
                        <w:sz w:val="20"/>
                        <w:lang w:eastAsia="lt-LT"/>
                      </w:rPr>
                      <w:t>Socialinių įmokų pajamos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266"/>
                </w:trPr>
                <w:tc>
                  <w:tcPr>
                    <w:tcW w:w="1075" w:type="dxa"/>
                    <w:shd w:val="clear" w:color="auto" w:fill="auto"/>
                    <w:vAlign w:val="center"/>
                  </w:tcPr>
                  <w:p>
                    <w:pPr>
                      <w:jc w:val="center"/>
                      <w:rPr>
                        <w:sz w:val="20"/>
                        <w:lang w:eastAsia="lt-LT"/>
                      </w:rPr>
                    </w:pPr>
                    <w:r>
                      <w:rPr>
                        <w:sz w:val="20"/>
                        <w:lang w:eastAsia="lt-LT"/>
                      </w:rPr>
                      <w:t>1.3.2.</w:t>
                    </w:r>
                  </w:p>
                </w:tc>
                <w:tc>
                  <w:tcPr>
                    <w:tcW w:w="4151" w:type="dxa"/>
                    <w:shd w:val="clear" w:color="auto" w:fill="auto"/>
                    <w:vAlign w:val="center"/>
                  </w:tcPr>
                  <w:p>
                    <w:pPr>
                      <w:ind w:left="117"/>
                      <w:rPr>
                        <w:sz w:val="20"/>
                        <w:lang w:eastAsia="lt-LT"/>
                      </w:rPr>
                    </w:pPr>
                    <w:r>
                      <w:rPr>
                        <w:sz w:val="20"/>
                        <w:lang w:eastAsia="lt-LT"/>
                      </w:rPr>
                      <w:t>Kitų įmokų į fondus pajamos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200"/>
                </w:trPr>
                <w:tc>
                  <w:tcPr>
                    <w:tcW w:w="1075" w:type="dxa"/>
                    <w:shd w:val="clear" w:color="auto" w:fill="auto"/>
                    <w:vAlign w:val="center"/>
                  </w:tcPr>
                  <w:p>
                    <w:pPr>
                      <w:jc w:val="center"/>
                      <w:rPr>
                        <w:sz w:val="20"/>
                        <w:lang w:eastAsia="lt-LT"/>
                      </w:rPr>
                    </w:pPr>
                    <w:r>
                      <w:rPr>
                        <w:sz w:val="20"/>
                        <w:lang w:eastAsia="lt-LT"/>
                      </w:rPr>
                      <w:t>1.4.</w:t>
                    </w:r>
                  </w:p>
                </w:tc>
                <w:tc>
                  <w:tcPr>
                    <w:tcW w:w="4151" w:type="dxa"/>
                    <w:shd w:val="clear" w:color="auto" w:fill="auto"/>
                    <w:vAlign w:val="center"/>
                  </w:tcPr>
                  <w:p>
                    <w:pPr>
                      <w:rPr>
                        <w:sz w:val="20"/>
                        <w:lang w:eastAsia="lt-LT"/>
                      </w:rPr>
                    </w:pPr>
                    <w:r>
                      <w:rPr>
                        <w:sz w:val="20"/>
                        <w:lang w:eastAsia="lt-LT"/>
                      </w:rPr>
                      <w:t xml:space="preserve">KITOS PAJAMOS </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252"/>
                </w:trPr>
                <w:tc>
                  <w:tcPr>
                    <w:tcW w:w="1075" w:type="dxa"/>
                    <w:shd w:val="clear" w:color="auto" w:fill="auto"/>
                    <w:vAlign w:val="center"/>
                  </w:tcPr>
                  <w:p>
                    <w:pPr>
                      <w:jc w:val="center"/>
                      <w:rPr>
                        <w:sz w:val="20"/>
                        <w:lang w:eastAsia="lt-LT"/>
                      </w:rPr>
                    </w:pPr>
                    <w:r>
                      <w:rPr>
                        <w:sz w:val="20"/>
                        <w:lang w:eastAsia="lt-LT"/>
                      </w:rPr>
                      <w:t>1.4.1.</w:t>
                    </w:r>
                  </w:p>
                </w:tc>
                <w:tc>
                  <w:tcPr>
                    <w:tcW w:w="4151" w:type="dxa"/>
                    <w:shd w:val="clear" w:color="auto" w:fill="auto"/>
                    <w:vAlign w:val="center"/>
                  </w:tcPr>
                  <w:p>
                    <w:pPr>
                      <w:ind w:left="117"/>
                      <w:rPr>
                        <w:sz w:val="20"/>
                        <w:lang w:eastAsia="lt-LT"/>
                      </w:rPr>
                    </w:pPr>
                    <w:r>
                      <w:rPr>
                        <w:sz w:val="20"/>
                        <w:lang w:eastAsia="lt-LT"/>
                      </w:rPr>
                      <w:t>Rinkliavų ir žyminio mokesčio pajamos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83"/>
                </w:trPr>
                <w:tc>
                  <w:tcPr>
                    <w:tcW w:w="1075" w:type="dxa"/>
                    <w:shd w:val="clear" w:color="auto" w:fill="auto"/>
                    <w:vAlign w:val="center"/>
                  </w:tcPr>
                  <w:p>
                    <w:pPr>
                      <w:jc w:val="center"/>
                      <w:rPr>
                        <w:sz w:val="20"/>
                        <w:lang w:eastAsia="lt-LT"/>
                      </w:rPr>
                    </w:pPr>
                    <w:r>
                      <w:rPr>
                        <w:sz w:val="20"/>
                        <w:lang w:eastAsia="lt-LT"/>
                      </w:rPr>
                      <w:t>1.4.2.</w:t>
                    </w:r>
                  </w:p>
                </w:tc>
                <w:tc>
                  <w:tcPr>
                    <w:tcW w:w="4151" w:type="dxa"/>
                    <w:shd w:val="clear" w:color="auto" w:fill="auto"/>
                    <w:vAlign w:val="center"/>
                  </w:tcPr>
                  <w:p>
                    <w:pPr>
                      <w:ind w:left="117"/>
                      <w:rPr>
                        <w:sz w:val="20"/>
                        <w:lang w:eastAsia="lt-LT"/>
                      </w:rPr>
                    </w:pPr>
                    <w:r>
                      <w:rPr>
                        <w:sz w:val="20"/>
                        <w:lang w:eastAsia="lt-LT"/>
                      </w:rPr>
                      <w:t>Prekių pardavimo ir paslaugų pajamos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83"/>
                </w:trPr>
                <w:tc>
                  <w:tcPr>
                    <w:tcW w:w="1075" w:type="dxa"/>
                    <w:shd w:val="clear" w:color="auto" w:fill="auto"/>
                    <w:vAlign w:val="center"/>
                  </w:tcPr>
                  <w:p>
                    <w:pPr>
                      <w:jc w:val="center"/>
                      <w:rPr>
                        <w:sz w:val="20"/>
                        <w:lang w:eastAsia="lt-LT"/>
                      </w:rPr>
                    </w:pPr>
                    <w:r>
                      <w:rPr>
                        <w:sz w:val="20"/>
                        <w:lang w:eastAsia="lt-LT"/>
                      </w:rPr>
                      <w:t>1.4.2.1.</w:t>
                    </w:r>
                  </w:p>
                </w:tc>
                <w:tc>
                  <w:tcPr>
                    <w:tcW w:w="4151" w:type="dxa"/>
                    <w:shd w:val="clear" w:color="auto" w:fill="auto"/>
                    <w:vAlign w:val="center"/>
                  </w:tcPr>
                  <w:p>
                    <w:pPr>
                      <w:ind w:left="426"/>
                      <w:rPr>
                        <w:sz w:val="20"/>
                        <w:lang w:eastAsia="lt-LT"/>
                      </w:rPr>
                    </w:pPr>
                    <w:r>
                      <w:rPr>
                        <w:sz w:val="20"/>
                        <w:lang w:eastAsia="lt-LT"/>
                      </w:rPr>
                      <w:t>Prekių pardavimo ir paslaugų, apmokamų viešojo sektoriaus subjektų lėšomis, pajamos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206"/>
                </w:trPr>
                <w:tc>
                  <w:tcPr>
                    <w:tcW w:w="1075" w:type="dxa"/>
                    <w:shd w:val="clear" w:color="auto" w:fill="auto"/>
                    <w:vAlign w:val="center"/>
                  </w:tcPr>
                  <w:p>
                    <w:pPr>
                      <w:jc w:val="center"/>
                      <w:rPr>
                        <w:sz w:val="20"/>
                        <w:lang w:eastAsia="lt-LT"/>
                      </w:rPr>
                    </w:pPr>
                    <w:r>
                      <w:rPr>
                        <w:sz w:val="20"/>
                        <w:lang w:eastAsia="lt-LT"/>
                      </w:rPr>
                      <w:t>1.4.2.2.</w:t>
                    </w:r>
                  </w:p>
                </w:tc>
                <w:tc>
                  <w:tcPr>
                    <w:tcW w:w="4151" w:type="dxa"/>
                    <w:shd w:val="clear" w:color="auto" w:fill="auto"/>
                    <w:vAlign w:val="center"/>
                  </w:tcPr>
                  <w:p>
                    <w:pPr>
                      <w:ind w:left="426"/>
                      <w:rPr>
                        <w:sz w:val="20"/>
                        <w:lang w:eastAsia="lt-LT"/>
                      </w:rPr>
                    </w:pPr>
                    <w:r>
                      <w:rPr>
                        <w:sz w:val="20"/>
                        <w:lang w:eastAsia="lt-LT"/>
                      </w:rPr>
                      <w:t>Kitų prekių pardavimo ir paslaugų pajamos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160"/>
                </w:trPr>
                <w:tc>
                  <w:tcPr>
                    <w:tcW w:w="1075" w:type="dxa"/>
                    <w:shd w:val="clear" w:color="auto" w:fill="auto"/>
                    <w:vAlign w:val="center"/>
                  </w:tcPr>
                  <w:p>
                    <w:pPr>
                      <w:jc w:val="center"/>
                      <w:rPr>
                        <w:sz w:val="20"/>
                        <w:lang w:eastAsia="lt-LT"/>
                      </w:rPr>
                    </w:pPr>
                    <w:r>
                      <w:rPr>
                        <w:sz w:val="20"/>
                        <w:lang w:eastAsia="lt-LT"/>
                      </w:rPr>
                      <w:t>1.4.3.</w:t>
                    </w:r>
                  </w:p>
                </w:tc>
                <w:tc>
                  <w:tcPr>
                    <w:tcW w:w="4151" w:type="dxa"/>
                    <w:shd w:val="clear" w:color="auto" w:fill="auto"/>
                    <w:vAlign w:val="center"/>
                  </w:tcPr>
                  <w:p>
                    <w:pPr>
                      <w:ind w:left="117"/>
                      <w:rPr>
                        <w:sz w:val="20"/>
                        <w:lang w:eastAsia="lt-LT"/>
                      </w:rPr>
                    </w:pPr>
                    <w:r>
                      <w:rPr>
                        <w:sz w:val="20"/>
                        <w:lang w:eastAsia="lt-LT"/>
                      </w:rPr>
                      <w:t>Baudų, konfiskuoto turto ir netesybų pajamos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150"/>
                </w:trPr>
                <w:tc>
                  <w:tcPr>
                    <w:tcW w:w="1075" w:type="dxa"/>
                    <w:shd w:val="clear" w:color="auto" w:fill="auto"/>
                    <w:vAlign w:val="center"/>
                  </w:tcPr>
                  <w:p>
                    <w:pPr>
                      <w:jc w:val="center"/>
                      <w:rPr>
                        <w:sz w:val="20"/>
                        <w:lang w:eastAsia="lt-LT"/>
                      </w:rPr>
                    </w:pPr>
                    <w:r>
                      <w:rPr>
                        <w:bCs/>
                        <w:sz w:val="20"/>
                        <w:lang w:eastAsia="lt-LT"/>
                      </w:rPr>
                      <w:t>1.4.4.</w:t>
                    </w:r>
                  </w:p>
                </w:tc>
                <w:tc>
                  <w:tcPr>
                    <w:tcW w:w="4151" w:type="dxa"/>
                    <w:shd w:val="clear" w:color="auto" w:fill="auto"/>
                    <w:vAlign w:val="center"/>
                  </w:tcPr>
                  <w:p>
                    <w:pPr>
                      <w:ind w:left="117"/>
                      <w:rPr>
                        <w:sz w:val="20"/>
                        <w:lang w:eastAsia="lt-LT"/>
                      </w:rPr>
                    </w:pPr>
                    <w:r>
                      <w:rPr>
                        <w:bCs/>
                        <w:sz w:val="20"/>
                        <w:lang w:eastAsia="lt-LT"/>
                      </w:rPr>
                      <w:t>Finansinės ir investicinės veiklos pajamos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15"/>
                </w:trPr>
                <w:tc>
                  <w:tcPr>
                    <w:tcW w:w="1075" w:type="dxa"/>
                    <w:shd w:val="clear" w:color="auto" w:fill="auto"/>
                    <w:vAlign w:val="center"/>
                  </w:tcPr>
                  <w:p>
                    <w:pPr>
                      <w:jc w:val="center"/>
                      <w:rPr>
                        <w:sz w:val="20"/>
                        <w:lang w:eastAsia="lt-LT"/>
                      </w:rPr>
                    </w:pPr>
                    <w:r>
                      <w:rPr>
                        <w:bCs/>
                        <w:sz w:val="20"/>
                        <w:lang w:eastAsia="lt-LT"/>
                      </w:rPr>
                      <w:t>1.4.4.1.</w:t>
                    </w:r>
                  </w:p>
                </w:tc>
                <w:tc>
                  <w:tcPr>
                    <w:tcW w:w="4151" w:type="dxa"/>
                    <w:shd w:val="clear" w:color="auto" w:fill="auto"/>
                    <w:vAlign w:val="center"/>
                  </w:tcPr>
                  <w:p>
                    <w:pPr>
                      <w:ind w:left="258"/>
                      <w:rPr>
                        <w:sz w:val="20"/>
                        <w:lang w:eastAsia="lt-LT"/>
                      </w:rPr>
                    </w:pPr>
                    <w:r>
                      <w:rPr>
                        <w:bCs/>
                        <w:sz w:val="20"/>
                        <w:lang w:eastAsia="lt-LT"/>
                      </w:rPr>
                      <w:t>Finansinio turto tikrosios vertės padidėjimas ir perleidimo pelnas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15"/>
                </w:trPr>
                <w:tc>
                  <w:tcPr>
                    <w:tcW w:w="1075" w:type="dxa"/>
                    <w:shd w:val="clear" w:color="auto" w:fill="auto"/>
                    <w:vAlign w:val="center"/>
                  </w:tcPr>
                  <w:p>
                    <w:pPr>
                      <w:jc w:val="center"/>
                      <w:rPr>
                        <w:sz w:val="20"/>
                        <w:lang w:eastAsia="lt-LT"/>
                      </w:rPr>
                    </w:pPr>
                    <w:r>
                      <w:rPr>
                        <w:bCs/>
                        <w:sz w:val="20"/>
                        <w:lang w:eastAsia="lt-LT"/>
                      </w:rPr>
                      <w:t>1.4.4.2.</w:t>
                    </w:r>
                  </w:p>
                </w:tc>
                <w:tc>
                  <w:tcPr>
                    <w:tcW w:w="4151" w:type="dxa"/>
                    <w:shd w:val="clear" w:color="auto" w:fill="auto"/>
                    <w:vAlign w:val="center"/>
                  </w:tcPr>
                  <w:p>
                    <w:pPr>
                      <w:ind w:left="258"/>
                      <w:rPr>
                        <w:sz w:val="20"/>
                        <w:lang w:eastAsia="lt-LT"/>
                      </w:rPr>
                    </w:pPr>
                    <w:r>
                      <w:rPr>
                        <w:bCs/>
                        <w:sz w:val="20"/>
                        <w:lang w:eastAsia="lt-LT"/>
                      </w:rPr>
                      <w:t>Palūkanų pajamos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15"/>
                </w:trPr>
                <w:tc>
                  <w:tcPr>
                    <w:tcW w:w="1075" w:type="dxa"/>
                    <w:shd w:val="clear" w:color="auto" w:fill="auto"/>
                    <w:vAlign w:val="center"/>
                  </w:tcPr>
                  <w:p>
                    <w:pPr>
                      <w:jc w:val="center"/>
                      <w:rPr>
                        <w:bCs/>
                        <w:sz w:val="20"/>
                        <w:lang w:eastAsia="lt-LT"/>
                      </w:rPr>
                    </w:pPr>
                    <w:r>
                      <w:rPr>
                        <w:bCs/>
                        <w:sz w:val="20"/>
                        <w:lang w:eastAsia="lt-LT"/>
                      </w:rPr>
                      <w:t>1.4.4.3.</w:t>
                    </w:r>
                  </w:p>
                </w:tc>
                <w:tc>
                  <w:tcPr>
                    <w:tcW w:w="4151" w:type="dxa"/>
                    <w:shd w:val="clear" w:color="auto" w:fill="auto"/>
                    <w:vAlign w:val="center"/>
                  </w:tcPr>
                  <w:p>
                    <w:pPr>
                      <w:ind w:left="258"/>
                      <w:rPr>
                        <w:bCs/>
                        <w:sz w:val="20"/>
                        <w:lang w:eastAsia="lt-LT"/>
                      </w:rPr>
                    </w:pPr>
                    <w:r>
                      <w:rPr>
                        <w:bCs/>
                        <w:sz w:val="20"/>
                        <w:lang w:eastAsia="lt-LT"/>
                      </w:rPr>
                      <w:t>Dividendai</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15"/>
                </w:trPr>
                <w:tc>
                  <w:tcPr>
                    <w:tcW w:w="1075" w:type="dxa"/>
                    <w:shd w:val="clear" w:color="auto" w:fill="auto"/>
                    <w:vAlign w:val="center"/>
                  </w:tcPr>
                  <w:p>
                    <w:pPr>
                      <w:jc w:val="center"/>
                      <w:rPr>
                        <w:sz w:val="20"/>
                        <w:lang w:eastAsia="lt-LT"/>
                      </w:rPr>
                    </w:pPr>
                    <w:r>
                      <w:rPr>
                        <w:bCs/>
                        <w:sz w:val="20"/>
                        <w:lang w:eastAsia="lt-LT"/>
                      </w:rPr>
                      <w:t>1.4.4.4.</w:t>
                    </w:r>
                  </w:p>
                </w:tc>
                <w:tc>
                  <w:tcPr>
                    <w:tcW w:w="4151" w:type="dxa"/>
                    <w:shd w:val="clear" w:color="auto" w:fill="auto"/>
                    <w:vAlign w:val="center"/>
                  </w:tcPr>
                  <w:p>
                    <w:pPr>
                      <w:ind w:left="258"/>
                      <w:rPr>
                        <w:sz w:val="20"/>
                        <w:lang w:eastAsia="lt-LT"/>
                      </w:rPr>
                    </w:pPr>
                    <w:r>
                      <w:rPr>
                        <w:bCs/>
                        <w:sz w:val="20"/>
                        <w:lang w:eastAsia="lt-LT"/>
                      </w:rPr>
                      <w:t>Kitos finansinės ir investicinės veiklos pajamos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15"/>
                </w:trPr>
                <w:tc>
                  <w:tcPr>
                    <w:tcW w:w="1075" w:type="dxa"/>
                    <w:shd w:val="clear" w:color="auto" w:fill="auto"/>
                    <w:vAlign w:val="center"/>
                  </w:tcPr>
                  <w:p>
                    <w:pPr>
                      <w:jc w:val="center"/>
                      <w:rPr>
                        <w:bCs/>
                        <w:sz w:val="20"/>
                        <w:lang w:eastAsia="lt-LT"/>
                      </w:rPr>
                    </w:pPr>
                    <w:r>
                      <w:rPr>
                        <w:bCs/>
                        <w:sz w:val="20"/>
                        <w:lang w:eastAsia="lt-LT"/>
                      </w:rPr>
                      <w:t>1.4.5.</w:t>
                    </w:r>
                  </w:p>
                </w:tc>
                <w:tc>
                  <w:tcPr>
                    <w:tcW w:w="4151" w:type="dxa"/>
                    <w:shd w:val="clear" w:color="auto" w:fill="auto"/>
                    <w:vAlign w:val="center"/>
                  </w:tcPr>
                  <w:p>
                    <w:pPr>
                      <w:ind w:left="100"/>
                      <w:rPr>
                        <w:bCs/>
                        <w:sz w:val="20"/>
                        <w:lang w:eastAsia="lt-LT"/>
                      </w:rPr>
                    </w:pPr>
                    <w:r>
                      <w:rPr>
                        <w:bCs/>
                        <w:sz w:val="20"/>
                        <w:lang w:eastAsia="lt-LT"/>
                      </w:rPr>
                      <w:t xml:space="preserve">Kitos </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15"/>
                </w:trPr>
                <w:tc>
                  <w:tcPr>
                    <w:tcW w:w="1075" w:type="dxa"/>
                    <w:shd w:val="clear" w:color="auto" w:fill="auto"/>
                    <w:vAlign w:val="center"/>
                  </w:tcPr>
                  <w:p>
                    <w:pPr>
                      <w:jc w:val="center"/>
                      <w:rPr>
                        <w:bCs/>
                        <w:sz w:val="20"/>
                        <w:lang w:eastAsia="lt-LT"/>
                      </w:rPr>
                    </w:pPr>
                    <w:r>
                      <w:rPr>
                        <w:bCs/>
                        <w:sz w:val="20"/>
                        <w:lang w:eastAsia="lt-LT"/>
                      </w:rPr>
                      <w:t>1.4.6.</w:t>
                    </w:r>
                  </w:p>
                </w:tc>
                <w:tc>
                  <w:tcPr>
                    <w:tcW w:w="4151" w:type="dxa"/>
                    <w:shd w:val="clear" w:color="auto" w:fill="auto"/>
                    <w:vAlign w:val="center"/>
                  </w:tcPr>
                  <w:p>
                    <w:pPr>
                      <w:ind w:left="100"/>
                      <w:rPr>
                        <w:bCs/>
                        <w:sz w:val="20"/>
                        <w:lang w:eastAsia="lt-LT"/>
                      </w:rPr>
                    </w:pPr>
                    <w:r>
                      <w:rPr>
                        <w:bCs/>
                        <w:sz w:val="20"/>
                        <w:lang w:eastAsia="lt-LT"/>
                      </w:rPr>
                      <w:t>Negrąžintinai pervestinos į biudžetus, išteklių fondus pajamos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15"/>
                </w:trPr>
                <w:tc>
                  <w:tcPr>
                    <w:tcW w:w="1075" w:type="dxa"/>
                    <w:shd w:val="clear" w:color="auto" w:fill="auto"/>
                    <w:vAlign w:val="center"/>
                  </w:tcPr>
                  <w:p>
                    <w:pPr>
                      <w:jc w:val="center"/>
                      <w:rPr>
                        <w:b/>
                        <w:bCs/>
                        <w:sz w:val="20"/>
                        <w:lang w:eastAsia="lt-LT"/>
                      </w:rPr>
                    </w:pPr>
                    <w:r>
                      <w:rPr>
                        <w:b/>
                        <w:bCs/>
                        <w:sz w:val="20"/>
                        <w:lang w:eastAsia="lt-LT"/>
                      </w:rPr>
                      <w:t>2.</w:t>
                    </w:r>
                  </w:p>
                </w:tc>
                <w:tc>
                  <w:tcPr>
                    <w:tcW w:w="4151" w:type="dxa"/>
                    <w:shd w:val="clear" w:color="auto" w:fill="auto"/>
                    <w:vAlign w:val="center"/>
                  </w:tcPr>
                  <w:p>
                    <w:pPr>
                      <w:rPr>
                        <w:b/>
                        <w:bCs/>
                        <w:sz w:val="20"/>
                        <w:lang w:eastAsia="lt-LT"/>
                      </w:rPr>
                    </w:pPr>
                    <w:r>
                      <w:rPr>
                        <w:b/>
                        <w:bCs/>
                        <w:sz w:val="20"/>
                        <w:lang w:eastAsia="lt-LT"/>
                      </w:rPr>
                      <w:t>SĄNAUDOS</w:t>
                    </w:r>
                  </w:p>
                </w:tc>
                <w:tc>
                  <w:tcPr>
                    <w:tcW w:w="1290" w:type="dxa"/>
                    <w:shd w:val="clear" w:color="auto" w:fill="auto"/>
                    <w:noWrap/>
                    <w:vAlign w:val="center"/>
                  </w:tcPr>
                  <w:p>
                    <w:pPr>
                      <w:ind w:firstLine="60"/>
                      <w:rPr>
                        <w:b/>
                        <w:bCs/>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15"/>
                </w:trPr>
                <w:tc>
                  <w:tcPr>
                    <w:tcW w:w="1075" w:type="dxa"/>
                    <w:shd w:val="clear" w:color="auto" w:fill="auto"/>
                    <w:vAlign w:val="center"/>
                  </w:tcPr>
                  <w:p>
                    <w:pPr>
                      <w:jc w:val="center"/>
                      <w:rPr>
                        <w:sz w:val="20"/>
                        <w:lang w:eastAsia="lt-LT"/>
                      </w:rPr>
                    </w:pPr>
                    <w:r>
                      <w:rPr>
                        <w:sz w:val="20"/>
                        <w:lang w:eastAsia="lt-LT"/>
                      </w:rPr>
                      <w:t>2.1.</w:t>
                    </w:r>
                  </w:p>
                </w:tc>
                <w:tc>
                  <w:tcPr>
                    <w:tcW w:w="4151" w:type="dxa"/>
                    <w:shd w:val="clear" w:color="auto" w:fill="auto"/>
                    <w:vAlign w:val="center"/>
                  </w:tcPr>
                  <w:p>
                    <w:pPr>
                      <w:ind w:left="5"/>
                      <w:rPr>
                        <w:sz w:val="20"/>
                        <w:lang w:eastAsia="lt-LT"/>
                      </w:rPr>
                    </w:pPr>
                    <w:r>
                      <w:rPr>
                        <w:sz w:val="20"/>
                        <w:lang w:eastAsia="lt-LT"/>
                      </w:rPr>
                      <w:t>SU DARBO SANTYKIAIS SUSIJUSIŲ IŠMOKŲ SĄNAUDOS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15"/>
                </w:trPr>
                <w:tc>
                  <w:tcPr>
                    <w:tcW w:w="1075" w:type="dxa"/>
                    <w:shd w:val="clear" w:color="auto" w:fill="auto"/>
                    <w:vAlign w:val="center"/>
                  </w:tcPr>
                  <w:p>
                    <w:pPr>
                      <w:jc w:val="center"/>
                      <w:rPr>
                        <w:sz w:val="20"/>
                        <w:lang w:eastAsia="lt-LT"/>
                      </w:rPr>
                    </w:pPr>
                    <w:r>
                      <w:rPr>
                        <w:sz w:val="20"/>
                        <w:lang w:eastAsia="lt-LT"/>
                      </w:rPr>
                      <w:t>2.1.1.</w:t>
                    </w:r>
                  </w:p>
                </w:tc>
                <w:tc>
                  <w:tcPr>
                    <w:tcW w:w="4151" w:type="dxa"/>
                    <w:shd w:val="clear" w:color="auto" w:fill="auto"/>
                    <w:vAlign w:val="center"/>
                  </w:tcPr>
                  <w:p>
                    <w:pPr>
                      <w:ind w:left="144"/>
                      <w:rPr>
                        <w:sz w:val="20"/>
                        <w:lang w:eastAsia="lt-LT"/>
                      </w:rPr>
                    </w:pPr>
                    <w:r>
                      <w:rPr>
                        <w:sz w:val="20"/>
                        <w:lang w:eastAsia="lt-LT"/>
                      </w:rPr>
                      <w:t>Darbo užmokesčio ir socialinio draudimo sąnaudos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15"/>
                </w:trPr>
                <w:tc>
                  <w:tcPr>
                    <w:tcW w:w="1075" w:type="dxa"/>
                    <w:shd w:val="clear" w:color="auto" w:fill="auto"/>
                    <w:vAlign w:val="center"/>
                  </w:tcPr>
                  <w:p>
                    <w:pPr>
                      <w:jc w:val="center"/>
                      <w:rPr>
                        <w:sz w:val="20"/>
                        <w:lang w:eastAsia="lt-LT"/>
                      </w:rPr>
                    </w:pPr>
                    <w:r>
                      <w:rPr>
                        <w:sz w:val="20"/>
                        <w:lang w:eastAsia="lt-LT"/>
                      </w:rPr>
                      <w:t>2.1.2.</w:t>
                    </w:r>
                  </w:p>
                </w:tc>
                <w:tc>
                  <w:tcPr>
                    <w:tcW w:w="4151" w:type="dxa"/>
                    <w:shd w:val="clear" w:color="auto" w:fill="auto"/>
                    <w:vAlign w:val="center"/>
                  </w:tcPr>
                  <w:p>
                    <w:pPr>
                      <w:ind w:left="144"/>
                      <w:rPr>
                        <w:sz w:val="20"/>
                        <w:lang w:eastAsia="lt-LT"/>
                      </w:rPr>
                    </w:pPr>
                    <w:r>
                      <w:rPr>
                        <w:sz w:val="20"/>
                        <w:lang w:eastAsia="lt-LT"/>
                      </w:rPr>
                      <w:t>Socialinių ir kitų išmokų darbuotojams sąnaudos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15"/>
                </w:trPr>
                <w:tc>
                  <w:tcPr>
                    <w:tcW w:w="1075" w:type="dxa"/>
                    <w:shd w:val="clear" w:color="auto" w:fill="auto"/>
                    <w:vAlign w:val="center"/>
                  </w:tcPr>
                  <w:p>
                    <w:pPr>
                      <w:jc w:val="center"/>
                      <w:rPr>
                        <w:sz w:val="20"/>
                        <w:lang w:eastAsia="lt-LT"/>
                      </w:rPr>
                    </w:pPr>
                    <w:r>
                      <w:rPr>
                        <w:sz w:val="20"/>
                        <w:lang w:eastAsia="lt-LT"/>
                      </w:rPr>
                      <w:t>2.2.</w:t>
                    </w:r>
                  </w:p>
                </w:tc>
                <w:tc>
                  <w:tcPr>
                    <w:tcW w:w="4151" w:type="dxa"/>
                    <w:shd w:val="clear" w:color="auto" w:fill="auto"/>
                    <w:vAlign w:val="center"/>
                  </w:tcPr>
                  <w:p>
                    <w:pPr>
                      <w:ind w:left="5"/>
                      <w:rPr>
                        <w:sz w:val="20"/>
                        <w:lang w:eastAsia="lt-LT"/>
                      </w:rPr>
                    </w:pPr>
                    <w:r>
                      <w:rPr>
                        <w:sz w:val="20"/>
                        <w:lang w:eastAsia="lt-LT"/>
                      </w:rPr>
                      <w:t>PREKIŲ IR PASLAUGŲ SĄNAUDOS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15"/>
                </w:trPr>
                <w:tc>
                  <w:tcPr>
                    <w:tcW w:w="1075" w:type="dxa"/>
                    <w:shd w:val="clear" w:color="auto" w:fill="auto"/>
                    <w:vAlign w:val="center"/>
                  </w:tcPr>
                  <w:p>
                    <w:pPr>
                      <w:jc w:val="center"/>
                      <w:rPr>
                        <w:sz w:val="20"/>
                        <w:lang w:eastAsia="lt-LT"/>
                      </w:rPr>
                    </w:pPr>
                    <w:r>
                      <w:rPr>
                        <w:sz w:val="20"/>
                        <w:lang w:eastAsia="lt-LT"/>
                      </w:rPr>
                      <w:t>2.2.1.</w:t>
                    </w:r>
                  </w:p>
                </w:tc>
                <w:tc>
                  <w:tcPr>
                    <w:tcW w:w="4151" w:type="dxa"/>
                    <w:shd w:val="clear" w:color="auto" w:fill="auto"/>
                    <w:vAlign w:val="center"/>
                  </w:tcPr>
                  <w:p>
                    <w:pPr>
                      <w:ind w:left="144"/>
                      <w:rPr>
                        <w:sz w:val="20"/>
                        <w:lang w:eastAsia="lt-LT"/>
                      </w:rPr>
                    </w:pPr>
                    <w:r>
                      <w:rPr>
                        <w:sz w:val="20"/>
                        <w:lang w:eastAsia="lt-LT"/>
                      </w:rPr>
                      <w:t>Prekių ir paslaugų sąnaudos veiklai</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15"/>
                </w:trPr>
                <w:tc>
                  <w:tcPr>
                    <w:tcW w:w="1075" w:type="dxa"/>
                    <w:shd w:val="clear" w:color="auto" w:fill="auto"/>
                    <w:vAlign w:val="center"/>
                  </w:tcPr>
                  <w:p>
                    <w:pPr>
                      <w:jc w:val="center"/>
                      <w:rPr>
                        <w:sz w:val="20"/>
                        <w:lang w:eastAsia="lt-LT"/>
                      </w:rPr>
                    </w:pPr>
                    <w:r>
                      <w:rPr>
                        <w:sz w:val="20"/>
                        <w:lang w:eastAsia="lt-LT"/>
                      </w:rPr>
                      <w:t>2.2.2.</w:t>
                    </w:r>
                  </w:p>
                </w:tc>
                <w:tc>
                  <w:tcPr>
                    <w:tcW w:w="4151" w:type="dxa"/>
                    <w:shd w:val="clear" w:color="auto" w:fill="auto"/>
                    <w:vAlign w:val="center"/>
                  </w:tcPr>
                  <w:p>
                    <w:pPr>
                      <w:ind w:left="144"/>
                      <w:rPr>
                        <w:sz w:val="20"/>
                        <w:lang w:eastAsia="lt-LT"/>
                      </w:rPr>
                    </w:pPr>
                    <w:r>
                      <w:rPr>
                        <w:sz w:val="20"/>
                        <w:lang w:eastAsia="lt-LT"/>
                      </w:rPr>
                      <w:t>Prekių ir paslaugų sąnaudos viešajam ūkiui</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15"/>
                </w:trPr>
                <w:tc>
                  <w:tcPr>
                    <w:tcW w:w="1075" w:type="dxa"/>
                    <w:shd w:val="clear" w:color="auto" w:fill="auto"/>
                    <w:vAlign w:val="center"/>
                  </w:tcPr>
                  <w:p>
                    <w:pPr>
                      <w:jc w:val="center"/>
                      <w:rPr>
                        <w:sz w:val="20"/>
                        <w:lang w:eastAsia="lt-LT"/>
                      </w:rPr>
                    </w:pPr>
                    <w:r>
                      <w:rPr>
                        <w:sz w:val="20"/>
                        <w:lang w:eastAsia="lt-LT"/>
                      </w:rPr>
                      <w:t>2.3.</w:t>
                    </w:r>
                  </w:p>
                </w:tc>
                <w:tc>
                  <w:tcPr>
                    <w:tcW w:w="4151" w:type="dxa"/>
                    <w:shd w:val="clear" w:color="auto" w:fill="auto"/>
                    <w:vAlign w:val="center"/>
                  </w:tcPr>
                  <w:p>
                    <w:pPr>
                      <w:ind w:left="5"/>
                      <w:rPr>
                        <w:sz w:val="20"/>
                        <w:lang w:eastAsia="lt-LT"/>
                      </w:rPr>
                    </w:pPr>
                    <w:r>
                      <w:rPr>
                        <w:sz w:val="20"/>
                        <w:lang w:eastAsia="lt-LT"/>
                      </w:rPr>
                      <w:t>NUSIDĖVĖJIMO IR AMORTIZACIJOS SĄNAUDOS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15"/>
                </w:trPr>
                <w:tc>
                  <w:tcPr>
                    <w:tcW w:w="1075" w:type="dxa"/>
                    <w:shd w:val="clear" w:color="auto" w:fill="auto"/>
                    <w:vAlign w:val="center"/>
                  </w:tcPr>
                  <w:p>
                    <w:pPr>
                      <w:jc w:val="center"/>
                      <w:rPr>
                        <w:sz w:val="20"/>
                        <w:lang w:eastAsia="lt-LT"/>
                      </w:rPr>
                    </w:pPr>
                    <w:r>
                      <w:rPr>
                        <w:sz w:val="20"/>
                        <w:lang w:eastAsia="lt-LT"/>
                      </w:rPr>
                      <w:t>2.4.</w:t>
                    </w:r>
                  </w:p>
                </w:tc>
                <w:tc>
                  <w:tcPr>
                    <w:tcW w:w="4151" w:type="dxa"/>
                    <w:shd w:val="clear" w:color="auto" w:fill="auto"/>
                    <w:vAlign w:val="center"/>
                  </w:tcPr>
                  <w:p>
                    <w:pPr>
                      <w:ind w:left="5"/>
                      <w:rPr>
                        <w:sz w:val="20"/>
                        <w:lang w:eastAsia="lt-LT"/>
                      </w:rPr>
                    </w:pPr>
                    <w:r>
                      <w:rPr>
                        <w:sz w:val="20"/>
                        <w:lang w:eastAsia="lt-LT"/>
                      </w:rPr>
                      <w:t>NUVERTĖJIMO IR NURAŠYTŲ SUMŲ SĄNAUDOS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b/>
                        <w:bCs/>
                        <w:sz w:val="20"/>
                        <w:lang w:eastAsia="lt-LT"/>
                      </w:rPr>
                    </w:pPr>
                  </w:p>
                </w:tc>
                <w:tc>
                  <w:tcPr>
                    <w:tcW w:w="1537" w:type="dxa"/>
                    <w:shd w:val="clear" w:color="auto" w:fill="auto"/>
                    <w:vAlign w:val="center"/>
                  </w:tcPr>
                  <w:p>
                    <w:pPr>
                      <w:ind w:firstLine="60"/>
                      <w:rPr>
                        <w:b/>
                        <w:bCs/>
                        <w:sz w:val="20"/>
                        <w:lang w:eastAsia="lt-LT"/>
                      </w:rPr>
                    </w:pPr>
                  </w:p>
                </w:tc>
              </w:tr>
              <w:tr>
                <w:trPr>
                  <w:trHeight w:val="315"/>
                </w:trPr>
                <w:tc>
                  <w:tcPr>
                    <w:tcW w:w="1075" w:type="dxa"/>
                    <w:shd w:val="clear" w:color="auto" w:fill="auto"/>
                    <w:vAlign w:val="center"/>
                  </w:tcPr>
                  <w:p>
                    <w:pPr>
                      <w:jc w:val="center"/>
                      <w:rPr>
                        <w:sz w:val="20"/>
                        <w:lang w:eastAsia="lt-LT"/>
                      </w:rPr>
                    </w:pPr>
                    <w:r>
                      <w:rPr>
                        <w:sz w:val="20"/>
                        <w:lang w:eastAsia="lt-LT"/>
                      </w:rPr>
                      <w:t>2.5.</w:t>
                    </w:r>
                  </w:p>
                </w:tc>
                <w:tc>
                  <w:tcPr>
                    <w:tcW w:w="4151" w:type="dxa"/>
                    <w:shd w:val="clear" w:color="auto" w:fill="auto"/>
                    <w:vAlign w:val="center"/>
                  </w:tcPr>
                  <w:p>
                    <w:pPr>
                      <w:rPr>
                        <w:sz w:val="20"/>
                        <w:lang w:eastAsia="lt-LT"/>
                      </w:rPr>
                    </w:pPr>
                    <w:r>
                      <w:rPr>
                        <w:sz w:val="20"/>
                        <w:lang w:eastAsia="lt-LT"/>
                      </w:rPr>
                      <w:t>SOCIALINIŲ IŠMOKŲ, STIPENDIJŲ, PRIZŲ IR PREMIJŲ SĄNAUDOS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sz w:val="20"/>
                        <w:lang w:eastAsia="lt-LT"/>
                      </w:rPr>
                    </w:pPr>
                  </w:p>
                </w:tc>
                <w:tc>
                  <w:tcPr>
                    <w:tcW w:w="1537" w:type="dxa"/>
                    <w:shd w:val="clear" w:color="auto" w:fill="auto"/>
                    <w:vAlign w:val="center"/>
                  </w:tcPr>
                  <w:p>
                    <w:pPr>
                      <w:ind w:firstLine="60"/>
                      <w:rPr>
                        <w:sz w:val="20"/>
                        <w:lang w:eastAsia="lt-LT"/>
                      </w:rPr>
                    </w:pPr>
                  </w:p>
                </w:tc>
              </w:tr>
              <w:tr>
                <w:trPr>
                  <w:trHeight w:val="315"/>
                </w:trPr>
                <w:tc>
                  <w:tcPr>
                    <w:tcW w:w="1075" w:type="dxa"/>
                    <w:shd w:val="clear" w:color="auto" w:fill="auto"/>
                    <w:vAlign w:val="center"/>
                  </w:tcPr>
                  <w:p>
                    <w:pPr>
                      <w:jc w:val="center"/>
                      <w:rPr>
                        <w:sz w:val="20"/>
                        <w:lang w:eastAsia="lt-LT"/>
                      </w:rPr>
                    </w:pPr>
                    <w:r>
                      <w:rPr>
                        <w:sz w:val="20"/>
                        <w:lang w:eastAsia="lt-LT"/>
                      </w:rPr>
                      <w:t>2.6.</w:t>
                    </w:r>
                  </w:p>
                </w:tc>
                <w:tc>
                  <w:tcPr>
                    <w:tcW w:w="4151" w:type="dxa"/>
                    <w:shd w:val="clear" w:color="auto" w:fill="auto"/>
                    <w:vAlign w:val="center"/>
                  </w:tcPr>
                  <w:p>
                    <w:pPr>
                      <w:rPr>
                        <w:sz w:val="20"/>
                        <w:lang w:eastAsia="lt-LT"/>
                      </w:rPr>
                    </w:pPr>
                    <w:r>
                      <w:rPr>
                        <w:sz w:val="20"/>
                        <w:lang w:eastAsia="lt-LT"/>
                      </w:rPr>
                      <w:t>FINANSAVIMO SĄNAUDOS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0"/>
                      <w:rPr>
                        <w:sz w:val="20"/>
                        <w:lang w:eastAsia="lt-LT"/>
                      </w:rPr>
                    </w:pPr>
                  </w:p>
                </w:tc>
                <w:tc>
                  <w:tcPr>
                    <w:tcW w:w="1537" w:type="dxa"/>
                    <w:shd w:val="clear" w:color="auto" w:fill="auto"/>
                    <w:noWrap/>
                    <w:vAlign w:val="center"/>
                  </w:tcPr>
                  <w:p>
                    <w:pPr>
                      <w:ind w:firstLine="60"/>
                      <w:rPr>
                        <w:sz w:val="20"/>
                        <w:lang w:eastAsia="lt-LT"/>
                      </w:rPr>
                    </w:pPr>
                  </w:p>
                </w:tc>
              </w:tr>
              <w:tr>
                <w:trPr>
                  <w:trHeight w:val="315"/>
                </w:trPr>
                <w:tc>
                  <w:tcPr>
                    <w:tcW w:w="1075" w:type="dxa"/>
                    <w:shd w:val="clear" w:color="auto" w:fill="auto"/>
                    <w:vAlign w:val="center"/>
                  </w:tcPr>
                  <w:p>
                    <w:pPr>
                      <w:jc w:val="center"/>
                      <w:rPr>
                        <w:sz w:val="20"/>
                        <w:lang w:eastAsia="lt-LT"/>
                      </w:rPr>
                    </w:pPr>
                    <w:r>
                      <w:rPr>
                        <w:sz w:val="20"/>
                        <w:lang w:eastAsia="lt-LT"/>
                      </w:rPr>
                      <w:t>2.6.1.</w:t>
                    </w:r>
                  </w:p>
                </w:tc>
                <w:tc>
                  <w:tcPr>
                    <w:tcW w:w="4151" w:type="dxa"/>
                    <w:shd w:val="clear" w:color="auto" w:fill="auto"/>
                    <w:noWrap/>
                    <w:vAlign w:val="center"/>
                  </w:tcPr>
                  <w:p>
                    <w:pPr>
                      <w:ind w:left="117"/>
                      <w:rPr>
                        <w:sz w:val="20"/>
                        <w:lang w:eastAsia="lt-LT"/>
                      </w:rPr>
                    </w:pPr>
                    <w:r>
                      <w:rPr>
                        <w:sz w:val="20"/>
                        <w:lang w:eastAsia="lt-LT"/>
                      </w:rPr>
                      <w:t>Valstybės socialinių fondų finansavimo sąnaudos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7"/>
                      <w:rPr>
                        <w:rFonts w:ascii="Arial" w:hAnsi="Arial" w:cs="Arial"/>
                        <w:sz w:val="20"/>
                        <w:lang w:eastAsia="lt-LT"/>
                      </w:rPr>
                    </w:pPr>
                  </w:p>
                </w:tc>
                <w:tc>
                  <w:tcPr>
                    <w:tcW w:w="1537" w:type="dxa"/>
                    <w:shd w:val="clear" w:color="auto" w:fill="auto"/>
                    <w:noWrap/>
                    <w:vAlign w:val="center"/>
                  </w:tcPr>
                  <w:p>
                    <w:pPr>
                      <w:ind w:firstLine="67"/>
                      <w:rPr>
                        <w:rFonts w:ascii="Arial" w:hAnsi="Arial" w:cs="Arial"/>
                        <w:sz w:val="20"/>
                        <w:lang w:eastAsia="lt-LT"/>
                      </w:rPr>
                    </w:pPr>
                  </w:p>
                </w:tc>
              </w:tr>
              <w:tr>
                <w:trPr>
                  <w:trHeight w:val="315"/>
                </w:trPr>
                <w:tc>
                  <w:tcPr>
                    <w:tcW w:w="1075" w:type="dxa"/>
                    <w:shd w:val="clear" w:color="auto" w:fill="auto"/>
                    <w:vAlign w:val="center"/>
                  </w:tcPr>
                  <w:p>
                    <w:pPr>
                      <w:jc w:val="center"/>
                      <w:rPr>
                        <w:sz w:val="20"/>
                        <w:lang w:eastAsia="lt-LT"/>
                      </w:rPr>
                    </w:pPr>
                    <w:r>
                      <w:rPr>
                        <w:sz w:val="20"/>
                        <w:lang w:eastAsia="lt-LT"/>
                      </w:rPr>
                      <w:t>2.6.2.</w:t>
                    </w:r>
                  </w:p>
                </w:tc>
                <w:tc>
                  <w:tcPr>
                    <w:tcW w:w="4151" w:type="dxa"/>
                    <w:shd w:val="clear" w:color="auto" w:fill="auto"/>
                    <w:noWrap/>
                    <w:vAlign w:val="center"/>
                  </w:tcPr>
                  <w:p>
                    <w:pPr>
                      <w:ind w:left="117"/>
                      <w:rPr>
                        <w:sz w:val="20"/>
                        <w:lang w:eastAsia="lt-LT"/>
                      </w:rPr>
                    </w:pPr>
                    <w:r>
                      <w:rPr>
                        <w:sz w:val="20"/>
                        <w:lang w:eastAsia="lt-LT"/>
                      </w:rPr>
                      <w:t>Savivaldybių finansavimo sąnaudos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7"/>
                      <w:rPr>
                        <w:rFonts w:ascii="Arial" w:hAnsi="Arial" w:cs="Arial"/>
                        <w:sz w:val="20"/>
                        <w:lang w:eastAsia="lt-LT"/>
                      </w:rPr>
                    </w:pPr>
                  </w:p>
                </w:tc>
                <w:tc>
                  <w:tcPr>
                    <w:tcW w:w="1537" w:type="dxa"/>
                    <w:shd w:val="clear" w:color="auto" w:fill="auto"/>
                    <w:noWrap/>
                    <w:vAlign w:val="center"/>
                  </w:tcPr>
                  <w:p>
                    <w:pPr>
                      <w:ind w:firstLine="67"/>
                      <w:rPr>
                        <w:rFonts w:ascii="Arial" w:hAnsi="Arial" w:cs="Arial"/>
                        <w:sz w:val="20"/>
                        <w:lang w:eastAsia="lt-LT"/>
                      </w:rPr>
                    </w:pPr>
                  </w:p>
                </w:tc>
              </w:tr>
              <w:tr>
                <w:trPr>
                  <w:trHeight w:val="194"/>
                </w:trPr>
                <w:tc>
                  <w:tcPr>
                    <w:tcW w:w="1075" w:type="dxa"/>
                    <w:shd w:val="clear" w:color="auto" w:fill="auto"/>
                    <w:vAlign w:val="center"/>
                  </w:tcPr>
                  <w:p>
                    <w:pPr>
                      <w:jc w:val="center"/>
                      <w:rPr>
                        <w:sz w:val="20"/>
                        <w:lang w:eastAsia="lt-LT"/>
                      </w:rPr>
                    </w:pPr>
                    <w:r>
                      <w:rPr>
                        <w:sz w:val="20"/>
                        <w:lang w:eastAsia="lt-LT"/>
                      </w:rPr>
                      <w:t>2.6.3.</w:t>
                    </w:r>
                  </w:p>
                </w:tc>
                <w:tc>
                  <w:tcPr>
                    <w:tcW w:w="4151" w:type="dxa"/>
                    <w:shd w:val="clear" w:color="auto" w:fill="auto"/>
                    <w:noWrap/>
                    <w:vAlign w:val="center"/>
                  </w:tcPr>
                  <w:p>
                    <w:pPr>
                      <w:ind w:left="117"/>
                      <w:rPr>
                        <w:sz w:val="20"/>
                        <w:lang w:eastAsia="lt-LT"/>
                      </w:rPr>
                    </w:pPr>
                    <w:r>
                      <w:rPr>
                        <w:sz w:val="20"/>
                        <w:lang w:eastAsia="lt-LT"/>
                      </w:rPr>
                      <w:t>Kitos finansavimo sąnaudos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7"/>
                      <w:rPr>
                        <w:rFonts w:ascii="Arial" w:hAnsi="Arial" w:cs="Arial"/>
                        <w:sz w:val="20"/>
                        <w:lang w:eastAsia="lt-LT"/>
                      </w:rPr>
                    </w:pPr>
                  </w:p>
                </w:tc>
                <w:tc>
                  <w:tcPr>
                    <w:tcW w:w="1537" w:type="dxa"/>
                    <w:shd w:val="clear" w:color="auto" w:fill="auto"/>
                    <w:noWrap/>
                    <w:vAlign w:val="center"/>
                  </w:tcPr>
                  <w:p>
                    <w:pPr>
                      <w:ind w:firstLine="67"/>
                      <w:rPr>
                        <w:rFonts w:ascii="Arial" w:hAnsi="Arial" w:cs="Arial"/>
                        <w:sz w:val="20"/>
                        <w:lang w:eastAsia="lt-LT"/>
                      </w:rPr>
                    </w:pPr>
                  </w:p>
                </w:tc>
              </w:tr>
              <w:tr>
                <w:trPr>
                  <w:trHeight w:val="194"/>
                </w:trPr>
                <w:tc>
                  <w:tcPr>
                    <w:tcW w:w="1075" w:type="dxa"/>
                    <w:shd w:val="clear" w:color="auto" w:fill="auto"/>
                    <w:vAlign w:val="center"/>
                  </w:tcPr>
                  <w:p>
                    <w:pPr>
                      <w:jc w:val="center"/>
                      <w:rPr>
                        <w:sz w:val="20"/>
                        <w:lang w:eastAsia="lt-LT"/>
                      </w:rPr>
                    </w:pPr>
                    <w:r>
                      <w:rPr>
                        <w:sz w:val="20"/>
                        <w:lang w:eastAsia="lt-LT"/>
                      </w:rPr>
                      <w:t>2.7.</w:t>
                    </w:r>
                  </w:p>
                </w:tc>
                <w:tc>
                  <w:tcPr>
                    <w:tcW w:w="4151" w:type="dxa"/>
                    <w:shd w:val="clear" w:color="auto" w:fill="auto"/>
                    <w:noWrap/>
                    <w:vAlign w:val="center"/>
                  </w:tcPr>
                  <w:p>
                    <w:pPr>
                      <w:rPr>
                        <w:sz w:val="20"/>
                        <w:lang w:eastAsia="lt-LT"/>
                      </w:rPr>
                    </w:pPr>
                    <w:r>
                      <w:rPr>
                        <w:bCs/>
                        <w:sz w:val="20"/>
                        <w:lang w:eastAsia="lt-LT"/>
                      </w:rPr>
                      <w:t>FINANSINĖS IR INVESTICINĖS VEIKLOS SĄNAUDOS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7"/>
                      <w:rPr>
                        <w:rFonts w:ascii="Arial" w:hAnsi="Arial" w:cs="Arial"/>
                        <w:sz w:val="20"/>
                        <w:lang w:eastAsia="lt-LT"/>
                      </w:rPr>
                    </w:pPr>
                  </w:p>
                </w:tc>
                <w:tc>
                  <w:tcPr>
                    <w:tcW w:w="1537" w:type="dxa"/>
                    <w:shd w:val="clear" w:color="auto" w:fill="auto"/>
                    <w:noWrap/>
                    <w:vAlign w:val="center"/>
                  </w:tcPr>
                  <w:p>
                    <w:pPr>
                      <w:ind w:firstLine="67"/>
                      <w:rPr>
                        <w:rFonts w:ascii="Arial" w:hAnsi="Arial" w:cs="Arial"/>
                        <w:sz w:val="20"/>
                        <w:lang w:eastAsia="lt-LT"/>
                      </w:rPr>
                    </w:pPr>
                  </w:p>
                </w:tc>
              </w:tr>
              <w:tr>
                <w:trPr>
                  <w:trHeight w:val="194"/>
                </w:trPr>
                <w:tc>
                  <w:tcPr>
                    <w:tcW w:w="1075" w:type="dxa"/>
                    <w:shd w:val="clear" w:color="auto" w:fill="auto"/>
                    <w:vAlign w:val="center"/>
                  </w:tcPr>
                  <w:p>
                    <w:pPr>
                      <w:jc w:val="center"/>
                      <w:rPr>
                        <w:sz w:val="20"/>
                        <w:lang w:eastAsia="lt-LT"/>
                      </w:rPr>
                    </w:pPr>
                    <w:r>
                      <w:rPr>
                        <w:sz w:val="20"/>
                        <w:lang w:eastAsia="lt-LT"/>
                      </w:rPr>
                      <w:t>2.7.1.</w:t>
                    </w:r>
                  </w:p>
                </w:tc>
                <w:tc>
                  <w:tcPr>
                    <w:tcW w:w="4151" w:type="dxa"/>
                    <w:shd w:val="clear" w:color="auto" w:fill="auto"/>
                    <w:noWrap/>
                    <w:vAlign w:val="center"/>
                  </w:tcPr>
                  <w:p>
                    <w:pPr>
                      <w:ind w:left="117"/>
                      <w:rPr>
                        <w:sz w:val="20"/>
                        <w:lang w:eastAsia="lt-LT"/>
                      </w:rPr>
                    </w:pPr>
                    <w:r>
                      <w:rPr>
                        <w:bCs/>
                        <w:sz w:val="20"/>
                        <w:lang w:eastAsia="lt-LT"/>
                      </w:rPr>
                      <w:t>Finansinio turto tikrosios vertės sumažėjimas ir perleidimo nuostolis, nuvertėjimo ir nurašymo sąnaudos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7"/>
                      <w:rPr>
                        <w:rFonts w:ascii="Arial" w:hAnsi="Arial" w:cs="Arial"/>
                        <w:sz w:val="20"/>
                        <w:lang w:eastAsia="lt-LT"/>
                      </w:rPr>
                    </w:pPr>
                  </w:p>
                </w:tc>
                <w:tc>
                  <w:tcPr>
                    <w:tcW w:w="1537" w:type="dxa"/>
                    <w:shd w:val="clear" w:color="auto" w:fill="auto"/>
                    <w:noWrap/>
                    <w:vAlign w:val="center"/>
                  </w:tcPr>
                  <w:p>
                    <w:pPr>
                      <w:ind w:firstLine="67"/>
                      <w:rPr>
                        <w:rFonts w:ascii="Arial" w:hAnsi="Arial" w:cs="Arial"/>
                        <w:sz w:val="20"/>
                        <w:lang w:eastAsia="lt-LT"/>
                      </w:rPr>
                    </w:pPr>
                  </w:p>
                </w:tc>
              </w:tr>
              <w:tr>
                <w:trPr>
                  <w:trHeight w:val="194"/>
                </w:trPr>
                <w:tc>
                  <w:tcPr>
                    <w:tcW w:w="1075" w:type="dxa"/>
                    <w:shd w:val="clear" w:color="auto" w:fill="auto"/>
                    <w:vAlign w:val="center"/>
                  </w:tcPr>
                  <w:p>
                    <w:pPr>
                      <w:jc w:val="center"/>
                      <w:rPr>
                        <w:sz w:val="20"/>
                        <w:lang w:eastAsia="lt-LT"/>
                      </w:rPr>
                    </w:pPr>
                    <w:r>
                      <w:rPr>
                        <w:sz w:val="20"/>
                        <w:lang w:eastAsia="lt-LT"/>
                      </w:rPr>
                      <w:t>2.7.2.</w:t>
                    </w:r>
                  </w:p>
                </w:tc>
                <w:tc>
                  <w:tcPr>
                    <w:tcW w:w="4151" w:type="dxa"/>
                    <w:shd w:val="clear" w:color="auto" w:fill="auto"/>
                    <w:noWrap/>
                    <w:vAlign w:val="center"/>
                  </w:tcPr>
                  <w:p>
                    <w:pPr>
                      <w:ind w:left="117"/>
                      <w:rPr>
                        <w:sz w:val="20"/>
                        <w:lang w:eastAsia="lt-LT"/>
                      </w:rPr>
                    </w:pPr>
                    <w:r>
                      <w:rPr>
                        <w:bCs/>
                        <w:sz w:val="20"/>
                        <w:lang w:eastAsia="lt-LT"/>
                      </w:rPr>
                      <w:t>Palūkanų sąnaudos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7"/>
                      <w:rPr>
                        <w:rFonts w:ascii="Arial" w:hAnsi="Arial" w:cs="Arial"/>
                        <w:sz w:val="20"/>
                        <w:lang w:eastAsia="lt-LT"/>
                      </w:rPr>
                    </w:pPr>
                  </w:p>
                </w:tc>
                <w:tc>
                  <w:tcPr>
                    <w:tcW w:w="1537" w:type="dxa"/>
                    <w:shd w:val="clear" w:color="auto" w:fill="auto"/>
                    <w:noWrap/>
                    <w:vAlign w:val="center"/>
                  </w:tcPr>
                  <w:p>
                    <w:pPr>
                      <w:ind w:firstLine="67"/>
                      <w:rPr>
                        <w:rFonts w:ascii="Arial" w:hAnsi="Arial" w:cs="Arial"/>
                        <w:sz w:val="20"/>
                        <w:lang w:eastAsia="lt-LT"/>
                      </w:rPr>
                    </w:pPr>
                  </w:p>
                </w:tc>
              </w:tr>
              <w:tr>
                <w:trPr>
                  <w:trHeight w:val="194"/>
                </w:trPr>
                <w:tc>
                  <w:tcPr>
                    <w:tcW w:w="1075" w:type="dxa"/>
                    <w:shd w:val="clear" w:color="auto" w:fill="auto"/>
                    <w:vAlign w:val="center"/>
                  </w:tcPr>
                  <w:p>
                    <w:pPr>
                      <w:jc w:val="center"/>
                      <w:rPr>
                        <w:sz w:val="20"/>
                        <w:lang w:eastAsia="lt-LT"/>
                      </w:rPr>
                    </w:pPr>
                    <w:r>
                      <w:rPr>
                        <w:sz w:val="20"/>
                        <w:lang w:eastAsia="lt-LT"/>
                      </w:rPr>
                      <w:t>2.7.3.</w:t>
                    </w:r>
                  </w:p>
                </w:tc>
                <w:tc>
                  <w:tcPr>
                    <w:tcW w:w="4151" w:type="dxa"/>
                    <w:shd w:val="clear" w:color="auto" w:fill="auto"/>
                    <w:noWrap/>
                    <w:vAlign w:val="center"/>
                  </w:tcPr>
                  <w:p>
                    <w:pPr>
                      <w:ind w:left="117"/>
                      <w:rPr>
                        <w:sz w:val="20"/>
                        <w:lang w:eastAsia="lt-LT"/>
                      </w:rPr>
                    </w:pPr>
                    <w:r>
                      <w:rPr>
                        <w:bCs/>
                        <w:sz w:val="20"/>
                        <w:lang w:eastAsia="lt-LT"/>
                      </w:rPr>
                      <w:t>Kitos finansinės ir investicinės veiklos sąnaudos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7"/>
                      <w:rPr>
                        <w:rFonts w:ascii="Arial" w:hAnsi="Arial" w:cs="Arial"/>
                        <w:sz w:val="20"/>
                        <w:lang w:eastAsia="lt-LT"/>
                      </w:rPr>
                    </w:pPr>
                  </w:p>
                </w:tc>
                <w:tc>
                  <w:tcPr>
                    <w:tcW w:w="1537" w:type="dxa"/>
                    <w:shd w:val="clear" w:color="auto" w:fill="auto"/>
                    <w:noWrap/>
                    <w:vAlign w:val="center"/>
                  </w:tcPr>
                  <w:p>
                    <w:pPr>
                      <w:ind w:firstLine="67"/>
                      <w:rPr>
                        <w:rFonts w:ascii="Arial" w:hAnsi="Arial" w:cs="Arial"/>
                        <w:sz w:val="20"/>
                        <w:lang w:eastAsia="lt-LT"/>
                      </w:rPr>
                    </w:pPr>
                  </w:p>
                </w:tc>
              </w:tr>
              <w:tr>
                <w:trPr>
                  <w:trHeight w:val="155"/>
                </w:trPr>
                <w:tc>
                  <w:tcPr>
                    <w:tcW w:w="1075" w:type="dxa"/>
                    <w:shd w:val="clear" w:color="auto" w:fill="auto"/>
                    <w:vAlign w:val="center"/>
                  </w:tcPr>
                  <w:p>
                    <w:pPr>
                      <w:jc w:val="center"/>
                      <w:rPr>
                        <w:sz w:val="20"/>
                        <w:lang w:eastAsia="lt-LT"/>
                      </w:rPr>
                    </w:pPr>
                    <w:r>
                      <w:rPr>
                        <w:sz w:val="20"/>
                        <w:lang w:eastAsia="lt-LT"/>
                      </w:rPr>
                      <w:t>2.8.</w:t>
                    </w:r>
                  </w:p>
                </w:tc>
                <w:tc>
                  <w:tcPr>
                    <w:tcW w:w="4151" w:type="dxa"/>
                    <w:shd w:val="clear" w:color="auto" w:fill="auto"/>
                    <w:noWrap/>
                    <w:vAlign w:val="center"/>
                  </w:tcPr>
                  <w:p>
                    <w:pPr>
                      <w:rPr>
                        <w:sz w:val="20"/>
                        <w:lang w:eastAsia="lt-LT"/>
                      </w:rPr>
                    </w:pPr>
                    <w:r>
                      <w:rPr>
                        <w:sz w:val="20"/>
                        <w:lang w:eastAsia="lt-LT"/>
                      </w:rPr>
                      <w:t>KITOS SĄNAUDOS</w:t>
                    </w:r>
                  </w:p>
                </w:tc>
                <w:tc>
                  <w:tcPr>
                    <w:tcW w:w="1290" w:type="dxa"/>
                    <w:shd w:val="clear" w:color="auto" w:fill="auto"/>
                    <w:noWrap/>
                    <w:vAlign w:val="center"/>
                  </w:tcPr>
                  <w:p>
                    <w:pPr>
                      <w:ind w:firstLine="60"/>
                      <w:rPr>
                        <w:sz w:val="20"/>
                        <w:lang w:eastAsia="lt-LT"/>
                      </w:rPr>
                    </w:pPr>
                  </w:p>
                </w:tc>
                <w:tc>
                  <w:tcPr>
                    <w:tcW w:w="1575" w:type="dxa"/>
                    <w:shd w:val="clear" w:color="auto" w:fill="auto"/>
                    <w:noWrap/>
                    <w:vAlign w:val="center"/>
                  </w:tcPr>
                  <w:p>
                    <w:pPr>
                      <w:ind w:firstLine="67"/>
                      <w:rPr>
                        <w:rFonts w:ascii="Arial" w:hAnsi="Arial" w:cs="Arial"/>
                        <w:sz w:val="20"/>
                        <w:lang w:eastAsia="lt-LT"/>
                      </w:rPr>
                    </w:pPr>
                  </w:p>
                </w:tc>
                <w:tc>
                  <w:tcPr>
                    <w:tcW w:w="1537" w:type="dxa"/>
                    <w:shd w:val="clear" w:color="auto" w:fill="auto"/>
                    <w:noWrap/>
                    <w:vAlign w:val="center"/>
                  </w:tcPr>
                  <w:p>
                    <w:pPr>
                      <w:ind w:firstLine="67"/>
                      <w:rPr>
                        <w:rFonts w:ascii="Arial" w:hAnsi="Arial" w:cs="Arial"/>
                        <w:sz w:val="20"/>
                        <w:lang w:eastAsia="lt-LT"/>
                      </w:rPr>
                    </w:pPr>
                  </w:p>
                </w:tc>
              </w:tr>
              <w:tr>
                <w:trPr>
                  <w:trHeight w:val="315"/>
                </w:trPr>
                <w:tc>
                  <w:tcPr>
                    <w:tcW w:w="1075" w:type="dxa"/>
                    <w:shd w:val="clear" w:color="auto" w:fill="auto"/>
                    <w:noWrap/>
                    <w:vAlign w:val="center"/>
                  </w:tcPr>
                  <w:p>
                    <w:pPr>
                      <w:jc w:val="center"/>
                      <w:rPr>
                        <w:b/>
                        <w:bCs/>
                        <w:sz w:val="20"/>
                        <w:lang w:eastAsia="lt-LT"/>
                      </w:rPr>
                    </w:pPr>
                    <w:r>
                      <w:rPr>
                        <w:b/>
                        <w:bCs/>
                        <w:sz w:val="20"/>
                        <w:lang w:eastAsia="lt-LT"/>
                      </w:rPr>
                      <w:t>3.</w:t>
                    </w:r>
                  </w:p>
                </w:tc>
                <w:tc>
                  <w:tcPr>
                    <w:tcW w:w="4151" w:type="dxa"/>
                    <w:shd w:val="clear" w:color="auto" w:fill="auto"/>
                    <w:noWrap/>
                    <w:vAlign w:val="center"/>
                  </w:tcPr>
                  <w:p>
                    <w:pPr>
                      <w:rPr>
                        <w:b/>
                        <w:bCs/>
                        <w:sz w:val="20"/>
                        <w:lang w:eastAsia="lt-LT"/>
                      </w:rPr>
                    </w:pPr>
                    <w:r>
                      <w:rPr>
                        <w:b/>
                        <w:bCs/>
                        <w:sz w:val="20"/>
                        <w:lang w:eastAsia="lt-LT"/>
                      </w:rPr>
                      <w:t>PERVIRŠIS AR DEFICITAS IŠ VYKDOMOS VEIKLOS</w:t>
                    </w:r>
                  </w:p>
                </w:tc>
                <w:tc>
                  <w:tcPr>
                    <w:tcW w:w="1290" w:type="dxa"/>
                    <w:shd w:val="clear" w:color="auto" w:fill="auto"/>
                    <w:noWrap/>
                    <w:vAlign w:val="center"/>
                  </w:tcPr>
                  <w:p>
                    <w:pPr>
                      <w:ind w:firstLine="60"/>
                      <w:rPr>
                        <w:b/>
                        <w:bCs/>
                        <w:sz w:val="20"/>
                        <w:lang w:eastAsia="lt-LT"/>
                      </w:rPr>
                    </w:pPr>
                  </w:p>
                </w:tc>
                <w:tc>
                  <w:tcPr>
                    <w:tcW w:w="1575" w:type="dxa"/>
                    <w:shd w:val="clear" w:color="auto" w:fill="auto"/>
                    <w:noWrap/>
                    <w:vAlign w:val="center"/>
                  </w:tcPr>
                  <w:p>
                    <w:pPr>
                      <w:ind w:firstLine="67"/>
                      <w:rPr>
                        <w:rFonts w:ascii="Arial" w:hAnsi="Arial" w:cs="Arial"/>
                        <w:b/>
                        <w:bCs/>
                        <w:sz w:val="20"/>
                        <w:lang w:eastAsia="lt-LT"/>
                      </w:rPr>
                    </w:pPr>
                  </w:p>
                </w:tc>
                <w:tc>
                  <w:tcPr>
                    <w:tcW w:w="1537" w:type="dxa"/>
                    <w:shd w:val="clear" w:color="auto" w:fill="auto"/>
                    <w:noWrap/>
                    <w:vAlign w:val="center"/>
                  </w:tcPr>
                  <w:p>
                    <w:pPr>
                      <w:ind w:firstLine="67"/>
                      <w:rPr>
                        <w:rFonts w:ascii="Arial" w:hAnsi="Arial" w:cs="Arial"/>
                        <w:b/>
                        <w:bCs/>
                        <w:sz w:val="20"/>
                        <w:lang w:eastAsia="lt-LT"/>
                      </w:rPr>
                    </w:pPr>
                  </w:p>
                </w:tc>
              </w:tr>
              <w:tr>
                <w:trPr>
                  <w:trHeight w:val="600"/>
                </w:trPr>
                <w:tc>
                  <w:tcPr>
                    <w:tcW w:w="1075" w:type="dxa"/>
                    <w:shd w:val="clear" w:color="auto" w:fill="auto"/>
                    <w:noWrap/>
                    <w:vAlign w:val="center"/>
                  </w:tcPr>
                  <w:p>
                    <w:pPr>
                      <w:jc w:val="center"/>
                      <w:rPr>
                        <w:b/>
                        <w:sz w:val="20"/>
                        <w:lang w:eastAsia="lt-LT"/>
                      </w:rPr>
                    </w:pPr>
                    <w:r>
                      <w:rPr>
                        <w:b/>
                        <w:sz w:val="20"/>
                        <w:lang w:eastAsia="lt-LT"/>
                      </w:rPr>
                      <w:t>4.</w:t>
                    </w:r>
                  </w:p>
                </w:tc>
                <w:tc>
                  <w:tcPr>
                    <w:tcW w:w="4151" w:type="dxa"/>
                    <w:shd w:val="clear" w:color="auto" w:fill="auto"/>
                    <w:vAlign w:val="center"/>
                  </w:tcPr>
                  <w:p>
                    <w:pPr>
                      <w:rPr>
                        <w:b/>
                        <w:sz w:val="20"/>
                        <w:lang w:eastAsia="lt-LT"/>
                      </w:rPr>
                    </w:pPr>
                    <w:r>
                      <w:rPr>
                        <w:b/>
                        <w:sz w:val="20"/>
                        <w:lang w:eastAsia="lt-LT"/>
                      </w:rPr>
                      <w:t>APSKAITOS POLITIKOS KEITIMO IR ESMINIŲ APSKAITOS KLAIDŲ TAISYMO ĮTAKA</w:t>
                    </w:r>
                  </w:p>
                </w:tc>
                <w:tc>
                  <w:tcPr>
                    <w:tcW w:w="1290" w:type="dxa"/>
                    <w:shd w:val="clear" w:color="auto" w:fill="auto"/>
                    <w:noWrap/>
                    <w:vAlign w:val="center"/>
                  </w:tcPr>
                  <w:p>
                    <w:pPr>
                      <w:ind w:firstLine="67"/>
                      <w:rPr>
                        <w:rFonts w:ascii="Arial" w:hAnsi="Arial" w:cs="Arial"/>
                        <w:sz w:val="20"/>
                        <w:lang w:eastAsia="lt-LT"/>
                      </w:rPr>
                    </w:pPr>
                  </w:p>
                </w:tc>
                <w:tc>
                  <w:tcPr>
                    <w:tcW w:w="1575" w:type="dxa"/>
                    <w:shd w:val="clear" w:color="auto" w:fill="auto"/>
                    <w:noWrap/>
                    <w:vAlign w:val="center"/>
                  </w:tcPr>
                  <w:p>
                    <w:pPr>
                      <w:ind w:firstLine="67"/>
                      <w:rPr>
                        <w:rFonts w:ascii="Arial" w:hAnsi="Arial" w:cs="Arial"/>
                        <w:sz w:val="20"/>
                        <w:lang w:eastAsia="lt-LT"/>
                      </w:rPr>
                    </w:pPr>
                  </w:p>
                </w:tc>
                <w:tc>
                  <w:tcPr>
                    <w:tcW w:w="1537" w:type="dxa"/>
                    <w:shd w:val="clear" w:color="auto" w:fill="auto"/>
                    <w:noWrap/>
                    <w:vAlign w:val="center"/>
                  </w:tcPr>
                  <w:p>
                    <w:pPr>
                      <w:ind w:firstLine="67"/>
                      <w:rPr>
                        <w:rFonts w:ascii="Arial" w:hAnsi="Arial" w:cs="Arial"/>
                        <w:sz w:val="20"/>
                        <w:lang w:eastAsia="lt-LT"/>
                      </w:rPr>
                    </w:pPr>
                  </w:p>
                </w:tc>
              </w:tr>
              <w:tr>
                <w:trPr>
                  <w:trHeight w:val="382"/>
                </w:trPr>
                <w:tc>
                  <w:tcPr>
                    <w:tcW w:w="1075" w:type="dxa"/>
                    <w:shd w:val="clear" w:color="auto" w:fill="auto"/>
                    <w:noWrap/>
                    <w:vAlign w:val="center"/>
                  </w:tcPr>
                  <w:p>
                    <w:pPr>
                      <w:jc w:val="center"/>
                      <w:rPr>
                        <w:b/>
                        <w:bCs/>
                        <w:sz w:val="20"/>
                        <w:lang w:eastAsia="lt-LT"/>
                      </w:rPr>
                    </w:pPr>
                    <w:r>
                      <w:rPr>
                        <w:b/>
                        <w:bCs/>
                        <w:sz w:val="20"/>
                        <w:lang w:eastAsia="lt-LT"/>
                      </w:rPr>
                      <w:t>5.</w:t>
                    </w:r>
                  </w:p>
                </w:tc>
                <w:tc>
                  <w:tcPr>
                    <w:tcW w:w="4151" w:type="dxa"/>
                    <w:shd w:val="clear" w:color="auto" w:fill="auto"/>
                    <w:noWrap/>
                    <w:vAlign w:val="center"/>
                  </w:tcPr>
                  <w:p>
                    <w:pPr>
                      <w:rPr>
                        <w:b/>
                        <w:bCs/>
                        <w:sz w:val="20"/>
                        <w:lang w:eastAsia="lt-LT"/>
                      </w:rPr>
                    </w:pPr>
                    <w:r>
                      <w:rPr>
                        <w:b/>
                        <w:bCs/>
                        <w:sz w:val="20"/>
                        <w:lang w:eastAsia="lt-LT"/>
                      </w:rPr>
                      <w:t>VALDŽIOS SEKTORIUI PRISKIRIAMŲ ĮMONIŲ REZULTATAS</w:t>
                    </w:r>
                  </w:p>
                </w:tc>
                <w:tc>
                  <w:tcPr>
                    <w:tcW w:w="1290" w:type="dxa"/>
                    <w:shd w:val="clear" w:color="auto" w:fill="auto"/>
                    <w:noWrap/>
                    <w:vAlign w:val="center"/>
                  </w:tcPr>
                  <w:p>
                    <w:pPr>
                      <w:ind w:firstLine="67"/>
                      <w:rPr>
                        <w:rFonts w:ascii="Arial" w:hAnsi="Arial" w:cs="Arial"/>
                        <w:b/>
                        <w:bCs/>
                        <w:sz w:val="20"/>
                        <w:lang w:eastAsia="lt-LT"/>
                      </w:rPr>
                    </w:pPr>
                  </w:p>
                </w:tc>
                <w:tc>
                  <w:tcPr>
                    <w:tcW w:w="1575" w:type="dxa"/>
                    <w:shd w:val="clear" w:color="auto" w:fill="auto"/>
                    <w:noWrap/>
                    <w:vAlign w:val="center"/>
                  </w:tcPr>
                  <w:p>
                    <w:pPr>
                      <w:ind w:firstLine="67"/>
                      <w:rPr>
                        <w:rFonts w:ascii="Arial" w:hAnsi="Arial" w:cs="Arial"/>
                        <w:b/>
                        <w:bCs/>
                        <w:sz w:val="20"/>
                        <w:lang w:eastAsia="lt-LT"/>
                      </w:rPr>
                    </w:pPr>
                  </w:p>
                </w:tc>
                <w:tc>
                  <w:tcPr>
                    <w:tcW w:w="1537" w:type="dxa"/>
                    <w:shd w:val="clear" w:color="auto" w:fill="auto"/>
                    <w:noWrap/>
                    <w:vAlign w:val="center"/>
                  </w:tcPr>
                  <w:p>
                    <w:pPr>
                      <w:ind w:firstLine="67"/>
                      <w:rPr>
                        <w:rFonts w:ascii="Arial" w:hAnsi="Arial" w:cs="Arial"/>
                        <w:b/>
                        <w:bCs/>
                        <w:sz w:val="20"/>
                        <w:lang w:eastAsia="lt-LT"/>
                      </w:rPr>
                    </w:pPr>
                  </w:p>
                </w:tc>
              </w:tr>
              <w:tr>
                <w:trPr>
                  <w:trHeight w:val="404"/>
                </w:trPr>
                <w:tc>
                  <w:tcPr>
                    <w:tcW w:w="1075" w:type="dxa"/>
                    <w:shd w:val="clear" w:color="auto" w:fill="auto"/>
                    <w:noWrap/>
                    <w:vAlign w:val="center"/>
                  </w:tcPr>
                  <w:p>
                    <w:pPr>
                      <w:jc w:val="center"/>
                      <w:rPr>
                        <w:b/>
                        <w:bCs/>
                        <w:sz w:val="20"/>
                        <w:lang w:eastAsia="lt-LT"/>
                      </w:rPr>
                    </w:pPr>
                    <w:r>
                      <w:rPr>
                        <w:bCs/>
                        <w:sz w:val="20"/>
                        <w:lang w:eastAsia="lt-LT"/>
                      </w:rPr>
                      <w:t>5.1.</w:t>
                    </w:r>
                  </w:p>
                </w:tc>
                <w:tc>
                  <w:tcPr>
                    <w:tcW w:w="4151" w:type="dxa"/>
                    <w:shd w:val="clear" w:color="auto" w:fill="auto"/>
                    <w:noWrap/>
                    <w:vAlign w:val="center"/>
                  </w:tcPr>
                  <w:p>
                    <w:pPr>
                      <w:ind w:left="22"/>
                      <w:rPr>
                        <w:b/>
                        <w:bCs/>
                        <w:sz w:val="20"/>
                        <w:lang w:eastAsia="lt-LT"/>
                      </w:rPr>
                    </w:pPr>
                    <w:r>
                      <w:rPr>
                        <w:sz w:val="20"/>
                        <w:lang w:eastAsia="lt-LT"/>
                      </w:rPr>
                      <w:t>VALDŽIOS SEKTORIUI PRISKIRIAMŲ ĮMONIŲ PAJAMOS</w:t>
                    </w:r>
                  </w:p>
                </w:tc>
                <w:tc>
                  <w:tcPr>
                    <w:tcW w:w="1290" w:type="dxa"/>
                    <w:shd w:val="clear" w:color="auto" w:fill="auto"/>
                    <w:noWrap/>
                    <w:vAlign w:val="center"/>
                  </w:tcPr>
                  <w:p>
                    <w:pPr>
                      <w:ind w:firstLine="67"/>
                      <w:rPr>
                        <w:rFonts w:ascii="Arial" w:hAnsi="Arial" w:cs="Arial"/>
                        <w:b/>
                        <w:bCs/>
                        <w:sz w:val="20"/>
                        <w:lang w:eastAsia="lt-LT"/>
                      </w:rPr>
                    </w:pPr>
                  </w:p>
                </w:tc>
                <w:tc>
                  <w:tcPr>
                    <w:tcW w:w="1575" w:type="dxa"/>
                    <w:shd w:val="clear" w:color="auto" w:fill="auto"/>
                    <w:noWrap/>
                    <w:vAlign w:val="center"/>
                  </w:tcPr>
                  <w:p>
                    <w:pPr>
                      <w:ind w:firstLine="67"/>
                      <w:rPr>
                        <w:rFonts w:ascii="Arial" w:hAnsi="Arial" w:cs="Arial"/>
                        <w:b/>
                        <w:bCs/>
                        <w:sz w:val="20"/>
                        <w:lang w:eastAsia="lt-LT"/>
                      </w:rPr>
                    </w:pPr>
                  </w:p>
                </w:tc>
                <w:tc>
                  <w:tcPr>
                    <w:tcW w:w="1537" w:type="dxa"/>
                    <w:shd w:val="clear" w:color="auto" w:fill="auto"/>
                    <w:noWrap/>
                    <w:vAlign w:val="center"/>
                  </w:tcPr>
                  <w:p>
                    <w:pPr>
                      <w:ind w:firstLine="67"/>
                      <w:rPr>
                        <w:rFonts w:ascii="Arial" w:hAnsi="Arial" w:cs="Arial"/>
                        <w:b/>
                        <w:bCs/>
                        <w:sz w:val="20"/>
                        <w:lang w:eastAsia="lt-LT"/>
                      </w:rPr>
                    </w:pPr>
                  </w:p>
                </w:tc>
              </w:tr>
              <w:tr>
                <w:trPr>
                  <w:trHeight w:val="315"/>
                </w:trPr>
                <w:tc>
                  <w:tcPr>
                    <w:tcW w:w="1075" w:type="dxa"/>
                    <w:shd w:val="clear" w:color="auto" w:fill="auto"/>
                    <w:noWrap/>
                    <w:vAlign w:val="center"/>
                  </w:tcPr>
                  <w:p>
                    <w:pPr>
                      <w:jc w:val="center"/>
                      <w:rPr>
                        <w:b/>
                        <w:bCs/>
                        <w:sz w:val="20"/>
                        <w:lang w:eastAsia="lt-LT"/>
                      </w:rPr>
                    </w:pPr>
                    <w:r>
                      <w:rPr>
                        <w:bCs/>
                        <w:sz w:val="20"/>
                        <w:lang w:eastAsia="lt-LT"/>
                      </w:rPr>
                      <w:t>5.2.</w:t>
                    </w:r>
                  </w:p>
                </w:tc>
                <w:tc>
                  <w:tcPr>
                    <w:tcW w:w="4151" w:type="dxa"/>
                    <w:shd w:val="clear" w:color="auto" w:fill="auto"/>
                    <w:noWrap/>
                    <w:vAlign w:val="center"/>
                  </w:tcPr>
                  <w:p>
                    <w:pPr>
                      <w:ind w:left="22"/>
                      <w:rPr>
                        <w:b/>
                        <w:bCs/>
                        <w:sz w:val="20"/>
                        <w:lang w:eastAsia="lt-LT"/>
                      </w:rPr>
                    </w:pPr>
                    <w:r>
                      <w:rPr>
                        <w:sz w:val="20"/>
                        <w:lang w:eastAsia="lt-LT"/>
                      </w:rPr>
                      <w:t>VALDŽIOS SEKTORIUI PRISKIRIAMŲ ĮMONIŲ SĄNAUDOS</w:t>
                    </w:r>
                  </w:p>
                </w:tc>
                <w:tc>
                  <w:tcPr>
                    <w:tcW w:w="1290" w:type="dxa"/>
                    <w:shd w:val="clear" w:color="auto" w:fill="auto"/>
                    <w:noWrap/>
                    <w:vAlign w:val="center"/>
                  </w:tcPr>
                  <w:p>
                    <w:pPr>
                      <w:ind w:firstLine="67"/>
                      <w:rPr>
                        <w:rFonts w:ascii="Arial" w:hAnsi="Arial" w:cs="Arial"/>
                        <w:b/>
                        <w:bCs/>
                        <w:sz w:val="20"/>
                        <w:lang w:eastAsia="lt-LT"/>
                      </w:rPr>
                    </w:pPr>
                  </w:p>
                </w:tc>
                <w:tc>
                  <w:tcPr>
                    <w:tcW w:w="1575" w:type="dxa"/>
                    <w:shd w:val="clear" w:color="auto" w:fill="auto"/>
                    <w:noWrap/>
                    <w:vAlign w:val="center"/>
                  </w:tcPr>
                  <w:p>
                    <w:pPr>
                      <w:ind w:firstLine="67"/>
                      <w:rPr>
                        <w:rFonts w:ascii="Arial" w:hAnsi="Arial" w:cs="Arial"/>
                        <w:b/>
                        <w:bCs/>
                        <w:sz w:val="20"/>
                        <w:lang w:eastAsia="lt-LT"/>
                      </w:rPr>
                    </w:pPr>
                  </w:p>
                </w:tc>
                <w:tc>
                  <w:tcPr>
                    <w:tcW w:w="1537" w:type="dxa"/>
                    <w:shd w:val="clear" w:color="auto" w:fill="auto"/>
                    <w:noWrap/>
                    <w:vAlign w:val="center"/>
                  </w:tcPr>
                  <w:p>
                    <w:pPr>
                      <w:ind w:firstLine="67"/>
                      <w:rPr>
                        <w:rFonts w:ascii="Arial" w:hAnsi="Arial" w:cs="Arial"/>
                        <w:b/>
                        <w:bCs/>
                        <w:sz w:val="20"/>
                        <w:lang w:eastAsia="lt-LT"/>
                      </w:rPr>
                    </w:pPr>
                  </w:p>
                </w:tc>
              </w:tr>
              <w:tr>
                <w:trPr>
                  <w:trHeight w:val="176"/>
                </w:trPr>
                <w:tc>
                  <w:tcPr>
                    <w:tcW w:w="1075" w:type="dxa"/>
                    <w:shd w:val="clear" w:color="auto" w:fill="auto"/>
                    <w:noWrap/>
                    <w:vAlign w:val="center"/>
                  </w:tcPr>
                  <w:p>
                    <w:pPr>
                      <w:jc w:val="center"/>
                      <w:rPr>
                        <w:b/>
                        <w:bCs/>
                        <w:sz w:val="20"/>
                        <w:lang w:eastAsia="lt-LT"/>
                      </w:rPr>
                    </w:pPr>
                    <w:r>
                      <w:rPr>
                        <w:b/>
                        <w:bCs/>
                        <w:sz w:val="20"/>
                        <w:lang w:eastAsia="lt-LT"/>
                      </w:rPr>
                      <w:t>6.</w:t>
                    </w:r>
                  </w:p>
                </w:tc>
                <w:tc>
                  <w:tcPr>
                    <w:tcW w:w="4151" w:type="dxa"/>
                    <w:shd w:val="clear" w:color="auto" w:fill="auto"/>
                    <w:noWrap/>
                    <w:vAlign w:val="center"/>
                  </w:tcPr>
                  <w:p>
                    <w:pPr>
                      <w:rPr>
                        <w:b/>
                        <w:bCs/>
                        <w:sz w:val="20"/>
                        <w:lang w:eastAsia="lt-LT"/>
                      </w:rPr>
                    </w:pPr>
                    <w:r>
                      <w:rPr>
                        <w:b/>
                        <w:bCs/>
                        <w:sz w:val="20"/>
                        <w:lang w:eastAsia="lt-LT"/>
                      </w:rPr>
                      <w:t>NUOSAVYBĖS METODO ĮTAKA</w:t>
                    </w:r>
                  </w:p>
                </w:tc>
                <w:tc>
                  <w:tcPr>
                    <w:tcW w:w="1290" w:type="dxa"/>
                    <w:shd w:val="clear" w:color="auto" w:fill="auto"/>
                    <w:noWrap/>
                    <w:vAlign w:val="center"/>
                  </w:tcPr>
                  <w:p>
                    <w:pPr>
                      <w:ind w:firstLine="67"/>
                      <w:rPr>
                        <w:rFonts w:ascii="Arial" w:hAnsi="Arial" w:cs="Arial"/>
                        <w:b/>
                        <w:bCs/>
                        <w:sz w:val="20"/>
                        <w:lang w:eastAsia="lt-LT"/>
                      </w:rPr>
                    </w:pPr>
                  </w:p>
                </w:tc>
                <w:tc>
                  <w:tcPr>
                    <w:tcW w:w="1575" w:type="dxa"/>
                    <w:shd w:val="clear" w:color="auto" w:fill="auto"/>
                    <w:noWrap/>
                    <w:vAlign w:val="center"/>
                  </w:tcPr>
                  <w:p>
                    <w:pPr>
                      <w:ind w:firstLine="67"/>
                      <w:rPr>
                        <w:rFonts w:ascii="Arial" w:hAnsi="Arial" w:cs="Arial"/>
                        <w:b/>
                        <w:bCs/>
                        <w:sz w:val="20"/>
                        <w:lang w:eastAsia="lt-LT"/>
                      </w:rPr>
                    </w:pPr>
                  </w:p>
                </w:tc>
                <w:tc>
                  <w:tcPr>
                    <w:tcW w:w="1537" w:type="dxa"/>
                    <w:shd w:val="clear" w:color="auto" w:fill="auto"/>
                    <w:noWrap/>
                    <w:vAlign w:val="center"/>
                  </w:tcPr>
                  <w:p>
                    <w:pPr>
                      <w:ind w:firstLine="67"/>
                      <w:rPr>
                        <w:rFonts w:ascii="Arial" w:hAnsi="Arial" w:cs="Arial"/>
                        <w:b/>
                        <w:bCs/>
                        <w:sz w:val="20"/>
                        <w:lang w:eastAsia="lt-LT"/>
                      </w:rPr>
                    </w:pPr>
                  </w:p>
                </w:tc>
              </w:tr>
              <w:tr>
                <w:trPr>
                  <w:trHeight w:val="315"/>
                </w:trPr>
                <w:tc>
                  <w:tcPr>
                    <w:tcW w:w="1075" w:type="dxa"/>
                    <w:shd w:val="clear" w:color="auto" w:fill="auto"/>
                    <w:noWrap/>
                    <w:vAlign w:val="center"/>
                  </w:tcPr>
                  <w:p>
                    <w:pPr>
                      <w:jc w:val="center"/>
                      <w:rPr>
                        <w:b/>
                        <w:bCs/>
                        <w:sz w:val="20"/>
                        <w:lang w:eastAsia="lt-LT"/>
                      </w:rPr>
                    </w:pPr>
                    <w:r>
                      <w:rPr>
                        <w:b/>
                        <w:bCs/>
                        <w:sz w:val="20"/>
                        <w:lang w:eastAsia="lt-LT"/>
                      </w:rPr>
                      <w:t>7.</w:t>
                    </w:r>
                  </w:p>
                </w:tc>
                <w:tc>
                  <w:tcPr>
                    <w:tcW w:w="4151" w:type="dxa"/>
                    <w:shd w:val="clear" w:color="auto" w:fill="auto"/>
                    <w:noWrap/>
                    <w:vAlign w:val="center"/>
                  </w:tcPr>
                  <w:p>
                    <w:pPr>
                      <w:rPr>
                        <w:b/>
                        <w:bCs/>
                        <w:sz w:val="20"/>
                        <w:lang w:eastAsia="lt-LT"/>
                      </w:rPr>
                    </w:pPr>
                    <w:r>
                      <w:rPr>
                        <w:b/>
                        <w:bCs/>
                        <w:sz w:val="20"/>
                        <w:lang w:eastAsia="lt-LT"/>
                      </w:rPr>
                      <w:t>GRYNASIS PERVIRŠIS AR DEFICITAS</w:t>
                    </w:r>
                  </w:p>
                </w:tc>
                <w:tc>
                  <w:tcPr>
                    <w:tcW w:w="1290" w:type="dxa"/>
                    <w:shd w:val="clear" w:color="auto" w:fill="auto"/>
                    <w:noWrap/>
                    <w:vAlign w:val="center"/>
                  </w:tcPr>
                  <w:p>
                    <w:pPr>
                      <w:ind w:firstLine="67"/>
                      <w:rPr>
                        <w:rFonts w:ascii="Arial" w:hAnsi="Arial" w:cs="Arial"/>
                        <w:b/>
                        <w:bCs/>
                        <w:sz w:val="20"/>
                        <w:lang w:eastAsia="lt-LT"/>
                      </w:rPr>
                    </w:pPr>
                  </w:p>
                </w:tc>
                <w:tc>
                  <w:tcPr>
                    <w:tcW w:w="1575" w:type="dxa"/>
                    <w:shd w:val="clear" w:color="auto" w:fill="auto"/>
                    <w:noWrap/>
                    <w:vAlign w:val="center"/>
                  </w:tcPr>
                  <w:p>
                    <w:pPr>
                      <w:ind w:firstLine="67"/>
                      <w:rPr>
                        <w:rFonts w:ascii="Arial" w:hAnsi="Arial" w:cs="Arial"/>
                        <w:b/>
                        <w:bCs/>
                        <w:sz w:val="20"/>
                        <w:lang w:eastAsia="lt-LT"/>
                      </w:rPr>
                    </w:pPr>
                  </w:p>
                </w:tc>
                <w:tc>
                  <w:tcPr>
                    <w:tcW w:w="1537" w:type="dxa"/>
                    <w:shd w:val="clear" w:color="auto" w:fill="auto"/>
                    <w:noWrap/>
                    <w:vAlign w:val="center"/>
                  </w:tcPr>
                  <w:p>
                    <w:pPr>
                      <w:ind w:firstLine="67"/>
                      <w:rPr>
                        <w:rFonts w:ascii="Arial" w:hAnsi="Arial" w:cs="Arial"/>
                        <w:b/>
                        <w:bCs/>
                        <w:sz w:val="20"/>
                        <w:lang w:eastAsia="lt-LT"/>
                      </w:rPr>
                    </w:pPr>
                  </w:p>
                </w:tc>
              </w:tr>
              <w:tr>
                <w:trPr>
                  <w:trHeight w:val="369"/>
                </w:trPr>
                <w:tc>
                  <w:tcPr>
                    <w:tcW w:w="1075" w:type="dxa"/>
                    <w:shd w:val="clear" w:color="auto" w:fill="auto"/>
                    <w:noWrap/>
                    <w:vAlign w:val="center"/>
                  </w:tcPr>
                  <w:p>
                    <w:pPr>
                      <w:jc w:val="center"/>
                      <w:rPr>
                        <w:sz w:val="20"/>
                        <w:lang w:eastAsia="lt-LT"/>
                      </w:rPr>
                    </w:pPr>
                    <w:r>
                      <w:rPr>
                        <w:sz w:val="20"/>
                        <w:lang w:eastAsia="lt-LT"/>
                      </w:rPr>
                      <w:t>7.1.</w:t>
                    </w:r>
                  </w:p>
                </w:tc>
                <w:tc>
                  <w:tcPr>
                    <w:tcW w:w="4151" w:type="dxa"/>
                    <w:shd w:val="clear" w:color="auto" w:fill="auto"/>
                    <w:noWrap/>
                    <w:vAlign w:val="center"/>
                  </w:tcPr>
                  <w:p>
                    <w:pPr>
                      <w:rPr>
                        <w:b/>
                        <w:bCs/>
                        <w:sz w:val="20"/>
                        <w:lang w:eastAsia="lt-LT"/>
                      </w:rPr>
                    </w:pPr>
                    <w:r>
                      <w:rPr>
                        <w:sz w:val="20"/>
                        <w:lang w:eastAsia="lt-LT"/>
                      </w:rPr>
                      <w:t>TENKANTIS KONTROLIUOJANČIAJAM SUBJEKTUI</w:t>
                    </w:r>
                  </w:p>
                </w:tc>
                <w:tc>
                  <w:tcPr>
                    <w:tcW w:w="1290" w:type="dxa"/>
                    <w:shd w:val="clear" w:color="auto" w:fill="auto"/>
                    <w:noWrap/>
                    <w:vAlign w:val="center"/>
                  </w:tcPr>
                  <w:p>
                    <w:pPr>
                      <w:ind w:firstLine="67"/>
                      <w:rPr>
                        <w:rFonts w:ascii="Arial" w:hAnsi="Arial" w:cs="Arial"/>
                        <w:b/>
                        <w:bCs/>
                        <w:sz w:val="20"/>
                        <w:lang w:eastAsia="lt-LT"/>
                      </w:rPr>
                    </w:pPr>
                  </w:p>
                </w:tc>
                <w:tc>
                  <w:tcPr>
                    <w:tcW w:w="1575" w:type="dxa"/>
                    <w:shd w:val="clear" w:color="auto" w:fill="auto"/>
                    <w:noWrap/>
                    <w:vAlign w:val="center"/>
                  </w:tcPr>
                  <w:p>
                    <w:pPr>
                      <w:ind w:firstLine="67"/>
                      <w:rPr>
                        <w:rFonts w:ascii="Arial" w:hAnsi="Arial" w:cs="Arial"/>
                        <w:b/>
                        <w:bCs/>
                        <w:sz w:val="20"/>
                        <w:lang w:eastAsia="lt-LT"/>
                      </w:rPr>
                    </w:pPr>
                  </w:p>
                </w:tc>
                <w:tc>
                  <w:tcPr>
                    <w:tcW w:w="1537" w:type="dxa"/>
                    <w:shd w:val="clear" w:color="auto" w:fill="auto"/>
                    <w:noWrap/>
                    <w:vAlign w:val="center"/>
                  </w:tcPr>
                  <w:p>
                    <w:pPr>
                      <w:ind w:firstLine="67"/>
                      <w:rPr>
                        <w:rFonts w:ascii="Arial" w:hAnsi="Arial" w:cs="Arial"/>
                        <w:b/>
                        <w:bCs/>
                        <w:sz w:val="20"/>
                        <w:lang w:eastAsia="lt-LT"/>
                      </w:rPr>
                    </w:pPr>
                  </w:p>
                </w:tc>
              </w:tr>
              <w:tr>
                <w:trPr>
                  <w:trHeight w:val="315"/>
                </w:trPr>
                <w:tc>
                  <w:tcPr>
                    <w:tcW w:w="1075" w:type="dxa"/>
                    <w:shd w:val="clear" w:color="auto" w:fill="auto"/>
                    <w:noWrap/>
                    <w:vAlign w:val="center"/>
                  </w:tcPr>
                  <w:p>
                    <w:pPr>
                      <w:jc w:val="center"/>
                      <w:rPr>
                        <w:sz w:val="20"/>
                        <w:lang w:eastAsia="lt-LT"/>
                      </w:rPr>
                    </w:pPr>
                    <w:r>
                      <w:rPr>
                        <w:sz w:val="20"/>
                        <w:lang w:eastAsia="lt-LT"/>
                      </w:rPr>
                      <w:t>7.2.</w:t>
                    </w:r>
                  </w:p>
                </w:tc>
                <w:tc>
                  <w:tcPr>
                    <w:tcW w:w="4151" w:type="dxa"/>
                    <w:shd w:val="clear" w:color="auto" w:fill="auto"/>
                    <w:noWrap/>
                    <w:vAlign w:val="center"/>
                  </w:tcPr>
                  <w:p>
                    <w:pPr>
                      <w:rPr>
                        <w:b/>
                        <w:bCs/>
                        <w:sz w:val="20"/>
                        <w:lang w:eastAsia="lt-LT"/>
                      </w:rPr>
                    </w:pPr>
                    <w:r>
                      <w:rPr>
                        <w:sz w:val="20"/>
                        <w:lang w:eastAsia="lt-LT"/>
                      </w:rPr>
                      <w:t>TENKANTIS MAŽUMOS DALIAI</w:t>
                    </w:r>
                  </w:p>
                </w:tc>
                <w:tc>
                  <w:tcPr>
                    <w:tcW w:w="1290" w:type="dxa"/>
                    <w:shd w:val="clear" w:color="auto" w:fill="auto"/>
                    <w:noWrap/>
                    <w:vAlign w:val="center"/>
                  </w:tcPr>
                  <w:p>
                    <w:pPr>
                      <w:ind w:firstLine="67"/>
                      <w:rPr>
                        <w:rFonts w:ascii="Arial" w:hAnsi="Arial" w:cs="Arial"/>
                        <w:b/>
                        <w:bCs/>
                        <w:sz w:val="20"/>
                        <w:lang w:eastAsia="lt-LT"/>
                      </w:rPr>
                    </w:pPr>
                  </w:p>
                </w:tc>
                <w:tc>
                  <w:tcPr>
                    <w:tcW w:w="1575" w:type="dxa"/>
                    <w:shd w:val="clear" w:color="auto" w:fill="auto"/>
                    <w:noWrap/>
                    <w:vAlign w:val="center"/>
                  </w:tcPr>
                  <w:p>
                    <w:pPr>
                      <w:ind w:firstLine="67"/>
                      <w:rPr>
                        <w:rFonts w:ascii="Arial" w:hAnsi="Arial" w:cs="Arial"/>
                        <w:b/>
                        <w:bCs/>
                        <w:sz w:val="20"/>
                        <w:lang w:eastAsia="lt-LT"/>
                      </w:rPr>
                    </w:pPr>
                  </w:p>
                </w:tc>
                <w:tc>
                  <w:tcPr>
                    <w:tcW w:w="1537" w:type="dxa"/>
                    <w:shd w:val="clear" w:color="auto" w:fill="auto"/>
                    <w:noWrap/>
                    <w:vAlign w:val="center"/>
                  </w:tcPr>
                  <w:p>
                    <w:pPr>
                      <w:ind w:firstLine="67"/>
                      <w:rPr>
                        <w:rFonts w:ascii="Arial" w:hAnsi="Arial" w:cs="Arial"/>
                        <w:b/>
                        <w:bCs/>
                        <w:sz w:val="20"/>
                        <w:lang w:eastAsia="lt-LT"/>
                      </w:rPr>
                    </w:pPr>
                  </w:p>
                </w:tc>
              </w:tr>
            </w:tbl>
            <w:p>
              <w:pPr>
                <w:ind w:left="4535"/>
              </w:pPr>
            </w:p>
            <w:p>
              <w:pPr>
                <w:ind w:firstLine="720"/>
                <w:jc w:val="center"/>
                <w:rPr>
                  <w:sz w:val="20"/>
                  <w:u w:val="single"/>
                  <w:lang w:eastAsia="lt-LT"/>
                </w:rPr>
              </w:pPr>
            </w:p>
            <w:p>
              <w:pPr>
                <w:jc w:val="center"/>
                <w:rPr>
                  <w:szCs w:val="24"/>
                  <w:lang w:eastAsia="lt-LT"/>
                </w:rPr>
              </w:pPr>
              <w:r>
                <w:rPr>
                  <w:szCs w:val="24"/>
                  <w:lang w:eastAsia="lt-LT"/>
                </w:rPr>
                <w:t>______________________________________</w:t>
                <w:br w:type="page"/>
              </w:r>
            </w:p>
          </w:sdtContent>
        </w:sdt>
      </w:sdtContent>
    </w:sdt>
    <w:sdt>
      <w:sdtPr>
        <w:alias w:val="4 pr."/>
        <w:tag w:val="part_da1167016821413da8e386cdbb0b28d4"/>
        <w:lock w:val="sdtLocked"/>
        <w:richText/>
      </w:sdtPr>
      <w:sdtContent>
        <w:p>
          <w:pPr>
            <w:ind w:left="4535"/>
            <w:rPr>
              <w:szCs w:val="24"/>
              <w:lang w:eastAsia="lt-LT"/>
            </w:rPr>
          </w:pPr>
          <w:r>
            <w:rPr>
              <w:szCs w:val="24"/>
              <w:lang w:eastAsia="lt-LT"/>
            </w:rPr>
            <w:t xml:space="preserve">3-iojo </w:t>
          </w:r>
          <w:r>
            <w:rPr>
              <w:szCs w:val="24"/>
            </w:rPr>
            <w:t xml:space="preserve">viešojo sektoriaus apskaitos ir finansinės atskaitomybės standarto </w:t>
          </w:r>
          <w:r>
            <w:rPr>
              <w:szCs w:val="24"/>
              <w:lang w:eastAsia="lt-LT"/>
            </w:rPr>
            <w:t>„Veiklos rezultatų ataskaita“</w:t>
          </w:r>
        </w:p>
        <w:p>
          <w:pPr>
            <w:tabs>
              <w:tab w:val="left" w:pos="933"/>
              <w:tab w:val="left" w:pos="4149"/>
              <w:tab w:val="left" w:pos="6103"/>
              <w:tab w:val="left" w:pos="7365"/>
              <w:tab w:val="left" w:pos="8901"/>
              <w:tab w:val="left" w:pos="10344"/>
            </w:tabs>
            <w:ind w:left="4535"/>
            <w:rPr>
              <w:szCs w:val="24"/>
              <w:lang w:eastAsia="lt-LT"/>
            </w:rPr>
          </w:pPr>
          <w:sdt>
            <w:sdtPr>
              <w:alias w:val="Numeris"/>
              <w:tag w:val="nr_da1167016821413da8e386cdbb0b28d4"/>
              <w:lock w:val="sdtLocked"/>
              <w:richText/>
            </w:sdtPr>
            <w:sdtContent>
              <w:r>
                <w:rPr>
                  <w:szCs w:val="24"/>
                  <w:lang w:eastAsia="lt-LT"/>
                </w:rPr>
                <w:t>4</w:t>
              </w:r>
            </w:sdtContent>
          </w:sdt>
          <w:r>
            <w:rPr>
              <w:szCs w:val="24"/>
              <w:lang w:eastAsia="lt-LT"/>
            </w:rPr>
            <w:t xml:space="preserve"> priedas</w:t>
          </w:r>
        </w:p>
        <w:p>
          <w:pPr>
            <w:tabs>
              <w:tab w:val="left" w:pos="933"/>
              <w:tab w:val="left" w:pos="4149"/>
              <w:tab w:val="left" w:pos="6103"/>
              <w:tab w:val="left" w:pos="7365"/>
              <w:tab w:val="left" w:pos="8901"/>
              <w:tab w:val="left" w:pos="10344"/>
            </w:tabs>
            <w:jc w:val="center"/>
            <w:rPr>
              <w:szCs w:val="24"/>
              <w:lang w:eastAsia="lt-LT"/>
            </w:rPr>
          </w:pPr>
        </w:p>
        <w:p>
          <w:pPr>
            <w:jc w:val="center"/>
            <w:rPr>
              <w:b/>
              <w:bCs/>
              <w:color w:val="000000"/>
              <w:szCs w:val="24"/>
              <w:lang w:eastAsia="lt-LT"/>
            </w:rPr>
          </w:pPr>
          <w:sdt>
            <w:sdtPr>
              <w:alias w:val="Pavadinimas"/>
              <w:tag w:val="title_da1167016821413da8e386cdbb0b28d4"/>
              <w:lock w:val="sdtLocked"/>
              <w:richText/>
            </w:sdtPr>
            <w:sdtContent>
              <w:r>
                <w:rPr>
                  <w:b/>
                  <w:bCs/>
                  <w:szCs w:val="24"/>
                  <w:lang w:eastAsia="lt-LT"/>
                </w:rPr>
                <w:t xml:space="preserve">(Savivaldybės veiklos rezultatų ataskaitos forma) </w:t>
              </w:r>
            </w:sdtContent>
          </w:sdt>
        </w:p>
        <w:p>
          <w:pPr>
            <w:jc w:val="center"/>
            <w:rPr>
              <w:szCs w:val="24"/>
              <w:lang w:eastAsia="lt-LT"/>
            </w:rPr>
          </w:pPr>
        </w:p>
        <w:p>
          <w:pPr>
            <w:tabs>
              <w:tab w:val="left" w:leader="underscore" w:pos="8901"/>
            </w:tabs>
            <w:jc w:val="center"/>
            <w:rPr>
              <w:szCs w:val="24"/>
              <w:lang w:eastAsia="lt-LT"/>
            </w:rPr>
          </w:pPr>
          <w:r>
            <w:rPr>
              <w:szCs w:val="24"/>
              <w:lang w:eastAsia="lt-LT"/>
            </w:rPr>
            <w:tab/>
            <w:tab/>
          </w:r>
        </w:p>
        <w:p>
          <w:pPr>
            <w:jc w:val="center"/>
            <w:rPr>
              <w:szCs w:val="24"/>
              <w:lang w:eastAsia="lt-LT"/>
            </w:rPr>
          </w:pPr>
          <w:r>
            <w:rPr>
              <w:szCs w:val="24"/>
              <w:lang w:eastAsia="lt-LT"/>
            </w:rPr>
            <w:t>(savivaldybės pavadinimas)</w:t>
          </w:r>
        </w:p>
        <w:p>
          <w:pPr>
            <w:tabs>
              <w:tab w:val="left" w:leader="underscore" w:pos="8901"/>
            </w:tabs>
            <w:jc w:val="center"/>
            <w:rPr>
              <w:szCs w:val="24"/>
              <w:lang w:eastAsia="lt-LT"/>
            </w:rPr>
          </w:pPr>
          <w:r>
            <w:rPr>
              <w:szCs w:val="24"/>
              <w:lang w:eastAsia="lt-LT"/>
            </w:rPr>
            <w:t>_______________________________________________________________________________</w:t>
          </w:r>
        </w:p>
        <w:p>
          <w:pPr>
            <w:jc w:val="center"/>
            <w:rPr>
              <w:szCs w:val="24"/>
              <w:lang w:eastAsia="lt-LT"/>
            </w:rPr>
          </w:pPr>
          <w:r>
            <w:rPr>
              <w:szCs w:val="24"/>
              <w:lang w:eastAsia="lt-LT"/>
            </w:rPr>
            <w:t>(viešojo sektoriaus subjekto, parengusio savivaldybės veiklos rezultatų ataskaitą, kodas, adresas)</w:t>
          </w:r>
        </w:p>
        <w:p>
          <w:pPr>
            <w:jc w:val="center"/>
            <w:rPr>
              <w:szCs w:val="24"/>
              <w:lang w:eastAsia="lt-LT"/>
            </w:rPr>
          </w:pPr>
        </w:p>
        <w:sdt>
          <w:sdtPr>
            <w:alias w:val="skirsnis"/>
            <w:tag w:val="part_e82ab6a0bdc84ba7b4367c352768c1a4"/>
            <w:lock w:val="sdtLocked"/>
            <w:richText/>
          </w:sdtPr>
          <w:sdtContent>
            <w:sdt>
              <w:sdtPr>
                <w:alias w:val="Pavadinimas"/>
                <w:tag w:val="title_e82ab6a0bdc84ba7b4367c352768c1a4"/>
                <w:lock w:val="sdtLocked"/>
                <w:richText/>
              </w:sdtPr>
              <w:sdtContent>
                <w:p>
                  <w:pPr>
                    <w:jc w:val="center"/>
                    <w:rPr>
                      <w:b/>
                      <w:bCs/>
                      <w:szCs w:val="24"/>
                      <w:lang w:eastAsia="lt-LT"/>
                    </w:rPr>
                  </w:pPr>
                  <w:r>
                    <w:rPr>
                      <w:b/>
                      <w:bCs/>
                      <w:szCs w:val="24"/>
                      <w:lang w:eastAsia="lt-LT"/>
                    </w:rPr>
                    <w:t>SAVIVALDYBĖS VEIKLOS REZULTATŲ ATASKAITA</w:t>
                  </w:r>
                </w:p>
                <w:p>
                  <w:pPr>
                    <w:jc w:val="center"/>
                    <w:rPr>
                      <w:b/>
                      <w:bCs/>
                      <w:szCs w:val="24"/>
                      <w:lang w:eastAsia="lt-LT"/>
                    </w:rPr>
                  </w:pPr>
                  <w:r>
                    <w:rPr>
                      <w:b/>
                      <w:bCs/>
                      <w:szCs w:val="24"/>
                      <w:lang w:eastAsia="lt-LT"/>
                    </w:rPr>
                    <w:t>PAGAL 20___M._________D. DUOMENIS</w:t>
                  </w:r>
                </w:p>
              </w:sdtContent>
            </w:sdt>
            <w:p>
              <w:pPr>
                <w:tabs>
                  <w:tab w:val="left" w:pos="933"/>
                  <w:tab w:val="left" w:pos="4149"/>
                  <w:tab w:val="left" w:pos="6103"/>
                  <w:tab w:val="left" w:pos="7365"/>
                  <w:tab w:val="left" w:pos="8901"/>
                  <w:tab w:val="left" w:pos="10344"/>
                </w:tabs>
                <w:jc w:val="center"/>
                <w:rPr>
                  <w:szCs w:val="24"/>
                  <w:lang w:eastAsia="lt-LT"/>
                </w:rPr>
              </w:pPr>
            </w:p>
            <w:p>
              <w:pPr>
                <w:jc w:val="center"/>
                <w:rPr>
                  <w:szCs w:val="24"/>
                  <w:lang w:eastAsia="lt-LT"/>
                </w:rPr>
              </w:pPr>
              <w:r>
                <w:rPr>
                  <w:szCs w:val="24"/>
                  <w:lang w:eastAsia="lt-LT"/>
                </w:rPr>
                <w:t>_________________________Nr._____</w:t>
              </w:r>
            </w:p>
            <w:p>
              <w:pPr>
                <w:jc w:val="center"/>
                <w:rPr>
                  <w:szCs w:val="24"/>
                  <w:lang w:eastAsia="lt-LT"/>
                </w:rPr>
              </w:pPr>
              <w:r>
                <w:rPr>
                  <w:szCs w:val="24"/>
                  <w:lang w:eastAsia="lt-LT"/>
                </w:rPr>
                <w:t>(data)</w:t>
              </w:r>
            </w:p>
            <w:p>
              <w:pPr>
                <w:jc w:val="center"/>
                <w:rPr>
                  <w:szCs w:val="24"/>
                  <w:lang w:eastAsia="lt-LT"/>
                </w:rPr>
              </w:pPr>
            </w:p>
            <w:p>
              <w:pPr>
                <w:jc w:val="right"/>
                <w:rPr>
                  <w:i/>
                  <w:iCs/>
                  <w:szCs w:val="24"/>
                  <w:lang w:eastAsia="lt-LT"/>
                </w:rPr>
              </w:pPr>
              <w:r>
                <w:rPr>
                  <w:i/>
                  <w:iCs/>
                  <w:szCs w:val="24"/>
                  <w:lang w:eastAsia="lt-LT"/>
                </w:rPr>
                <w:t>Pateikimo valiuta ir tikslumas: tūkstančiais eurų</w:t>
              </w:r>
            </w:p>
            <w:tbl>
              <w:tblPr>
                <w:tblW w:w="100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3"/>
                <w:gridCol w:w="5103"/>
                <w:gridCol w:w="1123"/>
                <w:gridCol w:w="1443"/>
                <w:gridCol w:w="1390"/>
              </w:tblGrid>
              <w:tr>
                <w:trPr>
                  <w:trHeight w:val="830"/>
                  <w:tblHeader/>
                </w:trPr>
                <w:tc>
                  <w:tcPr>
                    <w:tcW w:w="943" w:type="dxa"/>
                    <w:shd w:val="clear" w:color="auto" w:fill="auto"/>
                    <w:vAlign w:val="center"/>
                  </w:tcPr>
                  <w:p>
                    <w:pPr>
                      <w:jc w:val="center"/>
                      <w:rPr>
                        <w:b/>
                        <w:bCs/>
                        <w:sz w:val="20"/>
                        <w:lang w:eastAsia="lt-LT"/>
                      </w:rPr>
                    </w:pPr>
                    <w:r>
                      <w:rPr>
                        <w:b/>
                        <w:bCs/>
                        <w:sz w:val="20"/>
                        <w:lang w:eastAsia="lt-LT"/>
                      </w:rPr>
                      <w:t>Eil. Nr.</w:t>
                    </w:r>
                  </w:p>
                </w:tc>
                <w:tc>
                  <w:tcPr>
                    <w:tcW w:w="5103" w:type="dxa"/>
                    <w:shd w:val="clear" w:color="auto" w:fill="auto"/>
                    <w:vAlign w:val="center"/>
                  </w:tcPr>
                  <w:p>
                    <w:pPr>
                      <w:jc w:val="center"/>
                      <w:rPr>
                        <w:b/>
                        <w:bCs/>
                        <w:sz w:val="20"/>
                        <w:lang w:eastAsia="lt-LT"/>
                      </w:rPr>
                    </w:pPr>
                    <w:r>
                      <w:rPr>
                        <w:b/>
                        <w:bCs/>
                        <w:sz w:val="20"/>
                        <w:lang w:eastAsia="lt-LT"/>
                      </w:rPr>
                      <w:t>Straipsniai</w:t>
                    </w:r>
                  </w:p>
                </w:tc>
                <w:tc>
                  <w:tcPr>
                    <w:tcW w:w="1123" w:type="dxa"/>
                    <w:shd w:val="clear" w:color="auto" w:fill="auto"/>
                    <w:vAlign w:val="center"/>
                  </w:tcPr>
                  <w:p>
                    <w:pPr>
                      <w:jc w:val="center"/>
                      <w:rPr>
                        <w:b/>
                        <w:bCs/>
                        <w:sz w:val="20"/>
                        <w:lang w:eastAsia="lt-LT"/>
                      </w:rPr>
                    </w:pPr>
                    <w:r>
                      <w:rPr>
                        <w:b/>
                        <w:bCs/>
                        <w:sz w:val="20"/>
                        <w:lang w:eastAsia="lt-LT"/>
                      </w:rPr>
                      <w:t>Pastabos Nr.</w:t>
                    </w:r>
                  </w:p>
                </w:tc>
                <w:tc>
                  <w:tcPr>
                    <w:tcW w:w="1443" w:type="dxa"/>
                    <w:shd w:val="clear" w:color="auto" w:fill="auto"/>
                    <w:vAlign w:val="center"/>
                  </w:tcPr>
                  <w:p>
                    <w:pPr>
                      <w:jc w:val="center"/>
                      <w:rPr>
                        <w:b/>
                        <w:bCs/>
                        <w:sz w:val="20"/>
                        <w:lang w:eastAsia="lt-LT"/>
                      </w:rPr>
                    </w:pPr>
                    <w:r>
                      <w:rPr>
                        <w:b/>
                        <w:bCs/>
                        <w:sz w:val="20"/>
                        <w:lang w:eastAsia="lt-LT"/>
                      </w:rPr>
                      <w:t>Ataskaitinis laikotarpis</w:t>
                    </w:r>
                  </w:p>
                </w:tc>
                <w:tc>
                  <w:tcPr>
                    <w:tcW w:w="1390" w:type="dxa"/>
                    <w:shd w:val="clear" w:color="auto" w:fill="auto"/>
                    <w:vAlign w:val="center"/>
                  </w:tcPr>
                  <w:p>
                    <w:pPr>
                      <w:jc w:val="center"/>
                      <w:rPr>
                        <w:b/>
                        <w:bCs/>
                        <w:sz w:val="20"/>
                        <w:lang w:eastAsia="lt-LT"/>
                      </w:rPr>
                    </w:pPr>
                    <w:r>
                      <w:rPr>
                        <w:b/>
                        <w:bCs/>
                        <w:sz w:val="20"/>
                        <w:lang w:eastAsia="lt-LT"/>
                      </w:rPr>
                      <w:t>Praėjęs ataskaitinis laikotarpis</w:t>
                    </w:r>
                  </w:p>
                </w:tc>
              </w:tr>
              <w:tr>
                <w:trPr>
                  <w:trHeight w:val="131"/>
                  <w:tblHeader/>
                </w:trPr>
                <w:tc>
                  <w:tcPr>
                    <w:tcW w:w="943" w:type="dxa"/>
                    <w:shd w:val="clear" w:color="auto" w:fill="auto"/>
                    <w:vAlign w:val="center"/>
                  </w:tcPr>
                  <w:p>
                    <w:pPr>
                      <w:jc w:val="center"/>
                      <w:rPr>
                        <w:sz w:val="20"/>
                        <w:lang w:eastAsia="lt-LT"/>
                      </w:rPr>
                    </w:pPr>
                    <w:r>
                      <w:rPr>
                        <w:sz w:val="20"/>
                        <w:lang w:eastAsia="lt-LT"/>
                      </w:rPr>
                      <w:t>1</w:t>
                    </w:r>
                  </w:p>
                </w:tc>
                <w:tc>
                  <w:tcPr>
                    <w:tcW w:w="5103" w:type="dxa"/>
                    <w:shd w:val="clear" w:color="auto" w:fill="auto"/>
                    <w:vAlign w:val="center"/>
                  </w:tcPr>
                  <w:p>
                    <w:pPr>
                      <w:jc w:val="center"/>
                      <w:rPr>
                        <w:sz w:val="20"/>
                        <w:lang w:eastAsia="lt-LT"/>
                      </w:rPr>
                    </w:pPr>
                    <w:r>
                      <w:rPr>
                        <w:sz w:val="20"/>
                        <w:lang w:eastAsia="lt-LT"/>
                      </w:rPr>
                      <w:t>2</w:t>
                    </w:r>
                  </w:p>
                </w:tc>
                <w:tc>
                  <w:tcPr>
                    <w:tcW w:w="1123" w:type="dxa"/>
                    <w:shd w:val="clear" w:color="auto" w:fill="auto"/>
                    <w:vAlign w:val="center"/>
                  </w:tcPr>
                  <w:p>
                    <w:pPr>
                      <w:jc w:val="center"/>
                      <w:rPr>
                        <w:sz w:val="20"/>
                        <w:lang w:eastAsia="lt-LT"/>
                      </w:rPr>
                    </w:pPr>
                    <w:r>
                      <w:rPr>
                        <w:sz w:val="20"/>
                        <w:lang w:eastAsia="lt-LT"/>
                      </w:rPr>
                      <w:t>3</w:t>
                    </w:r>
                  </w:p>
                </w:tc>
                <w:tc>
                  <w:tcPr>
                    <w:tcW w:w="1443" w:type="dxa"/>
                    <w:shd w:val="clear" w:color="auto" w:fill="auto"/>
                    <w:vAlign w:val="center"/>
                  </w:tcPr>
                  <w:p>
                    <w:pPr>
                      <w:jc w:val="center"/>
                      <w:rPr>
                        <w:sz w:val="20"/>
                        <w:lang w:eastAsia="lt-LT"/>
                      </w:rPr>
                    </w:pPr>
                    <w:r>
                      <w:rPr>
                        <w:sz w:val="20"/>
                        <w:lang w:eastAsia="lt-LT"/>
                      </w:rPr>
                      <w:t>4</w:t>
                    </w:r>
                  </w:p>
                </w:tc>
                <w:tc>
                  <w:tcPr>
                    <w:tcW w:w="1390" w:type="dxa"/>
                    <w:shd w:val="clear" w:color="auto" w:fill="auto"/>
                    <w:vAlign w:val="center"/>
                  </w:tcPr>
                  <w:p>
                    <w:pPr>
                      <w:jc w:val="center"/>
                      <w:rPr>
                        <w:sz w:val="20"/>
                        <w:lang w:eastAsia="lt-LT"/>
                      </w:rPr>
                    </w:pPr>
                    <w:r>
                      <w:rPr>
                        <w:sz w:val="20"/>
                        <w:lang w:eastAsia="lt-LT"/>
                      </w:rPr>
                      <w:t>5</w:t>
                    </w:r>
                  </w:p>
                </w:tc>
              </w:tr>
              <w:tr>
                <w:trPr>
                  <w:trHeight w:val="315"/>
                </w:trPr>
                <w:tc>
                  <w:tcPr>
                    <w:tcW w:w="943" w:type="dxa"/>
                    <w:shd w:val="clear" w:color="auto" w:fill="auto"/>
                    <w:vAlign w:val="center"/>
                  </w:tcPr>
                  <w:p>
                    <w:pPr>
                      <w:jc w:val="center"/>
                      <w:rPr>
                        <w:b/>
                        <w:bCs/>
                        <w:sz w:val="20"/>
                        <w:lang w:eastAsia="lt-LT"/>
                      </w:rPr>
                    </w:pPr>
                    <w:r>
                      <w:rPr>
                        <w:b/>
                        <w:bCs/>
                        <w:sz w:val="20"/>
                        <w:lang w:eastAsia="lt-LT"/>
                      </w:rPr>
                      <w:t>1.</w:t>
                    </w:r>
                  </w:p>
                </w:tc>
                <w:tc>
                  <w:tcPr>
                    <w:tcW w:w="5103" w:type="dxa"/>
                    <w:shd w:val="clear" w:color="auto" w:fill="auto"/>
                    <w:vAlign w:val="center"/>
                  </w:tcPr>
                  <w:p>
                    <w:pPr>
                      <w:rPr>
                        <w:b/>
                        <w:bCs/>
                        <w:sz w:val="20"/>
                        <w:lang w:eastAsia="lt-LT"/>
                      </w:rPr>
                    </w:pPr>
                    <w:r>
                      <w:rPr>
                        <w:b/>
                        <w:bCs/>
                        <w:sz w:val="20"/>
                        <w:lang w:eastAsia="lt-LT"/>
                      </w:rPr>
                      <w:t>PAJAMOS</w:t>
                    </w:r>
                  </w:p>
                </w:tc>
                <w:tc>
                  <w:tcPr>
                    <w:tcW w:w="1123" w:type="dxa"/>
                    <w:shd w:val="clear" w:color="auto" w:fill="auto"/>
                    <w:noWrap/>
                    <w:vAlign w:val="center"/>
                  </w:tcPr>
                  <w:p>
                    <w:pPr>
                      <w:ind w:firstLine="60"/>
                      <w:rPr>
                        <w:b/>
                        <w:bCs/>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1.1.</w:t>
                    </w:r>
                  </w:p>
                </w:tc>
                <w:tc>
                  <w:tcPr>
                    <w:tcW w:w="5103" w:type="dxa"/>
                    <w:shd w:val="clear" w:color="auto" w:fill="auto"/>
                    <w:vAlign w:val="center"/>
                  </w:tcPr>
                  <w:p>
                    <w:pPr>
                      <w:rPr>
                        <w:sz w:val="20"/>
                        <w:lang w:eastAsia="lt-LT"/>
                      </w:rPr>
                    </w:pPr>
                    <w:r>
                      <w:rPr>
                        <w:sz w:val="20"/>
                        <w:lang w:eastAsia="lt-LT"/>
                      </w:rPr>
                      <w:t>FINANSAVIMO PAJAMOS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1.1.1.</w:t>
                    </w:r>
                  </w:p>
                </w:tc>
                <w:tc>
                  <w:tcPr>
                    <w:tcW w:w="5103" w:type="dxa"/>
                    <w:shd w:val="clear" w:color="auto" w:fill="auto"/>
                    <w:vAlign w:val="center"/>
                  </w:tcPr>
                  <w:p>
                    <w:pPr>
                      <w:ind w:left="152"/>
                      <w:rPr>
                        <w:sz w:val="20"/>
                        <w:lang w:eastAsia="lt-LT"/>
                      </w:rPr>
                    </w:pPr>
                    <w:r>
                      <w:rPr>
                        <w:sz w:val="20"/>
                        <w:lang w:eastAsia="lt-LT"/>
                      </w:rPr>
                      <w:t xml:space="preserve">Iš valstybės biudžeto </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1.1.2.</w:t>
                    </w:r>
                  </w:p>
                </w:tc>
                <w:tc>
                  <w:tcPr>
                    <w:tcW w:w="5103" w:type="dxa"/>
                    <w:shd w:val="clear" w:color="auto" w:fill="auto"/>
                    <w:vAlign w:val="center"/>
                  </w:tcPr>
                  <w:p>
                    <w:pPr>
                      <w:ind w:left="152"/>
                      <w:rPr>
                        <w:sz w:val="20"/>
                        <w:lang w:eastAsia="lt-LT"/>
                      </w:rPr>
                    </w:pPr>
                    <w:r>
                      <w:rPr>
                        <w:sz w:val="20"/>
                        <w:lang w:eastAsia="lt-LT"/>
                      </w:rPr>
                      <w:t>Iš Europos Sąjungos, užsienio valstybių ir tarptautinių organizacijų lėšų</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1.1.3.</w:t>
                    </w:r>
                  </w:p>
                </w:tc>
                <w:tc>
                  <w:tcPr>
                    <w:tcW w:w="5103" w:type="dxa"/>
                    <w:shd w:val="clear" w:color="auto" w:fill="auto"/>
                    <w:vAlign w:val="center"/>
                  </w:tcPr>
                  <w:p>
                    <w:pPr>
                      <w:ind w:left="152"/>
                      <w:rPr>
                        <w:sz w:val="20"/>
                        <w:lang w:eastAsia="lt-LT"/>
                      </w:rPr>
                    </w:pPr>
                    <w:r>
                      <w:rPr>
                        <w:sz w:val="20"/>
                        <w:lang w:eastAsia="lt-LT"/>
                      </w:rPr>
                      <w:t>Iš viešojo sektoriaus subjektų pajamų</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1.1.4.</w:t>
                    </w:r>
                  </w:p>
                </w:tc>
                <w:tc>
                  <w:tcPr>
                    <w:tcW w:w="5103" w:type="dxa"/>
                    <w:shd w:val="clear" w:color="auto" w:fill="auto"/>
                    <w:vAlign w:val="center"/>
                  </w:tcPr>
                  <w:p>
                    <w:pPr>
                      <w:ind w:left="152"/>
                      <w:rPr>
                        <w:sz w:val="20"/>
                        <w:lang w:eastAsia="lt-LT"/>
                      </w:rPr>
                    </w:pPr>
                    <w:r>
                      <w:rPr>
                        <w:sz w:val="20"/>
                        <w:lang w:eastAsia="lt-LT"/>
                      </w:rPr>
                      <w:t>Iš fizinių ir privačių juridinių asmenų</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1.2.</w:t>
                    </w:r>
                  </w:p>
                </w:tc>
                <w:tc>
                  <w:tcPr>
                    <w:tcW w:w="5103" w:type="dxa"/>
                    <w:shd w:val="clear" w:color="auto" w:fill="auto"/>
                    <w:vAlign w:val="center"/>
                  </w:tcPr>
                  <w:p>
                    <w:pPr>
                      <w:rPr>
                        <w:sz w:val="20"/>
                        <w:lang w:eastAsia="lt-LT"/>
                      </w:rPr>
                    </w:pPr>
                    <w:r>
                      <w:rPr>
                        <w:sz w:val="20"/>
                        <w:lang w:eastAsia="lt-LT"/>
                      </w:rPr>
                      <w:t>MOKESČIŲ PAJAMOS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1.2.1.</w:t>
                    </w:r>
                  </w:p>
                </w:tc>
                <w:tc>
                  <w:tcPr>
                    <w:tcW w:w="5103" w:type="dxa"/>
                    <w:shd w:val="clear" w:color="auto" w:fill="auto"/>
                    <w:vAlign w:val="center"/>
                  </w:tcPr>
                  <w:p>
                    <w:pPr>
                      <w:ind w:left="123"/>
                      <w:rPr>
                        <w:sz w:val="20"/>
                        <w:lang w:eastAsia="lt-LT"/>
                      </w:rPr>
                    </w:pPr>
                    <w:r>
                      <w:rPr>
                        <w:sz w:val="20"/>
                        <w:lang w:eastAsia="lt-LT"/>
                      </w:rPr>
                      <w:t>Gyventojų pajamų mokesčio pajamos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1.2.2.</w:t>
                    </w:r>
                  </w:p>
                </w:tc>
                <w:tc>
                  <w:tcPr>
                    <w:tcW w:w="5103" w:type="dxa"/>
                    <w:shd w:val="clear" w:color="auto" w:fill="auto"/>
                    <w:vAlign w:val="center"/>
                  </w:tcPr>
                  <w:p>
                    <w:pPr>
                      <w:ind w:left="123"/>
                      <w:rPr>
                        <w:sz w:val="20"/>
                        <w:lang w:eastAsia="lt-LT"/>
                      </w:rPr>
                    </w:pPr>
                    <w:r>
                      <w:rPr>
                        <w:sz w:val="20"/>
                        <w:lang w:eastAsia="lt-LT"/>
                      </w:rPr>
                      <w:t>Turto mokesčių pajamos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1.2.3.</w:t>
                    </w:r>
                  </w:p>
                </w:tc>
                <w:tc>
                  <w:tcPr>
                    <w:tcW w:w="5103" w:type="dxa"/>
                    <w:shd w:val="clear" w:color="auto" w:fill="auto"/>
                    <w:vAlign w:val="center"/>
                  </w:tcPr>
                  <w:p>
                    <w:pPr>
                      <w:ind w:left="123"/>
                      <w:rPr>
                        <w:sz w:val="20"/>
                        <w:lang w:eastAsia="lt-LT"/>
                      </w:rPr>
                    </w:pPr>
                    <w:r>
                      <w:rPr>
                        <w:sz w:val="20"/>
                        <w:lang w:eastAsia="lt-LT"/>
                      </w:rPr>
                      <w:t>Kitų mokesčių pajamos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1.3.</w:t>
                    </w:r>
                  </w:p>
                </w:tc>
                <w:tc>
                  <w:tcPr>
                    <w:tcW w:w="5103" w:type="dxa"/>
                    <w:shd w:val="clear" w:color="auto" w:fill="auto"/>
                    <w:vAlign w:val="center"/>
                  </w:tcPr>
                  <w:p>
                    <w:pPr>
                      <w:rPr>
                        <w:sz w:val="20"/>
                        <w:lang w:eastAsia="lt-LT"/>
                      </w:rPr>
                    </w:pPr>
                    <w:r>
                      <w:rPr>
                        <w:sz w:val="20"/>
                        <w:lang w:eastAsia="lt-LT"/>
                      </w:rPr>
                      <w:t xml:space="preserve">KITOS PAJAMOS </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1.3.1.</w:t>
                    </w:r>
                  </w:p>
                </w:tc>
                <w:tc>
                  <w:tcPr>
                    <w:tcW w:w="5103" w:type="dxa"/>
                    <w:shd w:val="clear" w:color="auto" w:fill="auto"/>
                    <w:vAlign w:val="center"/>
                  </w:tcPr>
                  <w:p>
                    <w:pPr>
                      <w:ind w:left="123"/>
                      <w:rPr>
                        <w:sz w:val="20"/>
                        <w:lang w:eastAsia="lt-LT"/>
                      </w:rPr>
                    </w:pPr>
                    <w:r>
                      <w:rPr>
                        <w:sz w:val="20"/>
                        <w:lang w:eastAsia="lt-LT"/>
                      </w:rPr>
                      <w:t>Rinkliavų pajamos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536"/>
                </w:trPr>
                <w:tc>
                  <w:tcPr>
                    <w:tcW w:w="943" w:type="dxa"/>
                    <w:shd w:val="clear" w:color="auto" w:fill="auto"/>
                    <w:vAlign w:val="center"/>
                  </w:tcPr>
                  <w:p>
                    <w:pPr>
                      <w:jc w:val="center"/>
                      <w:rPr>
                        <w:sz w:val="20"/>
                        <w:lang w:eastAsia="lt-LT"/>
                      </w:rPr>
                    </w:pPr>
                    <w:r>
                      <w:rPr>
                        <w:sz w:val="20"/>
                        <w:lang w:eastAsia="lt-LT"/>
                      </w:rPr>
                      <w:t>1.3.2.</w:t>
                    </w:r>
                  </w:p>
                </w:tc>
                <w:tc>
                  <w:tcPr>
                    <w:tcW w:w="5103" w:type="dxa"/>
                    <w:shd w:val="clear" w:color="auto" w:fill="auto"/>
                    <w:vAlign w:val="center"/>
                  </w:tcPr>
                  <w:p>
                    <w:pPr>
                      <w:ind w:left="123"/>
                      <w:rPr>
                        <w:sz w:val="20"/>
                        <w:lang w:eastAsia="lt-LT"/>
                      </w:rPr>
                    </w:pPr>
                    <w:r>
                      <w:rPr>
                        <w:sz w:val="20"/>
                        <w:lang w:eastAsia="lt-LT"/>
                      </w:rPr>
                      <w:t>Prekių pardavimo ir paslaugų pajamos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536"/>
                </w:trPr>
                <w:tc>
                  <w:tcPr>
                    <w:tcW w:w="943" w:type="dxa"/>
                    <w:shd w:val="clear" w:color="auto" w:fill="auto"/>
                    <w:vAlign w:val="center"/>
                  </w:tcPr>
                  <w:p>
                    <w:pPr>
                      <w:jc w:val="center"/>
                      <w:rPr>
                        <w:sz w:val="20"/>
                        <w:lang w:eastAsia="lt-LT"/>
                      </w:rPr>
                    </w:pPr>
                    <w:r>
                      <w:rPr>
                        <w:sz w:val="20"/>
                        <w:lang w:eastAsia="lt-LT"/>
                      </w:rPr>
                      <w:t>1.3.2.1.</w:t>
                    </w:r>
                  </w:p>
                </w:tc>
                <w:tc>
                  <w:tcPr>
                    <w:tcW w:w="5103" w:type="dxa"/>
                    <w:shd w:val="clear" w:color="auto" w:fill="auto"/>
                    <w:vAlign w:val="center"/>
                  </w:tcPr>
                  <w:p>
                    <w:pPr>
                      <w:ind w:left="311"/>
                      <w:rPr>
                        <w:sz w:val="20"/>
                        <w:lang w:eastAsia="lt-LT"/>
                      </w:rPr>
                    </w:pPr>
                    <w:r>
                      <w:rPr>
                        <w:sz w:val="20"/>
                        <w:lang w:eastAsia="lt-LT"/>
                      </w:rPr>
                      <w:t>Prekių pardavimo ir paslaugų, apmokamų viešojo sektoriaus subjektų lėšomis, pajamos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1.3.2.2.</w:t>
                    </w:r>
                  </w:p>
                </w:tc>
                <w:tc>
                  <w:tcPr>
                    <w:tcW w:w="5103" w:type="dxa"/>
                    <w:shd w:val="clear" w:color="auto" w:fill="auto"/>
                    <w:vAlign w:val="center"/>
                  </w:tcPr>
                  <w:p>
                    <w:pPr>
                      <w:ind w:left="311"/>
                      <w:rPr>
                        <w:sz w:val="20"/>
                        <w:lang w:eastAsia="lt-LT"/>
                      </w:rPr>
                    </w:pPr>
                    <w:r>
                      <w:rPr>
                        <w:sz w:val="20"/>
                        <w:lang w:eastAsia="lt-LT"/>
                      </w:rPr>
                      <w:t>Kitų prekių pardavimo ir paslaugų pajamos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1.3.3.</w:t>
                    </w:r>
                  </w:p>
                </w:tc>
                <w:tc>
                  <w:tcPr>
                    <w:tcW w:w="5103" w:type="dxa"/>
                    <w:shd w:val="clear" w:color="auto" w:fill="auto"/>
                    <w:vAlign w:val="center"/>
                  </w:tcPr>
                  <w:p>
                    <w:pPr>
                      <w:ind w:left="123"/>
                      <w:rPr>
                        <w:sz w:val="20"/>
                        <w:lang w:eastAsia="lt-LT"/>
                      </w:rPr>
                    </w:pPr>
                    <w:r>
                      <w:rPr>
                        <w:sz w:val="20"/>
                        <w:lang w:eastAsia="lt-LT"/>
                      </w:rPr>
                      <w:t>Baudų, konfiskuoto turto ir netesybų pajamos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1.3.4.</w:t>
                    </w:r>
                  </w:p>
                </w:tc>
                <w:tc>
                  <w:tcPr>
                    <w:tcW w:w="5103" w:type="dxa"/>
                    <w:shd w:val="clear" w:color="auto" w:fill="auto"/>
                    <w:vAlign w:val="center"/>
                  </w:tcPr>
                  <w:p>
                    <w:pPr>
                      <w:ind w:left="123"/>
                      <w:rPr>
                        <w:sz w:val="20"/>
                        <w:lang w:eastAsia="lt-LT"/>
                      </w:rPr>
                    </w:pPr>
                    <w:r>
                      <w:rPr>
                        <w:sz w:val="20"/>
                        <w:lang w:eastAsia="lt-LT"/>
                      </w:rPr>
                      <w:t>Finansinės ir investicinės veiklos pajamos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1.3.4.1.</w:t>
                    </w:r>
                  </w:p>
                </w:tc>
                <w:tc>
                  <w:tcPr>
                    <w:tcW w:w="5103" w:type="dxa"/>
                    <w:shd w:val="clear" w:color="auto" w:fill="auto"/>
                    <w:vAlign w:val="center"/>
                  </w:tcPr>
                  <w:p>
                    <w:pPr>
                      <w:ind w:left="264"/>
                      <w:rPr>
                        <w:sz w:val="20"/>
                        <w:lang w:eastAsia="lt-LT"/>
                      </w:rPr>
                    </w:pPr>
                    <w:r>
                      <w:rPr>
                        <w:bCs/>
                        <w:sz w:val="20"/>
                        <w:lang w:eastAsia="lt-LT"/>
                      </w:rPr>
                      <w:t>Finansinio turto tikrosios vertės padidėjimas ir finansinio turto perleidimo pelnas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1.3.4.2.</w:t>
                    </w:r>
                  </w:p>
                </w:tc>
                <w:tc>
                  <w:tcPr>
                    <w:tcW w:w="5103" w:type="dxa"/>
                    <w:shd w:val="clear" w:color="auto" w:fill="auto"/>
                    <w:vAlign w:val="center"/>
                  </w:tcPr>
                  <w:p>
                    <w:pPr>
                      <w:ind w:left="264"/>
                      <w:rPr>
                        <w:sz w:val="20"/>
                        <w:lang w:eastAsia="lt-LT"/>
                      </w:rPr>
                    </w:pPr>
                    <w:r>
                      <w:rPr>
                        <w:bCs/>
                        <w:sz w:val="20"/>
                        <w:lang w:eastAsia="lt-LT"/>
                      </w:rPr>
                      <w:t>Palūkanų pajamos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1.3.4.3.</w:t>
                    </w:r>
                  </w:p>
                </w:tc>
                <w:tc>
                  <w:tcPr>
                    <w:tcW w:w="5103" w:type="dxa"/>
                    <w:shd w:val="clear" w:color="auto" w:fill="auto"/>
                    <w:vAlign w:val="center"/>
                  </w:tcPr>
                  <w:p>
                    <w:pPr>
                      <w:ind w:left="264"/>
                      <w:rPr>
                        <w:bCs/>
                        <w:sz w:val="20"/>
                        <w:lang w:eastAsia="lt-LT"/>
                      </w:rPr>
                    </w:pPr>
                    <w:r>
                      <w:rPr>
                        <w:bCs/>
                        <w:sz w:val="20"/>
                        <w:lang w:eastAsia="lt-LT"/>
                      </w:rPr>
                      <w:t>Dividendai</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1.3.4.4.</w:t>
                    </w:r>
                  </w:p>
                </w:tc>
                <w:tc>
                  <w:tcPr>
                    <w:tcW w:w="5103" w:type="dxa"/>
                    <w:shd w:val="clear" w:color="auto" w:fill="auto"/>
                    <w:vAlign w:val="center"/>
                  </w:tcPr>
                  <w:p>
                    <w:pPr>
                      <w:ind w:left="264"/>
                      <w:rPr>
                        <w:sz w:val="20"/>
                        <w:lang w:eastAsia="lt-LT"/>
                      </w:rPr>
                    </w:pPr>
                    <w:r>
                      <w:rPr>
                        <w:bCs/>
                        <w:sz w:val="20"/>
                        <w:lang w:eastAsia="lt-LT"/>
                      </w:rPr>
                      <w:t>Kitos finansinės ir investicinės veiklos pajamos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1.3.5.</w:t>
                    </w:r>
                  </w:p>
                </w:tc>
                <w:tc>
                  <w:tcPr>
                    <w:tcW w:w="5103" w:type="dxa"/>
                    <w:shd w:val="clear" w:color="auto" w:fill="auto"/>
                    <w:vAlign w:val="center"/>
                  </w:tcPr>
                  <w:p>
                    <w:pPr>
                      <w:ind w:left="152"/>
                      <w:rPr>
                        <w:bCs/>
                        <w:sz w:val="20"/>
                        <w:lang w:eastAsia="lt-LT"/>
                      </w:rPr>
                    </w:pPr>
                    <w:r>
                      <w:rPr>
                        <w:bCs/>
                        <w:sz w:val="20"/>
                        <w:lang w:eastAsia="lt-LT"/>
                      </w:rPr>
                      <w:t xml:space="preserve">Kitos </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1.3.6.</w:t>
                    </w:r>
                  </w:p>
                </w:tc>
                <w:tc>
                  <w:tcPr>
                    <w:tcW w:w="5103" w:type="dxa"/>
                    <w:shd w:val="clear" w:color="auto" w:fill="auto"/>
                    <w:vAlign w:val="center"/>
                  </w:tcPr>
                  <w:p>
                    <w:pPr>
                      <w:ind w:left="152"/>
                      <w:rPr>
                        <w:bCs/>
                        <w:sz w:val="20"/>
                        <w:lang w:eastAsia="lt-LT"/>
                      </w:rPr>
                    </w:pPr>
                    <w:r>
                      <w:rPr>
                        <w:sz w:val="20"/>
                        <w:lang w:eastAsia="lt-LT"/>
                      </w:rPr>
                      <w:t>Negrąžintinai pervestinos į biudžetus, išteklių fondus pajamos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b/>
                        <w:bCs/>
                        <w:sz w:val="20"/>
                        <w:lang w:eastAsia="lt-LT"/>
                      </w:rPr>
                    </w:pPr>
                    <w:r>
                      <w:rPr>
                        <w:b/>
                        <w:bCs/>
                        <w:sz w:val="20"/>
                        <w:lang w:eastAsia="lt-LT"/>
                      </w:rPr>
                      <w:t>2.</w:t>
                    </w:r>
                  </w:p>
                </w:tc>
                <w:tc>
                  <w:tcPr>
                    <w:tcW w:w="5103" w:type="dxa"/>
                    <w:shd w:val="clear" w:color="auto" w:fill="auto"/>
                    <w:vAlign w:val="center"/>
                  </w:tcPr>
                  <w:p>
                    <w:pPr>
                      <w:rPr>
                        <w:b/>
                        <w:bCs/>
                        <w:sz w:val="20"/>
                        <w:lang w:eastAsia="lt-LT"/>
                      </w:rPr>
                    </w:pPr>
                    <w:r>
                      <w:rPr>
                        <w:b/>
                        <w:bCs/>
                        <w:sz w:val="20"/>
                        <w:lang w:eastAsia="lt-LT"/>
                      </w:rPr>
                      <w:t>SĄNAUDOS</w:t>
                    </w:r>
                  </w:p>
                </w:tc>
                <w:tc>
                  <w:tcPr>
                    <w:tcW w:w="1123" w:type="dxa"/>
                    <w:shd w:val="clear" w:color="auto" w:fill="auto"/>
                    <w:noWrap/>
                    <w:vAlign w:val="center"/>
                  </w:tcPr>
                  <w:p>
                    <w:pPr>
                      <w:ind w:firstLine="60"/>
                      <w:rPr>
                        <w:b/>
                        <w:bCs/>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136"/>
                </w:trPr>
                <w:tc>
                  <w:tcPr>
                    <w:tcW w:w="943" w:type="dxa"/>
                    <w:shd w:val="clear" w:color="auto" w:fill="auto"/>
                    <w:vAlign w:val="center"/>
                  </w:tcPr>
                  <w:p>
                    <w:pPr>
                      <w:jc w:val="center"/>
                      <w:rPr>
                        <w:sz w:val="20"/>
                        <w:lang w:eastAsia="lt-LT"/>
                      </w:rPr>
                    </w:pPr>
                    <w:r>
                      <w:rPr>
                        <w:sz w:val="20"/>
                        <w:lang w:eastAsia="lt-LT"/>
                      </w:rPr>
                      <w:t>2.1.</w:t>
                    </w:r>
                  </w:p>
                </w:tc>
                <w:tc>
                  <w:tcPr>
                    <w:tcW w:w="5103" w:type="dxa"/>
                    <w:shd w:val="clear" w:color="auto" w:fill="auto"/>
                    <w:vAlign w:val="center"/>
                  </w:tcPr>
                  <w:p>
                    <w:pPr>
                      <w:ind w:left="5"/>
                      <w:rPr>
                        <w:sz w:val="20"/>
                        <w:lang w:eastAsia="lt-LT"/>
                      </w:rPr>
                    </w:pPr>
                    <w:r>
                      <w:rPr>
                        <w:sz w:val="20"/>
                        <w:lang w:eastAsia="lt-LT"/>
                      </w:rPr>
                      <w:t>SU DARBO SANTYKIAIS SUSIJUSIŲ IŠMOKŲ SĄNAUDOS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2.1.1.</w:t>
                    </w:r>
                  </w:p>
                </w:tc>
                <w:tc>
                  <w:tcPr>
                    <w:tcW w:w="5103" w:type="dxa"/>
                    <w:shd w:val="clear" w:color="auto" w:fill="auto"/>
                    <w:vAlign w:val="center"/>
                  </w:tcPr>
                  <w:p>
                    <w:pPr>
                      <w:ind w:left="180"/>
                      <w:rPr>
                        <w:sz w:val="20"/>
                        <w:lang w:eastAsia="lt-LT"/>
                      </w:rPr>
                    </w:pPr>
                    <w:r>
                      <w:rPr>
                        <w:sz w:val="20"/>
                        <w:lang w:eastAsia="lt-LT"/>
                      </w:rPr>
                      <w:t>Darbo užmokesčio ir socialinio draudimo sąnaudos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2.1.2.</w:t>
                    </w:r>
                  </w:p>
                </w:tc>
                <w:tc>
                  <w:tcPr>
                    <w:tcW w:w="5103" w:type="dxa"/>
                    <w:shd w:val="clear" w:color="auto" w:fill="auto"/>
                    <w:vAlign w:val="center"/>
                  </w:tcPr>
                  <w:p>
                    <w:pPr>
                      <w:ind w:left="180"/>
                      <w:rPr>
                        <w:sz w:val="20"/>
                        <w:lang w:eastAsia="lt-LT"/>
                      </w:rPr>
                    </w:pPr>
                    <w:r>
                      <w:rPr>
                        <w:sz w:val="20"/>
                        <w:lang w:eastAsia="lt-LT"/>
                      </w:rPr>
                      <w:t>Socialinių ir kitų išmokų darbuotojams sąnaudos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2.2.</w:t>
                    </w:r>
                  </w:p>
                </w:tc>
                <w:tc>
                  <w:tcPr>
                    <w:tcW w:w="5103" w:type="dxa"/>
                    <w:shd w:val="clear" w:color="auto" w:fill="auto"/>
                    <w:vAlign w:val="center"/>
                  </w:tcPr>
                  <w:p>
                    <w:pPr>
                      <w:ind w:left="5"/>
                      <w:rPr>
                        <w:sz w:val="20"/>
                        <w:lang w:eastAsia="lt-LT"/>
                      </w:rPr>
                    </w:pPr>
                    <w:r>
                      <w:rPr>
                        <w:sz w:val="20"/>
                        <w:lang w:eastAsia="lt-LT"/>
                      </w:rPr>
                      <w:t>PREKIŲ IR PASLAUGŲ SĄNAUDOS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2.2.1.</w:t>
                    </w:r>
                  </w:p>
                </w:tc>
                <w:tc>
                  <w:tcPr>
                    <w:tcW w:w="5103" w:type="dxa"/>
                    <w:shd w:val="clear" w:color="auto" w:fill="auto"/>
                    <w:vAlign w:val="center"/>
                  </w:tcPr>
                  <w:p>
                    <w:pPr>
                      <w:ind w:left="180"/>
                      <w:rPr>
                        <w:sz w:val="20"/>
                        <w:lang w:eastAsia="lt-LT"/>
                      </w:rPr>
                    </w:pPr>
                    <w:r>
                      <w:rPr>
                        <w:sz w:val="20"/>
                        <w:lang w:eastAsia="lt-LT"/>
                      </w:rPr>
                      <w:t>Prekių ir paslaugų sąnaudos veiklai</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2.2.2.</w:t>
                    </w:r>
                  </w:p>
                </w:tc>
                <w:tc>
                  <w:tcPr>
                    <w:tcW w:w="5103" w:type="dxa"/>
                    <w:shd w:val="clear" w:color="auto" w:fill="auto"/>
                    <w:vAlign w:val="center"/>
                  </w:tcPr>
                  <w:p>
                    <w:pPr>
                      <w:ind w:left="180"/>
                      <w:rPr>
                        <w:sz w:val="20"/>
                        <w:lang w:eastAsia="lt-LT"/>
                      </w:rPr>
                    </w:pPr>
                    <w:r>
                      <w:rPr>
                        <w:sz w:val="20"/>
                        <w:lang w:eastAsia="lt-LT"/>
                      </w:rPr>
                      <w:t>Prekių ir paslaugų sąnaudos viešajam ūkiui</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2.3.</w:t>
                    </w:r>
                  </w:p>
                </w:tc>
                <w:tc>
                  <w:tcPr>
                    <w:tcW w:w="5103" w:type="dxa"/>
                    <w:shd w:val="clear" w:color="auto" w:fill="auto"/>
                    <w:vAlign w:val="center"/>
                  </w:tcPr>
                  <w:p>
                    <w:pPr>
                      <w:ind w:left="5"/>
                      <w:rPr>
                        <w:sz w:val="20"/>
                        <w:lang w:eastAsia="lt-LT"/>
                      </w:rPr>
                    </w:pPr>
                    <w:r>
                      <w:rPr>
                        <w:sz w:val="20"/>
                        <w:lang w:eastAsia="lt-LT"/>
                      </w:rPr>
                      <w:t>NUSIDĖVĖJIMO IR AMORTIZACIJOS SĄNAUDOS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2.4.</w:t>
                    </w:r>
                  </w:p>
                </w:tc>
                <w:tc>
                  <w:tcPr>
                    <w:tcW w:w="5103" w:type="dxa"/>
                    <w:shd w:val="clear" w:color="auto" w:fill="auto"/>
                    <w:vAlign w:val="center"/>
                  </w:tcPr>
                  <w:p>
                    <w:pPr>
                      <w:ind w:left="5"/>
                      <w:rPr>
                        <w:sz w:val="20"/>
                        <w:lang w:eastAsia="lt-LT"/>
                      </w:rPr>
                    </w:pPr>
                    <w:r>
                      <w:rPr>
                        <w:sz w:val="20"/>
                        <w:lang w:eastAsia="lt-LT"/>
                      </w:rPr>
                      <w:t>NUVERTĖJIMO IR NURAŠYTŲ SUMŲ SĄNAUDOS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b/>
                        <w:bCs/>
                        <w:sz w:val="20"/>
                        <w:lang w:eastAsia="lt-LT"/>
                      </w:rPr>
                    </w:pPr>
                  </w:p>
                </w:tc>
                <w:tc>
                  <w:tcPr>
                    <w:tcW w:w="1390" w:type="dxa"/>
                    <w:shd w:val="clear" w:color="auto" w:fill="auto"/>
                    <w:vAlign w:val="center"/>
                  </w:tcPr>
                  <w:p>
                    <w:pPr>
                      <w:ind w:firstLine="60"/>
                      <w:rPr>
                        <w:b/>
                        <w:bCs/>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2.5.</w:t>
                    </w:r>
                  </w:p>
                </w:tc>
                <w:tc>
                  <w:tcPr>
                    <w:tcW w:w="5103" w:type="dxa"/>
                    <w:shd w:val="clear" w:color="auto" w:fill="auto"/>
                    <w:vAlign w:val="center"/>
                  </w:tcPr>
                  <w:p>
                    <w:pPr>
                      <w:rPr>
                        <w:sz w:val="20"/>
                        <w:lang w:eastAsia="lt-LT"/>
                      </w:rPr>
                    </w:pPr>
                    <w:r>
                      <w:rPr>
                        <w:sz w:val="20"/>
                        <w:lang w:eastAsia="lt-LT"/>
                      </w:rPr>
                      <w:t>SOCIALINIŲ IŠMOKŲ, STIPENDIJŲ, PRIZŲ IR PREMIJŲ SĄNAUDOS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sz w:val="20"/>
                        <w:lang w:eastAsia="lt-LT"/>
                      </w:rPr>
                    </w:pPr>
                  </w:p>
                </w:tc>
                <w:tc>
                  <w:tcPr>
                    <w:tcW w:w="1390" w:type="dxa"/>
                    <w:shd w:val="clear" w:color="auto" w:fill="auto"/>
                    <w:vAlign w:val="center"/>
                  </w:tcPr>
                  <w:p>
                    <w:pPr>
                      <w:ind w:firstLine="60"/>
                      <w:rPr>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2.6.</w:t>
                    </w:r>
                  </w:p>
                </w:tc>
                <w:tc>
                  <w:tcPr>
                    <w:tcW w:w="5103" w:type="dxa"/>
                    <w:shd w:val="clear" w:color="auto" w:fill="auto"/>
                    <w:vAlign w:val="center"/>
                  </w:tcPr>
                  <w:p>
                    <w:pPr>
                      <w:rPr>
                        <w:sz w:val="20"/>
                        <w:lang w:eastAsia="lt-LT"/>
                      </w:rPr>
                    </w:pPr>
                    <w:r>
                      <w:rPr>
                        <w:sz w:val="20"/>
                        <w:lang w:eastAsia="lt-LT"/>
                      </w:rPr>
                      <w:t>FINANSAVIMO SĄNAUDOS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sz w:val="20"/>
                        <w:lang w:eastAsia="lt-LT"/>
                      </w:rPr>
                    </w:pPr>
                  </w:p>
                </w:tc>
                <w:tc>
                  <w:tcPr>
                    <w:tcW w:w="1390" w:type="dxa"/>
                    <w:shd w:val="clear" w:color="auto" w:fill="auto"/>
                    <w:noWrap/>
                    <w:vAlign w:val="center"/>
                  </w:tcPr>
                  <w:p>
                    <w:pPr>
                      <w:ind w:firstLine="60"/>
                      <w:rPr>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2.7.</w:t>
                    </w:r>
                  </w:p>
                </w:tc>
                <w:tc>
                  <w:tcPr>
                    <w:tcW w:w="5103" w:type="dxa"/>
                    <w:shd w:val="clear" w:color="auto" w:fill="auto"/>
                    <w:vAlign w:val="center"/>
                  </w:tcPr>
                  <w:p>
                    <w:pPr>
                      <w:rPr>
                        <w:sz w:val="20"/>
                        <w:lang w:eastAsia="lt-LT"/>
                      </w:rPr>
                    </w:pPr>
                    <w:r>
                      <w:rPr>
                        <w:sz w:val="20"/>
                        <w:lang w:eastAsia="lt-LT"/>
                      </w:rPr>
                      <w:t>FINANSINĖS IR INVESTICINĖS VEIKLOS SĄNAUDOS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sz w:val="20"/>
                        <w:lang w:eastAsia="lt-LT"/>
                      </w:rPr>
                    </w:pPr>
                  </w:p>
                </w:tc>
                <w:tc>
                  <w:tcPr>
                    <w:tcW w:w="1390" w:type="dxa"/>
                    <w:shd w:val="clear" w:color="auto" w:fill="auto"/>
                    <w:noWrap/>
                    <w:vAlign w:val="center"/>
                  </w:tcPr>
                  <w:p>
                    <w:pPr>
                      <w:ind w:firstLine="60"/>
                      <w:rPr>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2.7.1.</w:t>
                    </w:r>
                  </w:p>
                </w:tc>
                <w:tc>
                  <w:tcPr>
                    <w:tcW w:w="5103" w:type="dxa"/>
                    <w:shd w:val="clear" w:color="auto" w:fill="auto"/>
                    <w:vAlign w:val="center"/>
                  </w:tcPr>
                  <w:p>
                    <w:pPr>
                      <w:ind w:left="123"/>
                      <w:rPr>
                        <w:sz w:val="20"/>
                        <w:lang w:eastAsia="lt-LT"/>
                      </w:rPr>
                    </w:pPr>
                    <w:r>
                      <w:rPr>
                        <w:bCs/>
                        <w:sz w:val="20"/>
                        <w:lang w:eastAsia="lt-LT"/>
                      </w:rPr>
                      <w:t>Finansinio turto tikrosios vertės sumažėjimas ir perleidimo nuostolis, nuvertėjimo ir nurašymo sąnaudos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sz w:val="20"/>
                        <w:lang w:eastAsia="lt-LT"/>
                      </w:rPr>
                    </w:pPr>
                  </w:p>
                </w:tc>
                <w:tc>
                  <w:tcPr>
                    <w:tcW w:w="1390" w:type="dxa"/>
                    <w:shd w:val="clear" w:color="auto" w:fill="auto"/>
                    <w:noWrap/>
                    <w:vAlign w:val="center"/>
                  </w:tcPr>
                  <w:p>
                    <w:pPr>
                      <w:ind w:firstLine="60"/>
                      <w:rPr>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2.7.2.</w:t>
                    </w:r>
                  </w:p>
                </w:tc>
                <w:tc>
                  <w:tcPr>
                    <w:tcW w:w="5103" w:type="dxa"/>
                    <w:shd w:val="clear" w:color="auto" w:fill="auto"/>
                    <w:vAlign w:val="center"/>
                  </w:tcPr>
                  <w:p>
                    <w:pPr>
                      <w:ind w:left="123"/>
                      <w:rPr>
                        <w:sz w:val="20"/>
                        <w:lang w:eastAsia="lt-LT"/>
                      </w:rPr>
                    </w:pPr>
                    <w:r>
                      <w:rPr>
                        <w:bCs/>
                        <w:sz w:val="20"/>
                        <w:lang w:eastAsia="lt-LT"/>
                      </w:rPr>
                      <w:t>Palūkanų sąnaudos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sz w:val="20"/>
                        <w:lang w:eastAsia="lt-LT"/>
                      </w:rPr>
                    </w:pPr>
                  </w:p>
                </w:tc>
                <w:tc>
                  <w:tcPr>
                    <w:tcW w:w="1390" w:type="dxa"/>
                    <w:shd w:val="clear" w:color="auto" w:fill="auto"/>
                    <w:noWrap/>
                    <w:vAlign w:val="center"/>
                  </w:tcPr>
                  <w:p>
                    <w:pPr>
                      <w:ind w:firstLine="60"/>
                      <w:rPr>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2.7.3.</w:t>
                    </w:r>
                  </w:p>
                </w:tc>
                <w:tc>
                  <w:tcPr>
                    <w:tcW w:w="5103" w:type="dxa"/>
                    <w:shd w:val="clear" w:color="auto" w:fill="auto"/>
                    <w:vAlign w:val="center"/>
                  </w:tcPr>
                  <w:p>
                    <w:pPr>
                      <w:ind w:left="123"/>
                      <w:rPr>
                        <w:sz w:val="20"/>
                        <w:lang w:eastAsia="lt-LT"/>
                      </w:rPr>
                    </w:pPr>
                    <w:r>
                      <w:rPr>
                        <w:bCs/>
                        <w:sz w:val="20"/>
                        <w:lang w:eastAsia="lt-LT"/>
                      </w:rPr>
                      <w:t>Kitos finansinės ir investicinės veiklos sąnaudos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0"/>
                      <w:rPr>
                        <w:sz w:val="20"/>
                        <w:lang w:eastAsia="lt-LT"/>
                      </w:rPr>
                    </w:pPr>
                  </w:p>
                </w:tc>
                <w:tc>
                  <w:tcPr>
                    <w:tcW w:w="1390" w:type="dxa"/>
                    <w:shd w:val="clear" w:color="auto" w:fill="auto"/>
                    <w:noWrap/>
                    <w:vAlign w:val="center"/>
                  </w:tcPr>
                  <w:p>
                    <w:pPr>
                      <w:ind w:firstLine="60"/>
                      <w:rPr>
                        <w:sz w:val="20"/>
                        <w:lang w:eastAsia="lt-LT"/>
                      </w:rPr>
                    </w:pPr>
                  </w:p>
                </w:tc>
              </w:tr>
              <w:tr>
                <w:trPr>
                  <w:trHeight w:val="315"/>
                </w:trPr>
                <w:tc>
                  <w:tcPr>
                    <w:tcW w:w="943" w:type="dxa"/>
                    <w:shd w:val="clear" w:color="auto" w:fill="auto"/>
                    <w:vAlign w:val="center"/>
                  </w:tcPr>
                  <w:p>
                    <w:pPr>
                      <w:jc w:val="center"/>
                      <w:rPr>
                        <w:sz w:val="20"/>
                        <w:lang w:eastAsia="lt-LT"/>
                      </w:rPr>
                    </w:pPr>
                    <w:r>
                      <w:rPr>
                        <w:sz w:val="20"/>
                        <w:lang w:eastAsia="lt-LT"/>
                      </w:rPr>
                      <w:t>2.8.</w:t>
                    </w:r>
                  </w:p>
                </w:tc>
                <w:tc>
                  <w:tcPr>
                    <w:tcW w:w="5103" w:type="dxa"/>
                    <w:shd w:val="clear" w:color="auto" w:fill="auto"/>
                    <w:noWrap/>
                    <w:vAlign w:val="center"/>
                  </w:tcPr>
                  <w:p>
                    <w:pPr>
                      <w:rPr>
                        <w:sz w:val="20"/>
                        <w:lang w:eastAsia="lt-LT"/>
                      </w:rPr>
                    </w:pPr>
                    <w:r>
                      <w:rPr>
                        <w:sz w:val="20"/>
                        <w:lang w:eastAsia="lt-LT"/>
                      </w:rPr>
                      <w:t>KITOS SĄNAUDOS</w:t>
                    </w:r>
                  </w:p>
                </w:tc>
                <w:tc>
                  <w:tcPr>
                    <w:tcW w:w="1123" w:type="dxa"/>
                    <w:shd w:val="clear" w:color="auto" w:fill="auto"/>
                    <w:noWrap/>
                    <w:vAlign w:val="center"/>
                  </w:tcPr>
                  <w:p>
                    <w:pPr>
                      <w:ind w:firstLine="60"/>
                      <w:rPr>
                        <w:sz w:val="20"/>
                        <w:lang w:eastAsia="lt-LT"/>
                      </w:rPr>
                    </w:pPr>
                  </w:p>
                </w:tc>
                <w:tc>
                  <w:tcPr>
                    <w:tcW w:w="1443" w:type="dxa"/>
                    <w:shd w:val="clear" w:color="auto" w:fill="auto"/>
                    <w:noWrap/>
                    <w:vAlign w:val="center"/>
                  </w:tcPr>
                  <w:p>
                    <w:pPr>
                      <w:ind w:firstLine="67"/>
                      <w:rPr>
                        <w:rFonts w:ascii="Arial" w:hAnsi="Arial" w:cs="Arial"/>
                        <w:sz w:val="20"/>
                        <w:lang w:eastAsia="lt-LT"/>
                      </w:rPr>
                    </w:pPr>
                  </w:p>
                </w:tc>
                <w:tc>
                  <w:tcPr>
                    <w:tcW w:w="1390" w:type="dxa"/>
                    <w:shd w:val="clear" w:color="auto" w:fill="auto"/>
                    <w:noWrap/>
                    <w:vAlign w:val="center"/>
                  </w:tcPr>
                  <w:p>
                    <w:pPr>
                      <w:ind w:firstLine="67"/>
                      <w:rPr>
                        <w:rFonts w:ascii="Arial" w:hAnsi="Arial" w:cs="Arial"/>
                        <w:sz w:val="20"/>
                        <w:lang w:eastAsia="lt-LT"/>
                      </w:rPr>
                    </w:pPr>
                  </w:p>
                </w:tc>
              </w:tr>
              <w:tr>
                <w:trPr>
                  <w:trHeight w:val="315"/>
                </w:trPr>
                <w:tc>
                  <w:tcPr>
                    <w:tcW w:w="943" w:type="dxa"/>
                    <w:shd w:val="clear" w:color="auto" w:fill="auto"/>
                    <w:noWrap/>
                    <w:vAlign w:val="center"/>
                  </w:tcPr>
                  <w:p>
                    <w:pPr>
                      <w:jc w:val="center"/>
                      <w:rPr>
                        <w:b/>
                        <w:bCs/>
                        <w:sz w:val="20"/>
                        <w:lang w:eastAsia="lt-LT"/>
                      </w:rPr>
                    </w:pPr>
                    <w:r>
                      <w:rPr>
                        <w:b/>
                        <w:bCs/>
                        <w:sz w:val="20"/>
                        <w:lang w:eastAsia="lt-LT"/>
                      </w:rPr>
                      <w:t>3.</w:t>
                    </w:r>
                  </w:p>
                </w:tc>
                <w:tc>
                  <w:tcPr>
                    <w:tcW w:w="5103" w:type="dxa"/>
                    <w:shd w:val="clear" w:color="auto" w:fill="auto"/>
                    <w:noWrap/>
                    <w:vAlign w:val="center"/>
                  </w:tcPr>
                  <w:p>
                    <w:pPr>
                      <w:rPr>
                        <w:b/>
                        <w:bCs/>
                        <w:sz w:val="20"/>
                        <w:lang w:eastAsia="lt-LT"/>
                      </w:rPr>
                    </w:pPr>
                    <w:r>
                      <w:rPr>
                        <w:b/>
                        <w:bCs/>
                        <w:sz w:val="20"/>
                        <w:lang w:eastAsia="lt-LT"/>
                      </w:rPr>
                      <w:t>PERVIRŠIS AR DEFICITAS IŠ VYKDOMOS VEIKLOS</w:t>
                    </w:r>
                  </w:p>
                </w:tc>
                <w:tc>
                  <w:tcPr>
                    <w:tcW w:w="1123" w:type="dxa"/>
                    <w:shd w:val="clear" w:color="auto" w:fill="auto"/>
                    <w:noWrap/>
                    <w:vAlign w:val="center"/>
                  </w:tcPr>
                  <w:p>
                    <w:pPr>
                      <w:ind w:firstLine="60"/>
                      <w:rPr>
                        <w:b/>
                        <w:bCs/>
                        <w:sz w:val="20"/>
                        <w:lang w:eastAsia="lt-LT"/>
                      </w:rPr>
                    </w:pPr>
                  </w:p>
                </w:tc>
                <w:tc>
                  <w:tcPr>
                    <w:tcW w:w="1443" w:type="dxa"/>
                    <w:shd w:val="clear" w:color="auto" w:fill="auto"/>
                    <w:noWrap/>
                    <w:vAlign w:val="center"/>
                  </w:tcPr>
                  <w:p>
                    <w:pPr>
                      <w:ind w:firstLine="67"/>
                      <w:rPr>
                        <w:rFonts w:ascii="Arial" w:hAnsi="Arial" w:cs="Arial"/>
                        <w:b/>
                        <w:bCs/>
                        <w:sz w:val="20"/>
                        <w:lang w:eastAsia="lt-LT"/>
                      </w:rPr>
                    </w:pPr>
                  </w:p>
                </w:tc>
                <w:tc>
                  <w:tcPr>
                    <w:tcW w:w="1390" w:type="dxa"/>
                    <w:shd w:val="clear" w:color="auto" w:fill="auto"/>
                    <w:noWrap/>
                    <w:vAlign w:val="center"/>
                  </w:tcPr>
                  <w:p>
                    <w:pPr>
                      <w:ind w:firstLine="67"/>
                      <w:rPr>
                        <w:rFonts w:ascii="Arial" w:hAnsi="Arial" w:cs="Arial"/>
                        <w:b/>
                        <w:bCs/>
                        <w:sz w:val="20"/>
                        <w:lang w:eastAsia="lt-LT"/>
                      </w:rPr>
                    </w:pPr>
                  </w:p>
                </w:tc>
              </w:tr>
              <w:tr>
                <w:trPr>
                  <w:trHeight w:val="600"/>
                </w:trPr>
                <w:tc>
                  <w:tcPr>
                    <w:tcW w:w="943" w:type="dxa"/>
                    <w:shd w:val="clear" w:color="auto" w:fill="auto"/>
                    <w:noWrap/>
                    <w:vAlign w:val="center"/>
                  </w:tcPr>
                  <w:p>
                    <w:pPr>
                      <w:jc w:val="center"/>
                      <w:rPr>
                        <w:b/>
                        <w:sz w:val="20"/>
                        <w:lang w:eastAsia="lt-LT"/>
                      </w:rPr>
                    </w:pPr>
                    <w:r>
                      <w:rPr>
                        <w:b/>
                        <w:sz w:val="20"/>
                        <w:lang w:eastAsia="lt-LT"/>
                      </w:rPr>
                      <w:t>4.</w:t>
                    </w:r>
                  </w:p>
                </w:tc>
                <w:tc>
                  <w:tcPr>
                    <w:tcW w:w="5103" w:type="dxa"/>
                    <w:shd w:val="clear" w:color="auto" w:fill="auto"/>
                    <w:vAlign w:val="center"/>
                  </w:tcPr>
                  <w:p>
                    <w:pPr>
                      <w:rPr>
                        <w:b/>
                        <w:sz w:val="20"/>
                        <w:lang w:eastAsia="lt-LT"/>
                      </w:rPr>
                    </w:pPr>
                    <w:r>
                      <w:rPr>
                        <w:b/>
                        <w:sz w:val="20"/>
                        <w:lang w:eastAsia="lt-LT"/>
                      </w:rPr>
                      <w:t>APSKAITOS POLITIKOS KEITIMO IR ESMINIŲ APSKAITOS KLAIDŲ TAISYMO ĮTAKA</w:t>
                    </w:r>
                  </w:p>
                </w:tc>
                <w:tc>
                  <w:tcPr>
                    <w:tcW w:w="1123" w:type="dxa"/>
                    <w:shd w:val="clear" w:color="auto" w:fill="auto"/>
                    <w:noWrap/>
                    <w:vAlign w:val="center"/>
                  </w:tcPr>
                  <w:p>
                    <w:pPr>
                      <w:ind w:firstLine="67"/>
                      <w:rPr>
                        <w:rFonts w:ascii="Arial" w:hAnsi="Arial" w:cs="Arial"/>
                        <w:sz w:val="20"/>
                        <w:lang w:eastAsia="lt-LT"/>
                      </w:rPr>
                    </w:pPr>
                  </w:p>
                </w:tc>
                <w:tc>
                  <w:tcPr>
                    <w:tcW w:w="1443" w:type="dxa"/>
                    <w:shd w:val="clear" w:color="auto" w:fill="auto"/>
                    <w:noWrap/>
                    <w:vAlign w:val="center"/>
                  </w:tcPr>
                  <w:p>
                    <w:pPr>
                      <w:ind w:firstLine="67"/>
                      <w:rPr>
                        <w:rFonts w:ascii="Arial" w:hAnsi="Arial" w:cs="Arial"/>
                        <w:sz w:val="20"/>
                        <w:lang w:eastAsia="lt-LT"/>
                      </w:rPr>
                    </w:pPr>
                  </w:p>
                </w:tc>
                <w:tc>
                  <w:tcPr>
                    <w:tcW w:w="1390" w:type="dxa"/>
                    <w:shd w:val="clear" w:color="auto" w:fill="auto"/>
                    <w:noWrap/>
                    <w:vAlign w:val="center"/>
                  </w:tcPr>
                  <w:p>
                    <w:pPr>
                      <w:ind w:firstLine="67"/>
                      <w:rPr>
                        <w:rFonts w:ascii="Arial" w:hAnsi="Arial" w:cs="Arial"/>
                        <w:sz w:val="20"/>
                        <w:lang w:eastAsia="lt-LT"/>
                      </w:rPr>
                    </w:pPr>
                  </w:p>
                </w:tc>
              </w:tr>
              <w:tr>
                <w:trPr>
                  <w:trHeight w:val="315"/>
                </w:trPr>
                <w:tc>
                  <w:tcPr>
                    <w:tcW w:w="943" w:type="dxa"/>
                    <w:shd w:val="clear" w:color="auto" w:fill="auto"/>
                    <w:noWrap/>
                    <w:vAlign w:val="center"/>
                  </w:tcPr>
                  <w:p>
                    <w:pPr>
                      <w:jc w:val="center"/>
                      <w:rPr>
                        <w:b/>
                        <w:sz w:val="20"/>
                        <w:lang w:eastAsia="lt-LT"/>
                      </w:rPr>
                    </w:pPr>
                    <w:r>
                      <w:rPr>
                        <w:b/>
                        <w:sz w:val="20"/>
                        <w:lang w:eastAsia="lt-LT"/>
                      </w:rPr>
                      <w:t>5.</w:t>
                    </w:r>
                  </w:p>
                </w:tc>
                <w:tc>
                  <w:tcPr>
                    <w:tcW w:w="5103" w:type="dxa"/>
                    <w:shd w:val="clear" w:color="auto" w:fill="auto"/>
                    <w:noWrap/>
                    <w:vAlign w:val="center"/>
                  </w:tcPr>
                  <w:p>
                    <w:pPr>
                      <w:rPr>
                        <w:b/>
                        <w:sz w:val="20"/>
                        <w:lang w:eastAsia="lt-LT"/>
                      </w:rPr>
                    </w:pPr>
                    <w:r>
                      <w:rPr>
                        <w:b/>
                        <w:sz w:val="20"/>
                        <w:lang w:eastAsia="lt-LT"/>
                      </w:rPr>
                      <w:t>PELNO MOKESTIS</w:t>
                    </w:r>
                  </w:p>
                </w:tc>
                <w:tc>
                  <w:tcPr>
                    <w:tcW w:w="1123" w:type="dxa"/>
                    <w:shd w:val="clear" w:color="auto" w:fill="auto"/>
                    <w:noWrap/>
                    <w:vAlign w:val="center"/>
                  </w:tcPr>
                  <w:p>
                    <w:pPr>
                      <w:ind w:firstLine="67"/>
                      <w:rPr>
                        <w:rFonts w:ascii="Arial" w:hAnsi="Arial" w:cs="Arial"/>
                        <w:sz w:val="20"/>
                        <w:lang w:eastAsia="lt-LT"/>
                      </w:rPr>
                    </w:pPr>
                  </w:p>
                </w:tc>
                <w:tc>
                  <w:tcPr>
                    <w:tcW w:w="1443" w:type="dxa"/>
                    <w:shd w:val="clear" w:color="auto" w:fill="auto"/>
                    <w:noWrap/>
                    <w:vAlign w:val="center"/>
                  </w:tcPr>
                  <w:p>
                    <w:pPr>
                      <w:ind w:firstLine="67"/>
                      <w:rPr>
                        <w:rFonts w:ascii="Arial" w:hAnsi="Arial" w:cs="Arial"/>
                        <w:sz w:val="20"/>
                        <w:lang w:eastAsia="lt-LT"/>
                      </w:rPr>
                    </w:pPr>
                  </w:p>
                </w:tc>
                <w:tc>
                  <w:tcPr>
                    <w:tcW w:w="1390" w:type="dxa"/>
                    <w:shd w:val="clear" w:color="auto" w:fill="auto"/>
                    <w:noWrap/>
                    <w:vAlign w:val="center"/>
                  </w:tcPr>
                  <w:p>
                    <w:pPr>
                      <w:ind w:firstLine="67"/>
                      <w:rPr>
                        <w:rFonts w:ascii="Arial" w:hAnsi="Arial" w:cs="Arial"/>
                        <w:sz w:val="20"/>
                        <w:lang w:eastAsia="lt-LT"/>
                      </w:rPr>
                    </w:pPr>
                  </w:p>
                </w:tc>
              </w:tr>
              <w:tr>
                <w:trPr>
                  <w:trHeight w:val="315"/>
                </w:trPr>
                <w:tc>
                  <w:tcPr>
                    <w:tcW w:w="943" w:type="dxa"/>
                    <w:shd w:val="clear" w:color="auto" w:fill="auto"/>
                    <w:noWrap/>
                    <w:vAlign w:val="center"/>
                  </w:tcPr>
                  <w:p>
                    <w:pPr>
                      <w:jc w:val="center"/>
                      <w:rPr>
                        <w:b/>
                        <w:bCs/>
                        <w:sz w:val="20"/>
                        <w:lang w:eastAsia="lt-LT"/>
                      </w:rPr>
                    </w:pPr>
                    <w:r>
                      <w:rPr>
                        <w:b/>
                        <w:bCs/>
                        <w:sz w:val="20"/>
                        <w:lang w:eastAsia="lt-LT"/>
                      </w:rPr>
                      <w:t>6.</w:t>
                    </w:r>
                  </w:p>
                </w:tc>
                <w:tc>
                  <w:tcPr>
                    <w:tcW w:w="5103" w:type="dxa"/>
                    <w:shd w:val="clear" w:color="auto" w:fill="auto"/>
                    <w:noWrap/>
                    <w:vAlign w:val="center"/>
                  </w:tcPr>
                  <w:p>
                    <w:pPr>
                      <w:rPr>
                        <w:b/>
                        <w:bCs/>
                        <w:sz w:val="20"/>
                        <w:lang w:eastAsia="lt-LT"/>
                      </w:rPr>
                    </w:pPr>
                    <w:r>
                      <w:rPr>
                        <w:b/>
                        <w:sz w:val="20"/>
                        <w:lang w:eastAsia="lt-LT"/>
                      </w:rPr>
                      <w:t>VALDŽIOS SEKTORIUI PRISKIRIAMŲ ĮMONIŲ REZULTATAS</w:t>
                    </w:r>
                  </w:p>
                </w:tc>
                <w:tc>
                  <w:tcPr>
                    <w:tcW w:w="1123" w:type="dxa"/>
                    <w:shd w:val="clear" w:color="auto" w:fill="auto"/>
                    <w:noWrap/>
                    <w:vAlign w:val="center"/>
                  </w:tcPr>
                  <w:p>
                    <w:pPr>
                      <w:ind w:firstLine="67"/>
                      <w:rPr>
                        <w:rFonts w:ascii="Arial" w:hAnsi="Arial" w:cs="Arial"/>
                        <w:b/>
                        <w:bCs/>
                        <w:sz w:val="20"/>
                        <w:lang w:eastAsia="lt-LT"/>
                      </w:rPr>
                    </w:pPr>
                  </w:p>
                </w:tc>
                <w:tc>
                  <w:tcPr>
                    <w:tcW w:w="1443" w:type="dxa"/>
                    <w:shd w:val="clear" w:color="auto" w:fill="auto"/>
                    <w:noWrap/>
                    <w:vAlign w:val="center"/>
                  </w:tcPr>
                  <w:p>
                    <w:pPr>
                      <w:ind w:firstLine="67"/>
                      <w:rPr>
                        <w:rFonts w:ascii="Arial" w:hAnsi="Arial" w:cs="Arial"/>
                        <w:b/>
                        <w:bCs/>
                        <w:sz w:val="20"/>
                        <w:lang w:eastAsia="lt-LT"/>
                      </w:rPr>
                    </w:pPr>
                  </w:p>
                </w:tc>
                <w:tc>
                  <w:tcPr>
                    <w:tcW w:w="1390" w:type="dxa"/>
                    <w:shd w:val="clear" w:color="auto" w:fill="auto"/>
                    <w:noWrap/>
                    <w:vAlign w:val="center"/>
                  </w:tcPr>
                  <w:p>
                    <w:pPr>
                      <w:ind w:firstLine="67"/>
                      <w:rPr>
                        <w:rFonts w:ascii="Arial" w:hAnsi="Arial" w:cs="Arial"/>
                        <w:b/>
                        <w:bCs/>
                        <w:sz w:val="20"/>
                        <w:lang w:eastAsia="lt-LT"/>
                      </w:rPr>
                    </w:pPr>
                  </w:p>
                </w:tc>
              </w:tr>
              <w:tr>
                <w:trPr>
                  <w:trHeight w:val="315"/>
                </w:trPr>
                <w:tc>
                  <w:tcPr>
                    <w:tcW w:w="943" w:type="dxa"/>
                    <w:shd w:val="clear" w:color="auto" w:fill="auto"/>
                    <w:noWrap/>
                    <w:vAlign w:val="center"/>
                  </w:tcPr>
                  <w:p>
                    <w:pPr>
                      <w:jc w:val="center"/>
                      <w:rPr>
                        <w:b/>
                        <w:bCs/>
                        <w:sz w:val="20"/>
                        <w:lang w:eastAsia="lt-LT"/>
                      </w:rPr>
                    </w:pPr>
                    <w:r>
                      <w:rPr>
                        <w:bCs/>
                        <w:sz w:val="20"/>
                        <w:lang w:eastAsia="lt-LT"/>
                      </w:rPr>
                      <w:t>6.1.</w:t>
                    </w:r>
                  </w:p>
                </w:tc>
                <w:tc>
                  <w:tcPr>
                    <w:tcW w:w="5103" w:type="dxa"/>
                    <w:shd w:val="clear" w:color="auto" w:fill="auto"/>
                    <w:noWrap/>
                    <w:vAlign w:val="center"/>
                  </w:tcPr>
                  <w:p>
                    <w:pPr>
                      <w:rPr>
                        <w:b/>
                        <w:bCs/>
                        <w:sz w:val="20"/>
                        <w:lang w:eastAsia="lt-LT"/>
                      </w:rPr>
                    </w:pPr>
                    <w:r>
                      <w:rPr>
                        <w:sz w:val="20"/>
                        <w:lang w:eastAsia="lt-LT"/>
                      </w:rPr>
                      <w:t>VALDŽIOS SEKTORIUI PRISKIRIAMŲ ĮMONIŲ PAJAMOS</w:t>
                    </w:r>
                  </w:p>
                </w:tc>
                <w:tc>
                  <w:tcPr>
                    <w:tcW w:w="1123" w:type="dxa"/>
                    <w:shd w:val="clear" w:color="auto" w:fill="auto"/>
                    <w:noWrap/>
                    <w:vAlign w:val="center"/>
                  </w:tcPr>
                  <w:p>
                    <w:pPr>
                      <w:ind w:firstLine="67"/>
                      <w:rPr>
                        <w:rFonts w:ascii="Arial" w:hAnsi="Arial" w:cs="Arial"/>
                        <w:b/>
                        <w:bCs/>
                        <w:sz w:val="20"/>
                        <w:lang w:eastAsia="lt-LT"/>
                      </w:rPr>
                    </w:pPr>
                  </w:p>
                </w:tc>
                <w:tc>
                  <w:tcPr>
                    <w:tcW w:w="1443" w:type="dxa"/>
                    <w:shd w:val="clear" w:color="auto" w:fill="auto"/>
                    <w:noWrap/>
                    <w:vAlign w:val="center"/>
                  </w:tcPr>
                  <w:p>
                    <w:pPr>
                      <w:ind w:firstLine="67"/>
                      <w:rPr>
                        <w:rFonts w:ascii="Arial" w:hAnsi="Arial" w:cs="Arial"/>
                        <w:b/>
                        <w:bCs/>
                        <w:sz w:val="20"/>
                        <w:lang w:eastAsia="lt-LT"/>
                      </w:rPr>
                    </w:pPr>
                  </w:p>
                </w:tc>
                <w:tc>
                  <w:tcPr>
                    <w:tcW w:w="1390" w:type="dxa"/>
                    <w:shd w:val="clear" w:color="auto" w:fill="auto"/>
                    <w:noWrap/>
                    <w:vAlign w:val="center"/>
                  </w:tcPr>
                  <w:p>
                    <w:pPr>
                      <w:ind w:firstLine="67"/>
                      <w:rPr>
                        <w:rFonts w:ascii="Arial" w:hAnsi="Arial" w:cs="Arial"/>
                        <w:b/>
                        <w:bCs/>
                        <w:sz w:val="20"/>
                        <w:lang w:eastAsia="lt-LT"/>
                      </w:rPr>
                    </w:pPr>
                  </w:p>
                </w:tc>
              </w:tr>
              <w:tr>
                <w:trPr>
                  <w:trHeight w:val="315"/>
                </w:trPr>
                <w:tc>
                  <w:tcPr>
                    <w:tcW w:w="943" w:type="dxa"/>
                    <w:shd w:val="clear" w:color="auto" w:fill="auto"/>
                    <w:noWrap/>
                    <w:vAlign w:val="center"/>
                  </w:tcPr>
                  <w:p>
                    <w:pPr>
                      <w:jc w:val="center"/>
                      <w:rPr>
                        <w:b/>
                        <w:bCs/>
                        <w:sz w:val="20"/>
                        <w:lang w:eastAsia="lt-LT"/>
                      </w:rPr>
                    </w:pPr>
                    <w:r>
                      <w:rPr>
                        <w:bCs/>
                        <w:sz w:val="20"/>
                        <w:lang w:eastAsia="lt-LT"/>
                      </w:rPr>
                      <w:t>6.2.</w:t>
                    </w:r>
                  </w:p>
                </w:tc>
                <w:tc>
                  <w:tcPr>
                    <w:tcW w:w="5103" w:type="dxa"/>
                    <w:shd w:val="clear" w:color="auto" w:fill="auto"/>
                    <w:noWrap/>
                    <w:vAlign w:val="center"/>
                  </w:tcPr>
                  <w:p>
                    <w:pPr>
                      <w:rPr>
                        <w:b/>
                        <w:bCs/>
                        <w:sz w:val="20"/>
                        <w:lang w:eastAsia="lt-LT"/>
                      </w:rPr>
                    </w:pPr>
                    <w:r>
                      <w:rPr>
                        <w:sz w:val="20"/>
                        <w:lang w:eastAsia="lt-LT"/>
                      </w:rPr>
                      <w:t>VALDŽIOS SEKTORIUI PRISKIRIAMŲ ĮMONIŲ SĄNAUDOS</w:t>
                    </w:r>
                  </w:p>
                </w:tc>
                <w:tc>
                  <w:tcPr>
                    <w:tcW w:w="1123" w:type="dxa"/>
                    <w:shd w:val="clear" w:color="auto" w:fill="auto"/>
                    <w:noWrap/>
                    <w:vAlign w:val="center"/>
                  </w:tcPr>
                  <w:p>
                    <w:pPr>
                      <w:ind w:firstLine="67"/>
                      <w:rPr>
                        <w:rFonts w:ascii="Arial" w:hAnsi="Arial" w:cs="Arial"/>
                        <w:b/>
                        <w:bCs/>
                        <w:sz w:val="20"/>
                        <w:lang w:eastAsia="lt-LT"/>
                      </w:rPr>
                    </w:pPr>
                  </w:p>
                </w:tc>
                <w:tc>
                  <w:tcPr>
                    <w:tcW w:w="1443" w:type="dxa"/>
                    <w:shd w:val="clear" w:color="auto" w:fill="auto"/>
                    <w:noWrap/>
                    <w:vAlign w:val="center"/>
                  </w:tcPr>
                  <w:p>
                    <w:pPr>
                      <w:ind w:firstLine="67"/>
                      <w:rPr>
                        <w:rFonts w:ascii="Arial" w:hAnsi="Arial" w:cs="Arial"/>
                        <w:b/>
                        <w:bCs/>
                        <w:sz w:val="20"/>
                        <w:lang w:eastAsia="lt-LT"/>
                      </w:rPr>
                    </w:pPr>
                  </w:p>
                </w:tc>
                <w:tc>
                  <w:tcPr>
                    <w:tcW w:w="1390" w:type="dxa"/>
                    <w:shd w:val="clear" w:color="auto" w:fill="auto"/>
                    <w:noWrap/>
                    <w:vAlign w:val="center"/>
                  </w:tcPr>
                  <w:p>
                    <w:pPr>
                      <w:ind w:firstLine="67"/>
                      <w:rPr>
                        <w:rFonts w:ascii="Arial" w:hAnsi="Arial" w:cs="Arial"/>
                        <w:b/>
                        <w:bCs/>
                        <w:sz w:val="20"/>
                        <w:lang w:eastAsia="lt-LT"/>
                      </w:rPr>
                    </w:pPr>
                  </w:p>
                </w:tc>
              </w:tr>
              <w:tr>
                <w:trPr>
                  <w:trHeight w:val="315"/>
                </w:trPr>
                <w:tc>
                  <w:tcPr>
                    <w:tcW w:w="943" w:type="dxa"/>
                    <w:shd w:val="clear" w:color="auto" w:fill="auto"/>
                    <w:noWrap/>
                    <w:vAlign w:val="center"/>
                  </w:tcPr>
                  <w:p>
                    <w:pPr>
                      <w:jc w:val="center"/>
                      <w:rPr>
                        <w:b/>
                        <w:sz w:val="20"/>
                        <w:lang w:eastAsia="lt-LT"/>
                      </w:rPr>
                    </w:pPr>
                    <w:r>
                      <w:rPr>
                        <w:b/>
                        <w:sz w:val="20"/>
                        <w:lang w:eastAsia="lt-LT"/>
                      </w:rPr>
                      <w:t>7.</w:t>
                    </w:r>
                  </w:p>
                </w:tc>
                <w:tc>
                  <w:tcPr>
                    <w:tcW w:w="5103" w:type="dxa"/>
                    <w:shd w:val="clear" w:color="auto" w:fill="auto"/>
                    <w:noWrap/>
                    <w:vAlign w:val="center"/>
                  </w:tcPr>
                  <w:p>
                    <w:pPr>
                      <w:rPr>
                        <w:b/>
                        <w:sz w:val="20"/>
                        <w:lang w:eastAsia="lt-LT"/>
                      </w:rPr>
                    </w:pPr>
                    <w:r>
                      <w:rPr>
                        <w:b/>
                        <w:sz w:val="20"/>
                        <w:lang w:eastAsia="lt-LT"/>
                      </w:rPr>
                      <w:t>NUOSAVYBĖS METODO ĮTAKA</w:t>
                    </w:r>
                  </w:p>
                </w:tc>
                <w:tc>
                  <w:tcPr>
                    <w:tcW w:w="1123" w:type="dxa"/>
                    <w:shd w:val="clear" w:color="auto" w:fill="auto"/>
                    <w:noWrap/>
                    <w:vAlign w:val="center"/>
                  </w:tcPr>
                  <w:p>
                    <w:pPr>
                      <w:ind w:firstLine="67"/>
                      <w:rPr>
                        <w:rFonts w:ascii="Arial" w:hAnsi="Arial" w:cs="Arial"/>
                        <w:sz w:val="20"/>
                        <w:lang w:eastAsia="lt-LT"/>
                      </w:rPr>
                    </w:pPr>
                  </w:p>
                </w:tc>
                <w:tc>
                  <w:tcPr>
                    <w:tcW w:w="1443" w:type="dxa"/>
                    <w:shd w:val="clear" w:color="auto" w:fill="auto"/>
                    <w:noWrap/>
                    <w:vAlign w:val="center"/>
                  </w:tcPr>
                  <w:p>
                    <w:pPr>
                      <w:ind w:firstLine="67"/>
                      <w:rPr>
                        <w:rFonts w:ascii="Arial" w:hAnsi="Arial" w:cs="Arial"/>
                        <w:sz w:val="20"/>
                        <w:lang w:eastAsia="lt-LT"/>
                      </w:rPr>
                    </w:pPr>
                  </w:p>
                </w:tc>
                <w:tc>
                  <w:tcPr>
                    <w:tcW w:w="1390" w:type="dxa"/>
                    <w:shd w:val="clear" w:color="auto" w:fill="auto"/>
                    <w:noWrap/>
                    <w:vAlign w:val="center"/>
                  </w:tcPr>
                  <w:p>
                    <w:pPr>
                      <w:ind w:firstLine="67"/>
                      <w:rPr>
                        <w:rFonts w:ascii="Arial" w:hAnsi="Arial" w:cs="Arial"/>
                        <w:sz w:val="20"/>
                        <w:lang w:eastAsia="lt-LT"/>
                      </w:rPr>
                    </w:pPr>
                  </w:p>
                </w:tc>
              </w:tr>
              <w:tr>
                <w:trPr>
                  <w:trHeight w:val="315"/>
                </w:trPr>
                <w:tc>
                  <w:tcPr>
                    <w:tcW w:w="943" w:type="dxa"/>
                    <w:shd w:val="clear" w:color="auto" w:fill="auto"/>
                    <w:noWrap/>
                    <w:vAlign w:val="center"/>
                  </w:tcPr>
                  <w:p>
                    <w:pPr>
                      <w:jc w:val="center"/>
                      <w:rPr>
                        <w:b/>
                        <w:bCs/>
                        <w:sz w:val="20"/>
                        <w:lang w:eastAsia="lt-LT"/>
                      </w:rPr>
                    </w:pPr>
                    <w:r>
                      <w:rPr>
                        <w:b/>
                        <w:bCs/>
                        <w:sz w:val="20"/>
                        <w:lang w:eastAsia="lt-LT"/>
                      </w:rPr>
                      <w:t>8.</w:t>
                    </w:r>
                  </w:p>
                </w:tc>
                <w:tc>
                  <w:tcPr>
                    <w:tcW w:w="5103" w:type="dxa"/>
                    <w:shd w:val="clear" w:color="auto" w:fill="auto"/>
                    <w:noWrap/>
                    <w:vAlign w:val="center"/>
                  </w:tcPr>
                  <w:p>
                    <w:pPr>
                      <w:rPr>
                        <w:b/>
                        <w:bCs/>
                        <w:sz w:val="20"/>
                        <w:lang w:eastAsia="lt-LT"/>
                      </w:rPr>
                    </w:pPr>
                    <w:r>
                      <w:rPr>
                        <w:b/>
                        <w:bCs/>
                        <w:sz w:val="20"/>
                        <w:lang w:eastAsia="lt-LT"/>
                      </w:rPr>
                      <w:t>GRYNASIS PERVIRŠIS AR DEFICITAS</w:t>
                    </w:r>
                  </w:p>
                </w:tc>
                <w:tc>
                  <w:tcPr>
                    <w:tcW w:w="1123" w:type="dxa"/>
                    <w:shd w:val="clear" w:color="auto" w:fill="auto"/>
                    <w:noWrap/>
                    <w:vAlign w:val="center"/>
                  </w:tcPr>
                  <w:p>
                    <w:pPr>
                      <w:ind w:firstLine="67"/>
                      <w:rPr>
                        <w:rFonts w:ascii="Arial" w:hAnsi="Arial" w:cs="Arial"/>
                        <w:b/>
                        <w:bCs/>
                        <w:sz w:val="20"/>
                        <w:lang w:eastAsia="lt-LT"/>
                      </w:rPr>
                    </w:pPr>
                  </w:p>
                </w:tc>
                <w:tc>
                  <w:tcPr>
                    <w:tcW w:w="1443" w:type="dxa"/>
                    <w:shd w:val="clear" w:color="auto" w:fill="auto"/>
                    <w:noWrap/>
                    <w:vAlign w:val="center"/>
                  </w:tcPr>
                  <w:p>
                    <w:pPr>
                      <w:ind w:firstLine="67"/>
                      <w:rPr>
                        <w:rFonts w:ascii="Arial" w:hAnsi="Arial" w:cs="Arial"/>
                        <w:b/>
                        <w:bCs/>
                        <w:sz w:val="20"/>
                        <w:lang w:eastAsia="lt-LT"/>
                      </w:rPr>
                    </w:pPr>
                  </w:p>
                </w:tc>
                <w:tc>
                  <w:tcPr>
                    <w:tcW w:w="1390" w:type="dxa"/>
                    <w:shd w:val="clear" w:color="auto" w:fill="auto"/>
                    <w:noWrap/>
                    <w:vAlign w:val="center"/>
                  </w:tcPr>
                  <w:p>
                    <w:pPr>
                      <w:ind w:firstLine="67"/>
                      <w:rPr>
                        <w:rFonts w:ascii="Arial" w:hAnsi="Arial" w:cs="Arial"/>
                        <w:b/>
                        <w:bCs/>
                        <w:sz w:val="20"/>
                        <w:lang w:eastAsia="lt-LT"/>
                      </w:rPr>
                    </w:pPr>
                  </w:p>
                </w:tc>
              </w:tr>
              <w:tr>
                <w:trPr>
                  <w:trHeight w:val="315"/>
                </w:trPr>
                <w:tc>
                  <w:tcPr>
                    <w:tcW w:w="943" w:type="dxa"/>
                    <w:shd w:val="clear" w:color="auto" w:fill="auto"/>
                    <w:noWrap/>
                    <w:vAlign w:val="center"/>
                  </w:tcPr>
                  <w:p>
                    <w:pPr>
                      <w:jc w:val="center"/>
                      <w:rPr>
                        <w:sz w:val="20"/>
                        <w:lang w:eastAsia="lt-LT"/>
                      </w:rPr>
                    </w:pPr>
                    <w:r>
                      <w:rPr>
                        <w:sz w:val="20"/>
                        <w:lang w:eastAsia="lt-LT"/>
                      </w:rPr>
                      <w:t>8.1.</w:t>
                    </w:r>
                  </w:p>
                </w:tc>
                <w:tc>
                  <w:tcPr>
                    <w:tcW w:w="5103" w:type="dxa"/>
                    <w:shd w:val="clear" w:color="auto" w:fill="auto"/>
                    <w:noWrap/>
                    <w:vAlign w:val="center"/>
                  </w:tcPr>
                  <w:p>
                    <w:pPr>
                      <w:rPr>
                        <w:sz w:val="20"/>
                        <w:lang w:eastAsia="lt-LT"/>
                      </w:rPr>
                    </w:pPr>
                    <w:r>
                      <w:rPr>
                        <w:sz w:val="20"/>
                        <w:lang w:eastAsia="lt-LT"/>
                      </w:rPr>
                      <w:t>TENKANTIS KONTROLIUOJANČIAJAM SUBJEKTUI</w:t>
                    </w:r>
                  </w:p>
                </w:tc>
                <w:tc>
                  <w:tcPr>
                    <w:tcW w:w="1123" w:type="dxa"/>
                    <w:shd w:val="clear" w:color="auto" w:fill="auto"/>
                    <w:noWrap/>
                    <w:vAlign w:val="center"/>
                  </w:tcPr>
                  <w:p>
                    <w:pPr>
                      <w:ind w:firstLine="67"/>
                      <w:rPr>
                        <w:rFonts w:ascii="Arial" w:hAnsi="Arial" w:cs="Arial"/>
                        <w:sz w:val="20"/>
                        <w:lang w:eastAsia="lt-LT"/>
                      </w:rPr>
                    </w:pPr>
                  </w:p>
                </w:tc>
                <w:tc>
                  <w:tcPr>
                    <w:tcW w:w="1443" w:type="dxa"/>
                    <w:shd w:val="clear" w:color="auto" w:fill="auto"/>
                    <w:noWrap/>
                    <w:vAlign w:val="center"/>
                  </w:tcPr>
                  <w:p>
                    <w:pPr>
                      <w:ind w:firstLine="67"/>
                      <w:rPr>
                        <w:rFonts w:ascii="Arial" w:hAnsi="Arial" w:cs="Arial"/>
                        <w:sz w:val="20"/>
                        <w:lang w:eastAsia="lt-LT"/>
                      </w:rPr>
                    </w:pPr>
                  </w:p>
                </w:tc>
                <w:tc>
                  <w:tcPr>
                    <w:tcW w:w="1390" w:type="dxa"/>
                    <w:shd w:val="clear" w:color="auto" w:fill="auto"/>
                    <w:noWrap/>
                    <w:vAlign w:val="center"/>
                  </w:tcPr>
                  <w:p>
                    <w:pPr>
                      <w:ind w:firstLine="67"/>
                      <w:rPr>
                        <w:rFonts w:ascii="Arial" w:hAnsi="Arial" w:cs="Arial"/>
                        <w:sz w:val="20"/>
                        <w:lang w:eastAsia="lt-LT"/>
                      </w:rPr>
                    </w:pPr>
                  </w:p>
                </w:tc>
              </w:tr>
              <w:tr>
                <w:trPr>
                  <w:trHeight w:val="315"/>
                </w:trPr>
                <w:tc>
                  <w:tcPr>
                    <w:tcW w:w="943" w:type="dxa"/>
                    <w:shd w:val="clear" w:color="auto" w:fill="auto"/>
                    <w:noWrap/>
                    <w:vAlign w:val="center"/>
                  </w:tcPr>
                  <w:p>
                    <w:pPr>
                      <w:jc w:val="center"/>
                      <w:rPr>
                        <w:sz w:val="20"/>
                        <w:lang w:eastAsia="lt-LT"/>
                      </w:rPr>
                    </w:pPr>
                    <w:r>
                      <w:rPr>
                        <w:sz w:val="20"/>
                        <w:lang w:eastAsia="lt-LT"/>
                      </w:rPr>
                      <w:t>8.2.</w:t>
                    </w:r>
                  </w:p>
                </w:tc>
                <w:tc>
                  <w:tcPr>
                    <w:tcW w:w="5103" w:type="dxa"/>
                    <w:shd w:val="clear" w:color="auto" w:fill="auto"/>
                    <w:noWrap/>
                    <w:vAlign w:val="center"/>
                  </w:tcPr>
                  <w:p>
                    <w:pPr>
                      <w:rPr>
                        <w:sz w:val="20"/>
                        <w:lang w:eastAsia="lt-LT"/>
                      </w:rPr>
                    </w:pPr>
                    <w:r>
                      <w:rPr>
                        <w:sz w:val="20"/>
                        <w:lang w:eastAsia="lt-LT"/>
                      </w:rPr>
                      <w:t>TENKANTIS MAŽUMOS DALIAI</w:t>
                    </w:r>
                  </w:p>
                </w:tc>
                <w:tc>
                  <w:tcPr>
                    <w:tcW w:w="1123" w:type="dxa"/>
                    <w:shd w:val="clear" w:color="auto" w:fill="auto"/>
                    <w:noWrap/>
                    <w:vAlign w:val="center"/>
                  </w:tcPr>
                  <w:p>
                    <w:pPr>
                      <w:ind w:firstLine="67"/>
                      <w:rPr>
                        <w:rFonts w:ascii="Arial" w:hAnsi="Arial" w:cs="Arial"/>
                        <w:sz w:val="20"/>
                        <w:lang w:eastAsia="lt-LT"/>
                      </w:rPr>
                    </w:pPr>
                  </w:p>
                </w:tc>
                <w:tc>
                  <w:tcPr>
                    <w:tcW w:w="1443" w:type="dxa"/>
                    <w:shd w:val="clear" w:color="auto" w:fill="auto"/>
                    <w:noWrap/>
                    <w:vAlign w:val="center"/>
                  </w:tcPr>
                  <w:p>
                    <w:pPr>
                      <w:ind w:firstLine="67"/>
                      <w:rPr>
                        <w:rFonts w:ascii="Arial" w:hAnsi="Arial" w:cs="Arial"/>
                        <w:sz w:val="20"/>
                        <w:lang w:eastAsia="lt-LT"/>
                      </w:rPr>
                    </w:pPr>
                  </w:p>
                </w:tc>
                <w:tc>
                  <w:tcPr>
                    <w:tcW w:w="1390" w:type="dxa"/>
                    <w:shd w:val="clear" w:color="auto" w:fill="auto"/>
                    <w:noWrap/>
                    <w:vAlign w:val="center"/>
                  </w:tcPr>
                  <w:p>
                    <w:pPr>
                      <w:ind w:firstLine="67"/>
                      <w:rPr>
                        <w:rFonts w:ascii="Arial" w:hAnsi="Arial" w:cs="Arial"/>
                        <w:sz w:val="20"/>
                        <w:lang w:eastAsia="lt-LT"/>
                      </w:rPr>
                    </w:pPr>
                  </w:p>
                </w:tc>
              </w:tr>
            </w:tbl>
            <w:p>
              <w:pPr>
                <w:jc w:val="center"/>
                <w:rPr>
                  <w:szCs w:val="24"/>
                  <w:lang w:eastAsia="lt-LT"/>
                </w:rPr>
              </w:pPr>
              <w:r>
                <w:rPr>
                  <w:szCs w:val="24"/>
                  <w:lang w:eastAsia="lt-LT"/>
                </w:rPr>
                <w:t>______________________________________</w:t>
              </w:r>
            </w:p>
            <w:p>
              <w:pPr>
                <w:spacing w:line="276" w:lineRule="auto"/>
                <w:rPr>
                  <w:szCs w:val="24"/>
                  <w:lang w:eastAsia="lt-LT"/>
                </w:rPr>
              </w:pPr>
            </w:p>
            <w:p>
              <w:pPr>
                <w:rPr>
                  <w:sz w:val="18"/>
                  <w:szCs w:val="18"/>
                </w:rPr>
              </w:pPr>
            </w:p>
            <w:p>
              <w:pPr>
                <w:spacing w:line="276" w:lineRule="auto"/>
                <w:jc w:val="right"/>
                <w:rPr>
                  <w:szCs w:val="24"/>
                  <w:lang w:eastAsia="lt-LT"/>
                </w:rPr>
              </w:pPr>
            </w:p>
            <w:p>
              <w:pPr>
                <w:rPr>
                  <w:sz w:val="18"/>
                  <w:szCs w:val="18"/>
                </w:rPr>
              </w:pPr>
            </w:p>
            <w:p>
              <w:pPr>
                <w:spacing w:line="276" w:lineRule="auto"/>
                <w:jc w:val="right"/>
                <w:rPr>
                  <w:szCs w:val="24"/>
                  <w:lang w:eastAsia="lt-LT"/>
                </w:rPr>
              </w:pPr>
            </w:p>
            <w:p>
              <w:pPr>
                <w:rPr>
                  <w:sz w:val="18"/>
                  <w:szCs w:val="18"/>
                </w:rPr>
              </w:pPr>
            </w:p>
            <w:p>
              <w:pPr>
                <w:spacing w:line="276" w:lineRule="auto"/>
                <w:rPr>
                  <w:szCs w:val="24"/>
                  <w:lang w:eastAsia="lt-LT"/>
                </w:rPr>
              </w:pPr>
              <w:r>
                <w:rPr>
                  <w:szCs w:val="24"/>
                  <w:lang w:eastAsia="lt-LT"/>
                </w:rPr>
                <w:br w:type="page"/>
              </w:r>
            </w:p>
            <w:p>
              <w:pPr>
                <w:rPr>
                  <w:sz w:val="18"/>
                  <w:szCs w:val="18"/>
                </w:rPr>
              </w:pPr>
            </w:p>
          </w:sdtContent>
        </w:sdt>
      </w:sdtContent>
    </w:sdt>
    <w:sdt>
      <w:sdtPr>
        <w:alias w:val="5 pr."/>
        <w:tag w:val="part_bf6f30ec85fe45bfac061e43c32df49a"/>
        <w:lock w:val="sdtLocked"/>
        <w:richText/>
      </w:sdtPr>
      <w:sdtContent>
        <w:p>
          <w:pPr>
            <w:ind w:left="5245"/>
            <w:jc w:val="both"/>
            <w:rPr>
              <w:szCs w:val="24"/>
              <w:lang w:eastAsia="lt-LT"/>
            </w:rPr>
          </w:pPr>
          <w:r>
            <w:rPr>
              <w:szCs w:val="24"/>
              <w:lang w:eastAsia="lt-LT"/>
            </w:rPr>
            <w:t xml:space="preserve">3-iojo </w:t>
          </w:r>
          <w:r>
            <w:rPr>
              <w:szCs w:val="24"/>
            </w:rPr>
            <w:t xml:space="preserve">viešojo sektoriaus apskaitos ir finansinės atskaitomybės standarto </w:t>
          </w:r>
          <w:r>
            <w:rPr>
              <w:szCs w:val="24"/>
              <w:lang w:eastAsia="lt-LT"/>
            </w:rPr>
            <w:t>„Veiklos rezultatų ataskaita“</w:t>
          </w:r>
        </w:p>
        <w:p>
          <w:pPr>
            <w:ind w:left="5245"/>
            <w:jc w:val="both"/>
            <w:rPr>
              <w:szCs w:val="24"/>
              <w:lang w:eastAsia="lt-LT"/>
            </w:rPr>
          </w:pPr>
          <w:sdt>
            <w:sdtPr>
              <w:alias w:val="Numeris"/>
              <w:tag w:val="nr_bf6f30ec85fe45bfac061e43c32df49a"/>
              <w:lock w:val="sdtLocked"/>
              <w:richText/>
            </w:sdtPr>
            <w:sdtContent>
              <w:r>
                <w:rPr>
                  <w:szCs w:val="24"/>
                  <w:lang w:eastAsia="lt-LT"/>
                </w:rPr>
                <w:t>5</w:t>
              </w:r>
            </w:sdtContent>
          </w:sdt>
          <w:r>
            <w:rPr>
              <w:szCs w:val="24"/>
              <w:lang w:eastAsia="lt-LT"/>
            </w:rPr>
            <w:t xml:space="preserve"> priedas</w:t>
          </w:r>
        </w:p>
        <w:p>
          <w:pPr>
            <w:tabs>
              <w:tab w:val="left" w:pos="933"/>
              <w:tab w:val="left" w:pos="4149"/>
              <w:tab w:val="left" w:pos="6103"/>
              <w:tab w:val="left" w:pos="7365"/>
              <w:tab w:val="left" w:pos="8901"/>
              <w:tab w:val="left" w:pos="10344"/>
            </w:tabs>
            <w:jc w:val="center"/>
            <w:rPr>
              <w:szCs w:val="24"/>
              <w:lang w:eastAsia="lt-LT"/>
            </w:rPr>
          </w:pPr>
        </w:p>
        <w:p>
          <w:pPr>
            <w:jc w:val="center"/>
            <w:rPr>
              <w:b/>
              <w:bCs/>
              <w:color w:val="000000"/>
              <w:szCs w:val="24"/>
              <w:lang w:eastAsia="lt-LT"/>
            </w:rPr>
          </w:pPr>
          <w:sdt>
            <w:sdtPr>
              <w:alias w:val="Pavadinimas"/>
              <w:tag w:val="title_bf6f30ec85fe45bfac061e43c32df49a"/>
              <w:lock w:val="sdtLocked"/>
              <w:richText/>
            </w:sdtPr>
            <w:sdtContent>
              <w:r>
                <w:rPr>
                  <w:b/>
                  <w:bCs/>
                  <w:szCs w:val="24"/>
                  <w:lang w:eastAsia="lt-LT"/>
                </w:rPr>
                <w:t xml:space="preserve">(Nacionalinės veiklos rezultatų ataskaitos forma) </w:t>
              </w:r>
            </w:sdtContent>
          </w:sdt>
        </w:p>
        <w:p>
          <w:pPr>
            <w:tabs>
              <w:tab w:val="left" w:leader="underscore" w:pos="8901"/>
            </w:tabs>
            <w:jc w:val="center"/>
            <w:rPr>
              <w:szCs w:val="24"/>
              <w:lang w:eastAsia="lt-LT"/>
            </w:rPr>
          </w:pPr>
          <w:r>
            <w:rPr>
              <w:szCs w:val="24"/>
              <w:lang w:eastAsia="lt-LT"/>
            </w:rPr>
            <w:tab/>
          </w:r>
        </w:p>
        <w:p>
          <w:pPr>
            <w:jc w:val="center"/>
            <w:rPr>
              <w:szCs w:val="24"/>
              <w:lang w:eastAsia="lt-LT"/>
            </w:rPr>
          </w:pPr>
          <w:r>
            <w:rPr>
              <w:szCs w:val="24"/>
              <w:lang w:eastAsia="lt-LT"/>
            </w:rPr>
            <w:t>(nacionalinė)</w:t>
          </w:r>
        </w:p>
        <w:p>
          <w:pPr>
            <w:jc w:val="center"/>
            <w:rPr>
              <w:szCs w:val="24"/>
              <w:lang w:eastAsia="lt-LT"/>
            </w:rPr>
          </w:pPr>
        </w:p>
        <w:p>
          <w:pPr>
            <w:jc w:val="center"/>
            <w:rPr>
              <w:szCs w:val="24"/>
              <w:lang w:eastAsia="lt-LT"/>
            </w:rPr>
          </w:pPr>
          <w:r>
            <w:rPr>
              <w:szCs w:val="24"/>
              <w:lang w:eastAsia="lt-LT"/>
            </w:rPr>
            <w:t>(viešojo sektoriaus subjekto, parengusio nacionalinę veiklos rezultatų ataskaitą, kodas, adresas)</w:t>
          </w:r>
        </w:p>
        <w:p>
          <w:pPr>
            <w:jc w:val="center"/>
            <w:rPr>
              <w:szCs w:val="24"/>
              <w:lang w:eastAsia="lt-LT"/>
            </w:rPr>
          </w:pPr>
        </w:p>
        <w:sdt>
          <w:sdtPr>
            <w:alias w:val="skirsnis"/>
            <w:tag w:val="part_c13be0440d404c8cbcc1caf9c5907404"/>
            <w:lock w:val="sdtLocked"/>
            <w:richText/>
          </w:sdtPr>
          <w:sdtContent>
            <w:sdt>
              <w:sdtPr>
                <w:alias w:val="Pavadinimas"/>
                <w:tag w:val="title_c13be0440d404c8cbcc1caf9c5907404"/>
                <w:lock w:val="sdtLocked"/>
                <w:richText/>
              </w:sdtPr>
              <w:sdtContent>
                <w:p>
                  <w:pPr>
                    <w:jc w:val="center"/>
                    <w:rPr>
                      <w:b/>
                      <w:bCs/>
                      <w:szCs w:val="24"/>
                      <w:lang w:eastAsia="lt-LT"/>
                    </w:rPr>
                  </w:pPr>
                  <w:r>
                    <w:rPr>
                      <w:b/>
                      <w:bCs/>
                      <w:szCs w:val="24"/>
                      <w:lang w:eastAsia="lt-LT"/>
                    </w:rPr>
                    <w:t>NACIONALINĖ VEIKLOS REZULTATŲ ATASKAITA</w:t>
                  </w:r>
                </w:p>
                <w:p>
                  <w:pPr>
                    <w:jc w:val="center"/>
                    <w:rPr>
                      <w:b/>
                      <w:bCs/>
                      <w:szCs w:val="24"/>
                      <w:lang w:eastAsia="lt-LT"/>
                    </w:rPr>
                  </w:pPr>
                  <w:r>
                    <w:rPr>
                      <w:b/>
                      <w:bCs/>
                      <w:szCs w:val="24"/>
                      <w:lang w:eastAsia="lt-LT"/>
                    </w:rPr>
                    <w:t>PAGAL 20___M._________D. DUOMENIS</w:t>
                  </w:r>
                </w:p>
              </w:sdtContent>
            </w:sdt>
            <w:p>
              <w:pPr>
                <w:tabs>
                  <w:tab w:val="left" w:pos="933"/>
                  <w:tab w:val="left" w:pos="4149"/>
                  <w:tab w:val="left" w:pos="6103"/>
                  <w:tab w:val="left" w:pos="7365"/>
                  <w:tab w:val="left" w:pos="8901"/>
                  <w:tab w:val="left" w:pos="10344"/>
                </w:tabs>
                <w:jc w:val="center"/>
                <w:rPr>
                  <w:szCs w:val="24"/>
                  <w:lang w:eastAsia="lt-LT"/>
                </w:rPr>
              </w:pPr>
            </w:p>
            <w:p>
              <w:pPr>
                <w:jc w:val="center"/>
                <w:rPr>
                  <w:szCs w:val="24"/>
                  <w:lang w:eastAsia="lt-LT"/>
                </w:rPr>
              </w:pPr>
              <w:r>
                <w:rPr>
                  <w:szCs w:val="24"/>
                  <w:lang w:eastAsia="lt-LT"/>
                </w:rPr>
                <w:t>_________________________Nr._____</w:t>
              </w:r>
            </w:p>
            <w:p>
              <w:pPr>
                <w:jc w:val="center"/>
                <w:rPr>
                  <w:szCs w:val="24"/>
                  <w:lang w:eastAsia="lt-LT"/>
                </w:rPr>
              </w:pPr>
              <w:r>
                <w:rPr>
                  <w:szCs w:val="24"/>
                  <w:lang w:eastAsia="lt-LT"/>
                </w:rPr>
                <w:t>(data)</w:t>
              </w:r>
            </w:p>
            <w:p>
              <w:pPr>
                <w:jc w:val="center"/>
                <w:rPr>
                  <w:szCs w:val="24"/>
                  <w:lang w:eastAsia="lt-LT"/>
                </w:rPr>
              </w:pPr>
            </w:p>
            <w:p>
              <w:pPr>
                <w:jc w:val="right"/>
                <w:rPr>
                  <w:i/>
                  <w:iCs/>
                  <w:szCs w:val="24"/>
                  <w:lang w:eastAsia="lt-LT"/>
                </w:rPr>
              </w:pPr>
              <w:r>
                <w:rPr>
                  <w:i/>
                  <w:iCs/>
                  <w:szCs w:val="24"/>
                  <w:lang w:eastAsia="lt-LT"/>
                </w:rPr>
                <w:t>Pateikimo valiuta ir tikslumas: tūkstančiais eurų</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8"/>
                <w:gridCol w:w="4626"/>
                <w:gridCol w:w="1134"/>
                <w:gridCol w:w="1559"/>
                <w:gridCol w:w="1530"/>
              </w:tblGrid>
              <w:tr>
                <w:trPr>
                  <w:trHeight w:val="784"/>
                </w:trPr>
                <w:tc>
                  <w:tcPr>
                    <w:tcW w:w="898" w:type="dxa"/>
                    <w:shd w:val="clear" w:color="auto" w:fill="auto"/>
                    <w:vAlign w:val="center"/>
                  </w:tcPr>
                  <w:p>
                    <w:pPr>
                      <w:jc w:val="center"/>
                      <w:rPr>
                        <w:b/>
                        <w:bCs/>
                        <w:sz w:val="20"/>
                        <w:lang w:eastAsia="lt-LT"/>
                      </w:rPr>
                    </w:pPr>
                    <w:r>
                      <w:rPr>
                        <w:b/>
                        <w:bCs/>
                        <w:sz w:val="20"/>
                        <w:lang w:eastAsia="lt-LT"/>
                      </w:rPr>
                      <w:t>Eil. Nr.</w:t>
                    </w:r>
                  </w:p>
                </w:tc>
                <w:tc>
                  <w:tcPr>
                    <w:tcW w:w="4626" w:type="dxa"/>
                    <w:shd w:val="clear" w:color="auto" w:fill="auto"/>
                    <w:vAlign w:val="center"/>
                  </w:tcPr>
                  <w:p>
                    <w:pPr>
                      <w:jc w:val="center"/>
                      <w:rPr>
                        <w:b/>
                        <w:bCs/>
                        <w:sz w:val="20"/>
                        <w:lang w:eastAsia="lt-LT"/>
                      </w:rPr>
                    </w:pPr>
                    <w:r>
                      <w:rPr>
                        <w:b/>
                        <w:bCs/>
                        <w:sz w:val="20"/>
                        <w:lang w:eastAsia="lt-LT"/>
                      </w:rPr>
                      <w:t>Straipsniai</w:t>
                    </w:r>
                  </w:p>
                </w:tc>
                <w:tc>
                  <w:tcPr>
                    <w:tcW w:w="1134" w:type="dxa"/>
                    <w:shd w:val="clear" w:color="auto" w:fill="auto"/>
                    <w:vAlign w:val="center"/>
                  </w:tcPr>
                  <w:p>
                    <w:pPr>
                      <w:jc w:val="center"/>
                      <w:rPr>
                        <w:b/>
                        <w:bCs/>
                        <w:sz w:val="20"/>
                        <w:lang w:eastAsia="lt-LT"/>
                      </w:rPr>
                    </w:pPr>
                    <w:r>
                      <w:rPr>
                        <w:b/>
                        <w:bCs/>
                        <w:sz w:val="20"/>
                        <w:lang w:eastAsia="lt-LT"/>
                      </w:rPr>
                      <w:t>Pastabos Nr.</w:t>
                    </w:r>
                  </w:p>
                </w:tc>
                <w:tc>
                  <w:tcPr>
                    <w:tcW w:w="1559" w:type="dxa"/>
                    <w:shd w:val="clear" w:color="auto" w:fill="auto"/>
                    <w:vAlign w:val="center"/>
                  </w:tcPr>
                  <w:p>
                    <w:pPr>
                      <w:jc w:val="center"/>
                      <w:rPr>
                        <w:b/>
                        <w:bCs/>
                        <w:sz w:val="20"/>
                        <w:lang w:eastAsia="lt-LT"/>
                      </w:rPr>
                    </w:pPr>
                    <w:r>
                      <w:rPr>
                        <w:b/>
                        <w:bCs/>
                        <w:sz w:val="20"/>
                        <w:lang w:eastAsia="lt-LT"/>
                      </w:rPr>
                      <w:t>Ataskaitinis laikotarpis</w:t>
                    </w:r>
                  </w:p>
                </w:tc>
                <w:tc>
                  <w:tcPr>
                    <w:tcW w:w="1530" w:type="dxa"/>
                    <w:shd w:val="clear" w:color="auto" w:fill="auto"/>
                    <w:vAlign w:val="center"/>
                  </w:tcPr>
                  <w:p>
                    <w:pPr>
                      <w:jc w:val="center"/>
                      <w:rPr>
                        <w:b/>
                        <w:bCs/>
                        <w:sz w:val="20"/>
                        <w:lang w:eastAsia="lt-LT"/>
                      </w:rPr>
                    </w:pPr>
                    <w:r>
                      <w:rPr>
                        <w:b/>
                        <w:bCs/>
                        <w:sz w:val="20"/>
                        <w:lang w:eastAsia="lt-LT"/>
                      </w:rPr>
                      <w:t>Praėjęs ataskaitinis laikotarpis</w:t>
                    </w:r>
                  </w:p>
                </w:tc>
              </w:tr>
              <w:tr>
                <w:trPr>
                  <w:trHeight w:val="140"/>
                </w:trPr>
                <w:tc>
                  <w:tcPr>
                    <w:tcW w:w="898" w:type="dxa"/>
                    <w:shd w:val="clear" w:color="auto" w:fill="auto"/>
                    <w:vAlign w:val="center"/>
                  </w:tcPr>
                  <w:p>
                    <w:pPr>
                      <w:jc w:val="center"/>
                      <w:rPr>
                        <w:sz w:val="20"/>
                        <w:lang w:eastAsia="lt-LT"/>
                      </w:rPr>
                    </w:pPr>
                    <w:r>
                      <w:rPr>
                        <w:sz w:val="20"/>
                        <w:lang w:eastAsia="lt-LT"/>
                      </w:rPr>
                      <w:t>1</w:t>
                    </w:r>
                  </w:p>
                </w:tc>
                <w:tc>
                  <w:tcPr>
                    <w:tcW w:w="4626" w:type="dxa"/>
                    <w:shd w:val="clear" w:color="auto" w:fill="auto"/>
                    <w:vAlign w:val="center"/>
                  </w:tcPr>
                  <w:p>
                    <w:pPr>
                      <w:jc w:val="center"/>
                      <w:rPr>
                        <w:sz w:val="20"/>
                        <w:lang w:eastAsia="lt-LT"/>
                      </w:rPr>
                    </w:pPr>
                    <w:r>
                      <w:rPr>
                        <w:sz w:val="20"/>
                        <w:lang w:eastAsia="lt-LT"/>
                      </w:rPr>
                      <w:t>2</w:t>
                    </w:r>
                  </w:p>
                </w:tc>
                <w:tc>
                  <w:tcPr>
                    <w:tcW w:w="1134" w:type="dxa"/>
                    <w:shd w:val="clear" w:color="auto" w:fill="auto"/>
                    <w:vAlign w:val="center"/>
                  </w:tcPr>
                  <w:p>
                    <w:pPr>
                      <w:jc w:val="center"/>
                      <w:rPr>
                        <w:sz w:val="20"/>
                        <w:lang w:eastAsia="lt-LT"/>
                      </w:rPr>
                    </w:pPr>
                    <w:r>
                      <w:rPr>
                        <w:sz w:val="20"/>
                        <w:lang w:eastAsia="lt-LT"/>
                      </w:rPr>
                      <w:t>3</w:t>
                    </w:r>
                  </w:p>
                </w:tc>
                <w:tc>
                  <w:tcPr>
                    <w:tcW w:w="1559" w:type="dxa"/>
                    <w:shd w:val="clear" w:color="auto" w:fill="auto"/>
                    <w:vAlign w:val="center"/>
                  </w:tcPr>
                  <w:p>
                    <w:pPr>
                      <w:jc w:val="center"/>
                      <w:rPr>
                        <w:sz w:val="20"/>
                        <w:lang w:eastAsia="lt-LT"/>
                      </w:rPr>
                    </w:pPr>
                    <w:r>
                      <w:rPr>
                        <w:sz w:val="20"/>
                        <w:lang w:eastAsia="lt-LT"/>
                      </w:rPr>
                      <w:t>4</w:t>
                    </w:r>
                  </w:p>
                </w:tc>
                <w:tc>
                  <w:tcPr>
                    <w:tcW w:w="1530" w:type="dxa"/>
                    <w:shd w:val="clear" w:color="auto" w:fill="auto"/>
                    <w:vAlign w:val="center"/>
                  </w:tcPr>
                  <w:p>
                    <w:pPr>
                      <w:jc w:val="center"/>
                      <w:rPr>
                        <w:sz w:val="20"/>
                        <w:lang w:eastAsia="lt-LT"/>
                      </w:rPr>
                    </w:pPr>
                    <w:r>
                      <w:rPr>
                        <w:sz w:val="20"/>
                        <w:lang w:eastAsia="lt-LT"/>
                      </w:rPr>
                      <w:t>5</w:t>
                    </w:r>
                  </w:p>
                </w:tc>
              </w:tr>
              <w:tr>
                <w:trPr>
                  <w:trHeight w:val="315"/>
                </w:trPr>
                <w:tc>
                  <w:tcPr>
                    <w:tcW w:w="898" w:type="dxa"/>
                    <w:shd w:val="clear" w:color="auto" w:fill="auto"/>
                    <w:vAlign w:val="center"/>
                  </w:tcPr>
                  <w:p>
                    <w:pPr>
                      <w:jc w:val="center"/>
                      <w:rPr>
                        <w:b/>
                        <w:bCs/>
                        <w:sz w:val="20"/>
                        <w:lang w:eastAsia="lt-LT"/>
                      </w:rPr>
                    </w:pPr>
                    <w:r>
                      <w:rPr>
                        <w:b/>
                        <w:bCs/>
                        <w:sz w:val="20"/>
                        <w:lang w:eastAsia="lt-LT"/>
                      </w:rPr>
                      <w:t>1.</w:t>
                    </w:r>
                  </w:p>
                </w:tc>
                <w:tc>
                  <w:tcPr>
                    <w:tcW w:w="4626" w:type="dxa"/>
                    <w:shd w:val="clear" w:color="auto" w:fill="auto"/>
                    <w:vAlign w:val="center"/>
                  </w:tcPr>
                  <w:p>
                    <w:pPr>
                      <w:rPr>
                        <w:b/>
                        <w:bCs/>
                        <w:sz w:val="20"/>
                        <w:lang w:eastAsia="lt-LT"/>
                      </w:rPr>
                    </w:pPr>
                    <w:r>
                      <w:rPr>
                        <w:b/>
                        <w:bCs/>
                        <w:sz w:val="20"/>
                        <w:lang w:eastAsia="lt-LT"/>
                      </w:rPr>
                      <w:t>PAJAMOS</w:t>
                    </w:r>
                  </w:p>
                </w:tc>
                <w:tc>
                  <w:tcPr>
                    <w:tcW w:w="1134" w:type="dxa"/>
                    <w:shd w:val="clear" w:color="auto" w:fill="auto"/>
                    <w:noWrap/>
                    <w:vAlign w:val="center"/>
                  </w:tcPr>
                  <w:p>
                    <w:pPr>
                      <w:ind w:firstLine="60"/>
                      <w:rPr>
                        <w:b/>
                        <w:bCs/>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1.1.</w:t>
                    </w:r>
                  </w:p>
                </w:tc>
                <w:tc>
                  <w:tcPr>
                    <w:tcW w:w="4626" w:type="dxa"/>
                    <w:shd w:val="clear" w:color="auto" w:fill="auto"/>
                    <w:vAlign w:val="center"/>
                  </w:tcPr>
                  <w:p>
                    <w:pPr>
                      <w:rPr>
                        <w:sz w:val="20"/>
                        <w:lang w:eastAsia="lt-LT"/>
                      </w:rPr>
                    </w:pPr>
                    <w:r>
                      <w:rPr>
                        <w:sz w:val="20"/>
                        <w:lang w:eastAsia="lt-LT"/>
                      </w:rPr>
                      <w:t>FINANSAVIMO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1.2.</w:t>
                    </w:r>
                  </w:p>
                </w:tc>
                <w:tc>
                  <w:tcPr>
                    <w:tcW w:w="4626" w:type="dxa"/>
                    <w:shd w:val="clear" w:color="auto" w:fill="auto"/>
                    <w:vAlign w:val="center"/>
                  </w:tcPr>
                  <w:p>
                    <w:pPr>
                      <w:rPr>
                        <w:sz w:val="20"/>
                        <w:lang w:eastAsia="lt-LT"/>
                      </w:rPr>
                    </w:pPr>
                    <w:r>
                      <w:rPr>
                        <w:sz w:val="20"/>
                        <w:lang w:eastAsia="lt-LT"/>
                      </w:rPr>
                      <w:t>MOKESČIŲ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1.2.1.</w:t>
                    </w:r>
                  </w:p>
                </w:tc>
                <w:tc>
                  <w:tcPr>
                    <w:tcW w:w="4626" w:type="dxa"/>
                    <w:shd w:val="clear" w:color="auto" w:fill="auto"/>
                    <w:vAlign w:val="center"/>
                  </w:tcPr>
                  <w:p>
                    <w:pPr>
                      <w:ind w:left="103"/>
                      <w:rPr>
                        <w:sz w:val="20"/>
                        <w:lang w:eastAsia="lt-LT"/>
                      </w:rPr>
                    </w:pPr>
                    <w:r>
                      <w:rPr>
                        <w:sz w:val="20"/>
                        <w:lang w:eastAsia="lt-LT"/>
                      </w:rPr>
                      <w:t>Pelno ir pajamų mokesčių</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1.2.2.</w:t>
                    </w:r>
                  </w:p>
                </w:tc>
                <w:tc>
                  <w:tcPr>
                    <w:tcW w:w="4626" w:type="dxa"/>
                    <w:shd w:val="clear" w:color="auto" w:fill="auto"/>
                    <w:vAlign w:val="center"/>
                  </w:tcPr>
                  <w:p>
                    <w:pPr>
                      <w:ind w:left="103"/>
                      <w:rPr>
                        <w:sz w:val="20"/>
                        <w:lang w:eastAsia="lt-LT"/>
                      </w:rPr>
                    </w:pPr>
                    <w:r>
                      <w:rPr>
                        <w:sz w:val="20"/>
                        <w:lang w:eastAsia="lt-LT"/>
                      </w:rPr>
                      <w:t>Prekių ir paslaugų mokesčių</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1.2.3.</w:t>
                    </w:r>
                  </w:p>
                </w:tc>
                <w:tc>
                  <w:tcPr>
                    <w:tcW w:w="4626" w:type="dxa"/>
                    <w:shd w:val="clear" w:color="auto" w:fill="auto"/>
                    <w:vAlign w:val="center"/>
                  </w:tcPr>
                  <w:p>
                    <w:pPr>
                      <w:ind w:left="103"/>
                      <w:rPr>
                        <w:sz w:val="20"/>
                        <w:lang w:eastAsia="lt-LT"/>
                      </w:rPr>
                    </w:pPr>
                    <w:r>
                      <w:rPr>
                        <w:sz w:val="20"/>
                        <w:lang w:eastAsia="lt-LT"/>
                      </w:rPr>
                      <w:t>Kitų mokesčių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1.3.</w:t>
                    </w:r>
                  </w:p>
                </w:tc>
                <w:tc>
                  <w:tcPr>
                    <w:tcW w:w="4626" w:type="dxa"/>
                    <w:shd w:val="clear" w:color="auto" w:fill="auto"/>
                    <w:vAlign w:val="center"/>
                  </w:tcPr>
                  <w:p>
                    <w:pPr>
                      <w:rPr>
                        <w:sz w:val="20"/>
                        <w:lang w:eastAsia="lt-LT"/>
                      </w:rPr>
                    </w:pPr>
                    <w:r>
                      <w:rPr>
                        <w:sz w:val="20"/>
                        <w:lang w:eastAsia="lt-LT"/>
                      </w:rPr>
                      <w:t>SOCIALINIŲ ĮMOKŲ IR KITŲ ĮMOKŲ Į FONDUS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1.3.1.</w:t>
                    </w:r>
                  </w:p>
                </w:tc>
                <w:tc>
                  <w:tcPr>
                    <w:tcW w:w="4626" w:type="dxa"/>
                    <w:shd w:val="clear" w:color="auto" w:fill="auto"/>
                    <w:vAlign w:val="center"/>
                  </w:tcPr>
                  <w:p>
                    <w:pPr>
                      <w:ind w:left="103"/>
                      <w:rPr>
                        <w:sz w:val="20"/>
                        <w:lang w:eastAsia="lt-LT"/>
                      </w:rPr>
                    </w:pPr>
                    <w:r>
                      <w:rPr>
                        <w:sz w:val="20"/>
                        <w:lang w:eastAsia="lt-LT"/>
                      </w:rPr>
                      <w:t>Valstybinio socialinio draudimo fondo socialinių įmokų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1.3.2.</w:t>
                    </w:r>
                  </w:p>
                </w:tc>
                <w:tc>
                  <w:tcPr>
                    <w:tcW w:w="4626" w:type="dxa"/>
                    <w:shd w:val="clear" w:color="auto" w:fill="auto"/>
                    <w:vAlign w:val="center"/>
                  </w:tcPr>
                  <w:p>
                    <w:pPr>
                      <w:ind w:left="103"/>
                      <w:rPr>
                        <w:sz w:val="20"/>
                        <w:lang w:eastAsia="lt-LT"/>
                      </w:rPr>
                    </w:pPr>
                    <w:r>
                      <w:rPr>
                        <w:sz w:val="20"/>
                        <w:lang w:eastAsia="lt-LT"/>
                      </w:rPr>
                      <w:t>Privalomojo sveikatos draudimo fondo socialinių įmokų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1.3.3.</w:t>
                    </w:r>
                  </w:p>
                </w:tc>
                <w:tc>
                  <w:tcPr>
                    <w:tcW w:w="4626" w:type="dxa"/>
                    <w:shd w:val="clear" w:color="auto" w:fill="auto"/>
                    <w:vAlign w:val="center"/>
                  </w:tcPr>
                  <w:p>
                    <w:pPr>
                      <w:ind w:left="103"/>
                      <w:rPr>
                        <w:sz w:val="20"/>
                        <w:lang w:eastAsia="lt-LT"/>
                      </w:rPr>
                    </w:pPr>
                    <w:r>
                      <w:rPr>
                        <w:sz w:val="20"/>
                        <w:lang w:eastAsia="lt-LT"/>
                      </w:rPr>
                      <w:t>Pensijų anuitetų įmokų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1.3.4.</w:t>
                    </w:r>
                  </w:p>
                </w:tc>
                <w:tc>
                  <w:tcPr>
                    <w:tcW w:w="4626" w:type="dxa"/>
                    <w:shd w:val="clear" w:color="auto" w:fill="auto"/>
                    <w:vAlign w:val="center"/>
                  </w:tcPr>
                  <w:p>
                    <w:pPr>
                      <w:ind w:left="103"/>
                      <w:rPr>
                        <w:sz w:val="20"/>
                        <w:lang w:val="en-US" w:eastAsia="lt-LT"/>
                      </w:rPr>
                    </w:pPr>
                    <w:r>
                      <w:rPr>
                        <w:sz w:val="20"/>
                        <w:lang w:eastAsia="lt-LT"/>
                      </w:rPr>
                      <w:t>Kitų valstybės socialinių fondų socialinių įmokų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1.3.5.</w:t>
                    </w:r>
                  </w:p>
                </w:tc>
                <w:tc>
                  <w:tcPr>
                    <w:tcW w:w="4626" w:type="dxa"/>
                    <w:shd w:val="clear" w:color="auto" w:fill="auto"/>
                    <w:vAlign w:val="center"/>
                  </w:tcPr>
                  <w:p>
                    <w:pPr>
                      <w:ind w:left="103"/>
                      <w:rPr>
                        <w:sz w:val="20"/>
                        <w:lang w:eastAsia="lt-LT"/>
                      </w:rPr>
                    </w:pPr>
                    <w:r>
                      <w:rPr>
                        <w:sz w:val="20"/>
                        <w:lang w:eastAsia="lt-LT"/>
                      </w:rPr>
                      <w:t>Kitų socialinių įmokų ir įmokų į fondus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1.4.</w:t>
                    </w:r>
                  </w:p>
                </w:tc>
                <w:tc>
                  <w:tcPr>
                    <w:tcW w:w="4626" w:type="dxa"/>
                    <w:shd w:val="clear" w:color="auto" w:fill="auto"/>
                    <w:vAlign w:val="center"/>
                  </w:tcPr>
                  <w:p>
                    <w:pPr>
                      <w:rPr>
                        <w:sz w:val="20"/>
                        <w:lang w:eastAsia="lt-LT"/>
                      </w:rPr>
                    </w:pPr>
                    <w:r>
                      <w:rPr>
                        <w:sz w:val="20"/>
                        <w:lang w:eastAsia="lt-LT"/>
                      </w:rPr>
                      <w:t xml:space="preserve">KITOS PAJAMOS </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1.4.1.</w:t>
                    </w:r>
                  </w:p>
                </w:tc>
                <w:tc>
                  <w:tcPr>
                    <w:tcW w:w="4626" w:type="dxa"/>
                    <w:shd w:val="clear" w:color="auto" w:fill="auto"/>
                    <w:vAlign w:val="center"/>
                  </w:tcPr>
                  <w:p>
                    <w:pPr>
                      <w:ind w:left="103"/>
                      <w:rPr>
                        <w:sz w:val="20"/>
                        <w:lang w:eastAsia="lt-LT"/>
                      </w:rPr>
                    </w:pPr>
                    <w:r>
                      <w:rPr>
                        <w:sz w:val="20"/>
                        <w:lang w:eastAsia="lt-LT"/>
                      </w:rPr>
                      <w:t>Rinkliavų ir žyminio mokesčio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279"/>
                </w:trPr>
                <w:tc>
                  <w:tcPr>
                    <w:tcW w:w="898" w:type="dxa"/>
                    <w:shd w:val="clear" w:color="auto" w:fill="auto"/>
                    <w:vAlign w:val="center"/>
                  </w:tcPr>
                  <w:p>
                    <w:pPr>
                      <w:jc w:val="center"/>
                      <w:rPr>
                        <w:sz w:val="20"/>
                        <w:lang w:eastAsia="lt-LT"/>
                      </w:rPr>
                    </w:pPr>
                    <w:r>
                      <w:rPr>
                        <w:sz w:val="20"/>
                        <w:lang w:eastAsia="lt-LT"/>
                      </w:rPr>
                      <w:t>1.4.2.</w:t>
                    </w:r>
                  </w:p>
                </w:tc>
                <w:tc>
                  <w:tcPr>
                    <w:tcW w:w="4626" w:type="dxa"/>
                    <w:shd w:val="clear" w:color="auto" w:fill="auto"/>
                    <w:vAlign w:val="center"/>
                  </w:tcPr>
                  <w:p>
                    <w:pPr>
                      <w:ind w:left="103"/>
                      <w:rPr>
                        <w:sz w:val="20"/>
                        <w:lang w:eastAsia="lt-LT"/>
                      </w:rPr>
                    </w:pPr>
                    <w:r>
                      <w:rPr>
                        <w:sz w:val="20"/>
                        <w:lang w:eastAsia="lt-LT"/>
                      </w:rPr>
                      <w:t>Prekių pardavimo ir paslaugų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194"/>
                </w:trPr>
                <w:tc>
                  <w:tcPr>
                    <w:tcW w:w="898" w:type="dxa"/>
                    <w:shd w:val="clear" w:color="auto" w:fill="auto"/>
                    <w:vAlign w:val="center"/>
                  </w:tcPr>
                  <w:p>
                    <w:pPr>
                      <w:jc w:val="center"/>
                      <w:rPr>
                        <w:sz w:val="20"/>
                        <w:lang w:eastAsia="lt-LT"/>
                      </w:rPr>
                    </w:pPr>
                    <w:r>
                      <w:rPr>
                        <w:sz w:val="20"/>
                        <w:lang w:eastAsia="lt-LT"/>
                      </w:rPr>
                      <w:t>1.4.3.</w:t>
                    </w:r>
                  </w:p>
                </w:tc>
                <w:tc>
                  <w:tcPr>
                    <w:tcW w:w="4626" w:type="dxa"/>
                    <w:shd w:val="clear" w:color="auto" w:fill="auto"/>
                    <w:vAlign w:val="center"/>
                  </w:tcPr>
                  <w:p>
                    <w:pPr>
                      <w:ind w:left="103"/>
                      <w:rPr>
                        <w:sz w:val="20"/>
                        <w:lang w:eastAsia="lt-LT"/>
                      </w:rPr>
                    </w:pPr>
                    <w:r>
                      <w:rPr>
                        <w:sz w:val="20"/>
                        <w:lang w:eastAsia="lt-LT"/>
                      </w:rPr>
                      <w:t>Baudų, konfiskuoto turto ir netesybų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194"/>
                </w:trPr>
                <w:tc>
                  <w:tcPr>
                    <w:tcW w:w="898" w:type="dxa"/>
                    <w:shd w:val="clear" w:color="auto" w:fill="auto"/>
                    <w:vAlign w:val="center"/>
                  </w:tcPr>
                  <w:p>
                    <w:pPr>
                      <w:jc w:val="center"/>
                      <w:rPr>
                        <w:sz w:val="20"/>
                        <w:lang w:eastAsia="lt-LT"/>
                      </w:rPr>
                    </w:pPr>
                    <w:r>
                      <w:rPr>
                        <w:sz w:val="20"/>
                        <w:lang w:eastAsia="lt-LT"/>
                      </w:rPr>
                      <w:t>1.4.4</w:t>
                    </w:r>
                  </w:p>
                </w:tc>
                <w:tc>
                  <w:tcPr>
                    <w:tcW w:w="4626" w:type="dxa"/>
                    <w:shd w:val="clear" w:color="auto" w:fill="auto"/>
                    <w:vAlign w:val="center"/>
                  </w:tcPr>
                  <w:p>
                    <w:pPr>
                      <w:ind w:left="-33" w:firstLine="163"/>
                      <w:rPr>
                        <w:sz w:val="20"/>
                        <w:lang w:eastAsia="lt-LT"/>
                      </w:rPr>
                    </w:pPr>
                    <w:r>
                      <w:rPr>
                        <w:bCs/>
                        <w:sz w:val="20"/>
                        <w:lang w:eastAsia="lt-LT"/>
                      </w:rPr>
                      <w:t>Finansinės ir investicinės veiklos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194"/>
                </w:trPr>
                <w:tc>
                  <w:tcPr>
                    <w:tcW w:w="898" w:type="dxa"/>
                    <w:shd w:val="clear" w:color="auto" w:fill="auto"/>
                    <w:vAlign w:val="center"/>
                  </w:tcPr>
                  <w:p>
                    <w:pPr>
                      <w:jc w:val="center"/>
                      <w:rPr>
                        <w:sz w:val="20"/>
                        <w:lang w:eastAsia="lt-LT"/>
                      </w:rPr>
                    </w:pPr>
                    <w:r>
                      <w:rPr>
                        <w:sz w:val="20"/>
                        <w:lang w:eastAsia="lt-LT"/>
                      </w:rPr>
                      <w:t>1.4.4.1.</w:t>
                    </w:r>
                  </w:p>
                </w:tc>
                <w:tc>
                  <w:tcPr>
                    <w:tcW w:w="4626" w:type="dxa"/>
                    <w:shd w:val="clear" w:color="auto" w:fill="auto"/>
                    <w:vAlign w:val="center"/>
                  </w:tcPr>
                  <w:p>
                    <w:pPr>
                      <w:ind w:left="272"/>
                      <w:rPr>
                        <w:sz w:val="20"/>
                        <w:lang w:eastAsia="lt-LT"/>
                      </w:rPr>
                    </w:pPr>
                    <w:r>
                      <w:rPr>
                        <w:bCs/>
                        <w:sz w:val="20"/>
                        <w:lang w:eastAsia="lt-LT"/>
                      </w:rPr>
                      <w:t>Finansinio turto tikrosios vertės padidėjimas ir perleidimo pelnas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194"/>
                </w:trPr>
                <w:tc>
                  <w:tcPr>
                    <w:tcW w:w="898" w:type="dxa"/>
                    <w:shd w:val="clear" w:color="auto" w:fill="auto"/>
                    <w:vAlign w:val="center"/>
                  </w:tcPr>
                  <w:p>
                    <w:pPr>
                      <w:jc w:val="center"/>
                      <w:rPr>
                        <w:sz w:val="20"/>
                        <w:lang w:eastAsia="lt-LT"/>
                      </w:rPr>
                    </w:pPr>
                    <w:r>
                      <w:rPr>
                        <w:sz w:val="20"/>
                        <w:lang w:eastAsia="lt-LT"/>
                      </w:rPr>
                      <w:t>1.4.4.2.</w:t>
                    </w:r>
                  </w:p>
                </w:tc>
                <w:tc>
                  <w:tcPr>
                    <w:tcW w:w="4626" w:type="dxa"/>
                    <w:shd w:val="clear" w:color="auto" w:fill="auto"/>
                    <w:vAlign w:val="center"/>
                  </w:tcPr>
                  <w:p>
                    <w:pPr>
                      <w:ind w:left="272"/>
                      <w:rPr>
                        <w:sz w:val="20"/>
                        <w:lang w:eastAsia="lt-LT"/>
                      </w:rPr>
                    </w:pPr>
                    <w:r>
                      <w:rPr>
                        <w:bCs/>
                        <w:sz w:val="20"/>
                        <w:lang w:eastAsia="lt-LT"/>
                      </w:rPr>
                      <w:t>Palūkanų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194"/>
                </w:trPr>
                <w:tc>
                  <w:tcPr>
                    <w:tcW w:w="898" w:type="dxa"/>
                    <w:shd w:val="clear" w:color="auto" w:fill="auto"/>
                    <w:vAlign w:val="center"/>
                  </w:tcPr>
                  <w:p>
                    <w:pPr>
                      <w:jc w:val="center"/>
                      <w:rPr>
                        <w:sz w:val="20"/>
                        <w:lang w:eastAsia="lt-LT"/>
                      </w:rPr>
                    </w:pPr>
                    <w:r>
                      <w:rPr>
                        <w:sz w:val="20"/>
                        <w:lang w:eastAsia="lt-LT"/>
                      </w:rPr>
                      <w:t>1.4.4.3.</w:t>
                    </w:r>
                  </w:p>
                </w:tc>
                <w:tc>
                  <w:tcPr>
                    <w:tcW w:w="4626" w:type="dxa"/>
                    <w:shd w:val="clear" w:color="auto" w:fill="auto"/>
                    <w:vAlign w:val="center"/>
                  </w:tcPr>
                  <w:p>
                    <w:pPr>
                      <w:ind w:left="272"/>
                      <w:rPr>
                        <w:bCs/>
                        <w:sz w:val="20"/>
                        <w:lang w:eastAsia="lt-LT"/>
                      </w:rPr>
                    </w:pPr>
                    <w:r>
                      <w:rPr>
                        <w:bCs/>
                        <w:sz w:val="20"/>
                        <w:lang w:eastAsia="lt-LT"/>
                      </w:rPr>
                      <w:t>Dividendai</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194"/>
                </w:trPr>
                <w:tc>
                  <w:tcPr>
                    <w:tcW w:w="898" w:type="dxa"/>
                    <w:shd w:val="clear" w:color="auto" w:fill="auto"/>
                    <w:vAlign w:val="center"/>
                  </w:tcPr>
                  <w:p>
                    <w:pPr>
                      <w:jc w:val="center"/>
                      <w:rPr>
                        <w:sz w:val="20"/>
                        <w:lang w:eastAsia="lt-LT"/>
                      </w:rPr>
                    </w:pPr>
                    <w:r>
                      <w:rPr>
                        <w:sz w:val="20"/>
                        <w:lang w:eastAsia="lt-LT"/>
                      </w:rPr>
                      <w:t>1.4.4.4.</w:t>
                    </w:r>
                  </w:p>
                </w:tc>
                <w:tc>
                  <w:tcPr>
                    <w:tcW w:w="4626" w:type="dxa"/>
                    <w:shd w:val="clear" w:color="auto" w:fill="auto"/>
                    <w:vAlign w:val="center"/>
                  </w:tcPr>
                  <w:p>
                    <w:pPr>
                      <w:ind w:left="272"/>
                      <w:rPr>
                        <w:sz w:val="20"/>
                        <w:lang w:eastAsia="lt-LT"/>
                      </w:rPr>
                    </w:pPr>
                    <w:r>
                      <w:rPr>
                        <w:bCs/>
                        <w:sz w:val="20"/>
                        <w:lang w:eastAsia="lt-LT"/>
                      </w:rPr>
                      <w:t>Kitos finansinės ir investicinės veiklos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194"/>
                </w:trPr>
                <w:tc>
                  <w:tcPr>
                    <w:tcW w:w="898" w:type="dxa"/>
                    <w:shd w:val="clear" w:color="auto" w:fill="auto"/>
                    <w:vAlign w:val="center"/>
                  </w:tcPr>
                  <w:p>
                    <w:pPr>
                      <w:jc w:val="center"/>
                      <w:rPr>
                        <w:sz w:val="20"/>
                        <w:lang w:eastAsia="lt-LT"/>
                      </w:rPr>
                    </w:pPr>
                    <w:r>
                      <w:rPr>
                        <w:sz w:val="20"/>
                        <w:lang w:eastAsia="lt-LT"/>
                      </w:rPr>
                      <w:t>1.4.5.</w:t>
                    </w:r>
                  </w:p>
                </w:tc>
                <w:tc>
                  <w:tcPr>
                    <w:tcW w:w="4626" w:type="dxa"/>
                    <w:shd w:val="clear" w:color="auto" w:fill="auto"/>
                    <w:vAlign w:val="center"/>
                  </w:tcPr>
                  <w:p>
                    <w:pPr>
                      <w:ind w:left="130"/>
                      <w:rPr>
                        <w:sz w:val="20"/>
                        <w:lang w:eastAsia="lt-LT"/>
                      </w:rPr>
                    </w:pPr>
                    <w:r>
                      <w:rPr>
                        <w:sz w:val="20"/>
                        <w:lang w:eastAsia="lt-LT"/>
                      </w:rPr>
                      <w:t xml:space="preserve">Kitos </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194"/>
                </w:trPr>
                <w:tc>
                  <w:tcPr>
                    <w:tcW w:w="898" w:type="dxa"/>
                    <w:shd w:val="clear" w:color="auto" w:fill="auto"/>
                    <w:vAlign w:val="center"/>
                  </w:tcPr>
                  <w:p>
                    <w:pPr>
                      <w:jc w:val="center"/>
                      <w:rPr>
                        <w:sz w:val="20"/>
                        <w:lang w:eastAsia="lt-LT"/>
                      </w:rPr>
                    </w:pPr>
                    <w:r>
                      <w:rPr>
                        <w:sz w:val="20"/>
                        <w:lang w:eastAsia="lt-LT"/>
                      </w:rPr>
                      <w:t>1.4.6.</w:t>
                    </w:r>
                  </w:p>
                </w:tc>
                <w:tc>
                  <w:tcPr>
                    <w:tcW w:w="4626" w:type="dxa"/>
                    <w:shd w:val="clear" w:color="auto" w:fill="auto"/>
                    <w:vAlign w:val="center"/>
                  </w:tcPr>
                  <w:p>
                    <w:pPr>
                      <w:ind w:left="130"/>
                      <w:rPr>
                        <w:sz w:val="20"/>
                        <w:lang w:eastAsia="lt-LT"/>
                      </w:rPr>
                    </w:pPr>
                    <w:r>
                      <w:rPr>
                        <w:sz w:val="20"/>
                        <w:lang w:eastAsia="lt-LT"/>
                      </w:rPr>
                      <w:t>Negrąžintinai pervestinos į biudžetus, išteklių fondus pajamos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315"/>
                </w:trPr>
                <w:tc>
                  <w:tcPr>
                    <w:tcW w:w="898" w:type="dxa"/>
                    <w:shd w:val="clear" w:color="auto" w:fill="auto"/>
                    <w:vAlign w:val="center"/>
                  </w:tcPr>
                  <w:p>
                    <w:pPr>
                      <w:jc w:val="center"/>
                      <w:rPr>
                        <w:b/>
                        <w:bCs/>
                        <w:sz w:val="20"/>
                        <w:lang w:eastAsia="lt-LT"/>
                      </w:rPr>
                    </w:pPr>
                    <w:r>
                      <w:rPr>
                        <w:b/>
                        <w:bCs/>
                        <w:sz w:val="20"/>
                        <w:lang w:eastAsia="lt-LT"/>
                      </w:rPr>
                      <w:t>2.</w:t>
                    </w:r>
                  </w:p>
                </w:tc>
                <w:tc>
                  <w:tcPr>
                    <w:tcW w:w="4626" w:type="dxa"/>
                    <w:shd w:val="clear" w:color="auto" w:fill="auto"/>
                    <w:vAlign w:val="center"/>
                  </w:tcPr>
                  <w:p>
                    <w:pPr>
                      <w:rPr>
                        <w:b/>
                        <w:bCs/>
                        <w:sz w:val="20"/>
                        <w:lang w:eastAsia="lt-LT"/>
                      </w:rPr>
                    </w:pPr>
                    <w:r>
                      <w:rPr>
                        <w:b/>
                        <w:bCs/>
                        <w:sz w:val="20"/>
                        <w:lang w:eastAsia="lt-LT"/>
                      </w:rPr>
                      <w:t>SĄNAUDOS</w:t>
                    </w:r>
                  </w:p>
                </w:tc>
                <w:tc>
                  <w:tcPr>
                    <w:tcW w:w="1134" w:type="dxa"/>
                    <w:shd w:val="clear" w:color="auto" w:fill="auto"/>
                    <w:noWrap/>
                    <w:vAlign w:val="center"/>
                  </w:tcPr>
                  <w:p>
                    <w:pPr>
                      <w:ind w:firstLine="60"/>
                      <w:rPr>
                        <w:b/>
                        <w:bCs/>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168"/>
                </w:trPr>
                <w:tc>
                  <w:tcPr>
                    <w:tcW w:w="898" w:type="dxa"/>
                    <w:shd w:val="clear" w:color="auto" w:fill="auto"/>
                    <w:vAlign w:val="center"/>
                  </w:tcPr>
                  <w:p>
                    <w:pPr>
                      <w:jc w:val="center"/>
                      <w:rPr>
                        <w:sz w:val="20"/>
                        <w:lang w:eastAsia="lt-LT"/>
                      </w:rPr>
                    </w:pPr>
                    <w:r>
                      <w:rPr>
                        <w:sz w:val="20"/>
                        <w:lang w:eastAsia="lt-LT"/>
                      </w:rPr>
                      <w:t>2.1.</w:t>
                    </w:r>
                  </w:p>
                </w:tc>
                <w:tc>
                  <w:tcPr>
                    <w:tcW w:w="4626" w:type="dxa"/>
                    <w:shd w:val="clear" w:color="auto" w:fill="auto"/>
                    <w:vAlign w:val="center"/>
                  </w:tcPr>
                  <w:p>
                    <w:pPr>
                      <w:rPr>
                        <w:sz w:val="20"/>
                        <w:lang w:eastAsia="lt-LT"/>
                      </w:rPr>
                    </w:pPr>
                    <w:r>
                      <w:rPr>
                        <w:sz w:val="20"/>
                        <w:lang w:eastAsia="lt-LT"/>
                      </w:rPr>
                      <w:t>SU DARBO SANTYKIAIS SUSIJUSIŲ IŠMOKŲ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168"/>
                </w:trPr>
                <w:tc>
                  <w:tcPr>
                    <w:tcW w:w="898" w:type="dxa"/>
                    <w:shd w:val="clear" w:color="auto" w:fill="auto"/>
                    <w:vAlign w:val="center"/>
                  </w:tcPr>
                  <w:p>
                    <w:pPr>
                      <w:jc w:val="center"/>
                      <w:rPr>
                        <w:sz w:val="20"/>
                        <w:lang w:eastAsia="lt-LT"/>
                      </w:rPr>
                    </w:pPr>
                    <w:r>
                      <w:rPr>
                        <w:sz w:val="20"/>
                        <w:lang w:eastAsia="lt-LT"/>
                      </w:rPr>
                      <w:t>2.1.1.</w:t>
                    </w:r>
                  </w:p>
                </w:tc>
                <w:tc>
                  <w:tcPr>
                    <w:tcW w:w="4626" w:type="dxa"/>
                    <w:shd w:val="clear" w:color="auto" w:fill="auto"/>
                    <w:vAlign w:val="center"/>
                  </w:tcPr>
                  <w:p>
                    <w:pPr>
                      <w:ind w:left="125"/>
                      <w:rPr>
                        <w:sz w:val="20"/>
                        <w:lang w:eastAsia="lt-LT"/>
                      </w:rPr>
                    </w:pPr>
                    <w:r>
                      <w:rPr>
                        <w:sz w:val="20"/>
                        <w:lang w:eastAsia="lt-LT"/>
                      </w:rPr>
                      <w:t>Darbo užmokesčio ir socialinio draudimo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168"/>
                </w:trPr>
                <w:tc>
                  <w:tcPr>
                    <w:tcW w:w="898" w:type="dxa"/>
                    <w:shd w:val="clear" w:color="auto" w:fill="auto"/>
                    <w:vAlign w:val="center"/>
                  </w:tcPr>
                  <w:p>
                    <w:pPr>
                      <w:jc w:val="center"/>
                      <w:rPr>
                        <w:sz w:val="20"/>
                        <w:lang w:eastAsia="lt-LT"/>
                      </w:rPr>
                    </w:pPr>
                    <w:r>
                      <w:rPr>
                        <w:sz w:val="20"/>
                        <w:lang w:eastAsia="lt-LT"/>
                      </w:rPr>
                      <w:t>2.1.2.</w:t>
                    </w:r>
                  </w:p>
                </w:tc>
                <w:tc>
                  <w:tcPr>
                    <w:tcW w:w="4626" w:type="dxa"/>
                    <w:shd w:val="clear" w:color="auto" w:fill="auto"/>
                    <w:vAlign w:val="center"/>
                  </w:tcPr>
                  <w:p>
                    <w:pPr>
                      <w:ind w:left="125"/>
                      <w:rPr>
                        <w:sz w:val="20"/>
                        <w:lang w:eastAsia="lt-LT"/>
                      </w:rPr>
                    </w:pPr>
                    <w:r>
                      <w:rPr>
                        <w:sz w:val="20"/>
                        <w:lang w:eastAsia="lt-LT"/>
                      </w:rPr>
                      <w:t>Socialinių ir kitų išmokų darbuotojams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168"/>
                </w:trPr>
                <w:tc>
                  <w:tcPr>
                    <w:tcW w:w="898" w:type="dxa"/>
                    <w:shd w:val="clear" w:color="auto" w:fill="auto"/>
                    <w:vAlign w:val="center"/>
                  </w:tcPr>
                  <w:p>
                    <w:pPr>
                      <w:jc w:val="center"/>
                      <w:rPr>
                        <w:sz w:val="20"/>
                        <w:lang w:eastAsia="lt-LT"/>
                      </w:rPr>
                    </w:pPr>
                    <w:r>
                      <w:rPr>
                        <w:sz w:val="20"/>
                        <w:lang w:eastAsia="lt-LT"/>
                      </w:rPr>
                      <w:t>2.2.</w:t>
                    </w:r>
                  </w:p>
                </w:tc>
                <w:tc>
                  <w:tcPr>
                    <w:tcW w:w="4626" w:type="dxa"/>
                    <w:shd w:val="clear" w:color="auto" w:fill="auto"/>
                    <w:vAlign w:val="center"/>
                  </w:tcPr>
                  <w:p>
                    <w:pPr>
                      <w:rPr>
                        <w:sz w:val="20"/>
                        <w:lang w:eastAsia="lt-LT"/>
                      </w:rPr>
                    </w:pPr>
                    <w:r>
                      <w:rPr>
                        <w:sz w:val="20"/>
                        <w:lang w:eastAsia="lt-LT"/>
                      </w:rPr>
                      <w:t>PREKIŲ IR PASLAUGŲ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168"/>
                </w:trPr>
                <w:tc>
                  <w:tcPr>
                    <w:tcW w:w="898" w:type="dxa"/>
                    <w:shd w:val="clear" w:color="auto" w:fill="auto"/>
                    <w:vAlign w:val="center"/>
                  </w:tcPr>
                  <w:p>
                    <w:pPr>
                      <w:jc w:val="center"/>
                      <w:rPr>
                        <w:sz w:val="20"/>
                        <w:lang w:eastAsia="lt-LT"/>
                      </w:rPr>
                    </w:pPr>
                    <w:r>
                      <w:rPr>
                        <w:sz w:val="20"/>
                        <w:lang w:eastAsia="lt-LT"/>
                      </w:rPr>
                      <w:t>2.2.1.</w:t>
                    </w:r>
                  </w:p>
                </w:tc>
                <w:tc>
                  <w:tcPr>
                    <w:tcW w:w="4626" w:type="dxa"/>
                    <w:shd w:val="clear" w:color="auto" w:fill="auto"/>
                    <w:vAlign w:val="center"/>
                  </w:tcPr>
                  <w:p>
                    <w:pPr>
                      <w:ind w:left="125"/>
                      <w:rPr>
                        <w:sz w:val="20"/>
                        <w:lang w:eastAsia="lt-LT"/>
                      </w:rPr>
                    </w:pPr>
                    <w:r>
                      <w:rPr>
                        <w:sz w:val="20"/>
                        <w:lang w:eastAsia="lt-LT"/>
                      </w:rPr>
                      <w:t>Prekių ir paslaugų sąnaudos veiklai</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168"/>
                </w:trPr>
                <w:tc>
                  <w:tcPr>
                    <w:tcW w:w="898" w:type="dxa"/>
                    <w:shd w:val="clear" w:color="auto" w:fill="auto"/>
                    <w:vAlign w:val="center"/>
                  </w:tcPr>
                  <w:p>
                    <w:pPr>
                      <w:jc w:val="center"/>
                      <w:rPr>
                        <w:sz w:val="20"/>
                        <w:lang w:eastAsia="lt-LT"/>
                      </w:rPr>
                    </w:pPr>
                    <w:r>
                      <w:rPr>
                        <w:sz w:val="20"/>
                        <w:lang w:eastAsia="lt-LT"/>
                      </w:rPr>
                      <w:t>2.2.2.</w:t>
                    </w:r>
                  </w:p>
                </w:tc>
                <w:tc>
                  <w:tcPr>
                    <w:tcW w:w="4626" w:type="dxa"/>
                    <w:shd w:val="clear" w:color="auto" w:fill="auto"/>
                    <w:vAlign w:val="center"/>
                  </w:tcPr>
                  <w:p>
                    <w:pPr>
                      <w:ind w:left="125"/>
                      <w:rPr>
                        <w:sz w:val="20"/>
                        <w:lang w:eastAsia="lt-LT"/>
                      </w:rPr>
                    </w:pPr>
                    <w:r>
                      <w:rPr>
                        <w:sz w:val="20"/>
                        <w:lang w:eastAsia="lt-LT"/>
                      </w:rPr>
                      <w:t>Prekių ir paslaugų sąnaudos viešajam ūkiui</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168"/>
                </w:trPr>
                <w:tc>
                  <w:tcPr>
                    <w:tcW w:w="898" w:type="dxa"/>
                    <w:shd w:val="clear" w:color="auto" w:fill="auto"/>
                    <w:vAlign w:val="center"/>
                  </w:tcPr>
                  <w:p>
                    <w:pPr>
                      <w:jc w:val="center"/>
                      <w:rPr>
                        <w:sz w:val="20"/>
                        <w:lang w:eastAsia="lt-LT"/>
                      </w:rPr>
                    </w:pPr>
                    <w:r>
                      <w:rPr>
                        <w:sz w:val="20"/>
                        <w:lang w:eastAsia="lt-LT"/>
                      </w:rPr>
                      <w:t>2.3.</w:t>
                    </w:r>
                  </w:p>
                </w:tc>
                <w:tc>
                  <w:tcPr>
                    <w:tcW w:w="4626" w:type="dxa"/>
                    <w:shd w:val="clear" w:color="auto" w:fill="auto"/>
                    <w:vAlign w:val="center"/>
                  </w:tcPr>
                  <w:p>
                    <w:pPr>
                      <w:rPr>
                        <w:sz w:val="20"/>
                        <w:lang w:eastAsia="lt-LT"/>
                      </w:rPr>
                    </w:pPr>
                    <w:r>
                      <w:rPr>
                        <w:sz w:val="20"/>
                        <w:lang w:eastAsia="lt-LT"/>
                      </w:rPr>
                      <w:t>NUSIDĖVĖJIMO IR AMORTIZACIJOS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168"/>
                </w:trPr>
                <w:tc>
                  <w:tcPr>
                    <w:tcW w:w="898" w:type="dxa"/>
                    <w:shd w:val="clear" w:color="auto" w:fill="auto"/>
                    <w:vAlign w:val="center"/>
                  </w:tcPr>
                  <w:p>
                    <w:pPr>
                      <w:jc w:val="center"/>
                      <w:rPr>
                        <w:sz w:val="20"/>
                        <w:lang w:eastAsia="lt-LT"/>
                      </w:rPr>
                    </w:pPr>
                    <w:r>
                      <w:rPr>
                        <w:sz w:val="20"/>
                        <w:lang w:eastAsia="lt-LT"/>
                      </w:rPr>
                      <w:t>2.4.</w:t>
                    </w:r>
                  </w:p>
                </w:tc>
                <w:tc>
                  <w:tcPr>
                    <w:tcW w:w="4626" w:type="dxa"/>
                    <w:shd w:val="clear" w:color="auto" w:fill="auto"/>
                    <w:vAlign w:val="center"/>
                  </w:tcPr>
                  <w:p>
                    <w:pPr>
                      <w:rPr>
                        <w:sz w:val="20"/>
                        <w:lang w:eastAsia="lt-LT"/>
                      </w:rPr>
                    </w:pPr>
                    <w:r>
                      <w:rPr>
                        <w:sz w:val="20"/>
                        <w:lang w:eastAsia="lt-LT"/>
                      </w:rPr>
                      <w:t>NUVERTĖJIMO IR NURAŠYTŲ SUMŲ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b/>
                        <w:bCs/>
                        <w:sz w:val="20"/>
                        <w:lang w:eastAsia="lt-LT"/>
                      </w:rPr>
                    </w:pPr>
                  </w:p>
                </w:tc>
                <w:tc>
                  <w:tcPr>
                    <w:tcW w:w="1530" w:type="dxa"/>
                    <w:shd w:val="clear" w:color="auto" w:fill="auto"/>
                    <w:vAlign w:val="center"/>
                  </w:tcPr>
                  <w:p>
                    <w:pPr>
                      <w:ind w:firstLine="60"/>
                      <w:rPr>
                        <w:b/>
                        <w:bCs/>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2.5.</w:t>
                    </w:r>
                  </w:p>
                </w:tc>
                <w:tc>
                  <w:tcPr>
                    <w:tcW w:w="4626" w:type="dxa"/>
                    <w:shd w:val="clear" w:color="auto" w:fill="auto"/>
                    <w:vAlign w:val="center"/>
                  </w:tcPr>
                  <w:p>
                    <w:pPr>
                      <w:rPr>
                        <w:sz w:val="20"/>
                        <w:lang w:eastAsia="lt-LT"/>
                      </w:rPr>
                    </w:pPr>
                    <w:r>
                      <w:rPr>
                        <w:sz w:val="20"/>
                        <w:lang w:eastAsia="lt-LT"/>
                      </w:rPr>
                      <w:t>SOCIALINIŲ IŠMOKŲ, STIPENDIJŲ, PRIZŲ IR PREMIJŲ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vAlign w:val="center"/>
                  </w:tcPr>
                  <w:p>
                    <w:pPr>
                      <w:ind w:firstLine="60"/>
                      <w:rPr>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2.5.1.</w:t>
                    </w:r>
                  </w:p>
                </w:tc>
                <w:tc>
                  <w:tcPr>
                    <w:tcW w:w="4626" w:type="dxa"/>
                    <w:shd w:val="clear" w:color="auto" w:fill="auto"/>
                    <w:vAlign w:val="center"/>
                  </w:tcPr>
                  <w:p>
                    <w:pPr>
                      <w:ind w:left="103"/>
                      <w:rPr>
                        <w:sz w:val="20"/>
                        <w:lang w:eastAsia="lt-LT"/>
                      </w:rPr>
                    </w:pPr>
                    <w:r>
                      <w:rPr>
                        <w:sz w:val="20"/>
                        <w:lang w:eastAsia="lt-LT"/>
                      </w:rPr>
                      <w:t>Socialinių išmokų sąnaudos iš Valstybinio socialinio draudimo fondo:</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noWrap/>
                    <w:vAlign w:val="center"/>
                  </w:tcPr>
                  <w:p>
                    <w:pPr>
                      <w:ind w:firstLine="60"/>
                      <w:rPr>
                        <w:sz w:val="20"/>
                        <w:lang w:eastAsia="lt-LT"/>
                      </w:rPr>
                    </w:pPr>
                  </w:p>
                </w:tc>
              </w:tr>
              <w:tr>
                <w:trPr>
                  <w:trHeight w:val="256"/>
                </w:trPr>
                <w:tc>
                  <w:tcPr>
                    <w:tcW w:w="898" w:type="dxa"/>
                    <w:shd w:val="clear" w:color="auto" w:fill="auto"/>
                    <w:vAlign w:val="center"/>
                  </w:tcPr>
                  <w:p>
                    <w:pPr>
                      <w:jc w:val="center"/>
                      <w:rPr>
                        <w:sz w:val="20"/>
                        <w:lang w:eastAsia="lt-LT"/>
                      </w:rPr>
                    </w:pPr>
                    <w:r>
                      <w:rPr>
                        <w:sz w:val="20"/>
                        <w:lang w:eastAsia="lt-LT"/>
                      </w:rPr>
                      <w:t>2.5.1.1.</w:t>
                    </w:r>
                  </w:p>
                </w:tc>
                <w:tc>
                  <w:tcPr>
                    <w:tcW w:w="4626" w:type="dxa"/>
                    <w:shd w:val="clear" w:color="auto" w:fill="auto"/>
                    <w:vAlign w:val="center"/>
                  </w:tcPr>
                  <w:p>
                    <w:pPr>
                      <w:ind w:left="244" w:firstLine="88"/>
                      <w:rPr>
                        <w:sz w:val="20"/>
                        <w:lang w:eastAsia="lt-LT"/>
                      </w:rPr>
                    </w:pPr>
                    <w:r>
                      <w:rPr>
                        <w:sz w:val="20"/>
                        <w:lang w:eastAsia="lt-LT"/>
                      </w:rPr>
                      <w:t>Pensijų socialiniam draudimui</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noWrap/>
                    <w:vAlign w:val="center"/>
                  </w:tcPr>
                  <w:p>
                    <w:pPr>
                      <w:ind w:firstLine="60"/>
                      <w:rPr>
                        <w:sz w:val="20"/>
                        <w:lang w:eastAsia="lt-LT"/>
                      </w:rPr>
                    </w:pPr>
                  </w:p>
                </w:tc>
              </w:tr>
              <w:tr>
                <w:trPr>
                  <w:trHeight w:val="103"/>
                </w:trPr>
                <w:tc>
                  <w:tcPr>
                    <w:tcW w:w="898" w:type="dxa"/>
                    <w:shd w:val="clear" w:color="auto" w:fill="auto"/>
                    <w:vAlign w:val="center"/>
                  </w:tcPr>
                  <w:p>
                    <w:pPr>
                      <w:jc w:val="center"/>
                      <w:rPr>
                        <w:sz w:val="20"/>
                        <w:lang w:eastAsia="lt-LT"/>
                      </w:rPr>
                    </w:pPr>
                    <w:r>
                      <w:rPr>
                        <w:sz w:val="20"/>
                        <w:lang w:eastAsia="lt-LT"/>
                      </w:rPr>
                      <w:t>2.5.1.2.</w:t>
                    </w:r>
                  </w:p>
                </w:tc>
                <w:tc>
                  <w:tcPr>
                    <w:tcW w:w="4626" w:type="dxa"/>
                    <w:shd w:val="clear" w:color="auto" w:fill="auto"/>
                    <w:vAlign w:val="center"/>
                  </w:tcPr>
                  <w:p>
                    <w:pPr>
                      <w:ind w:left="244" w:firstLine="88"/>
                      <w:rPr>
                        <w:sz w:val="20"/>
                        <w:lang w:eastAsia="lt-LT"/>
                      </w:rPr>
                    </w:pPr>
                    <w:r>
                      <w:rPr>
                        <w:sz w:val="20"/>
                        <w:lang w:eastAsia="lt-LT"/>
                      </w:rPr>
                      <w:t>Ligos socialiniam draudimui</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noWrap/>
                    <w:vAlign w:val="center"/>
                  </w:tcPr>
                  <w:p>
                    <w:pPr>
                      <w:ind w:firstLine="60"/>
                      <w:rPr>
                        <w:sz w:val="20"/>
                        <w:lang w:eastAsia="lt-LT"/>
                      </w:rPr>
                    </w:pPr>
                  </w:p>
                </w:tc>
              </w:tr>
              <w:tr>
                <w:trPr>
                  <w:trHeight w:val="94"/>
                </w:trPr>
                <w:tc>
                  <w:tcPr>
                    <w:tcW w:w="898" w:type="dxa"/>
                    <w:shd w:val="clear" w:color="auto" w:fill="auto"/>
                    <w:vAlign w:val="center"/>
                  </w:tcPr>
                  <w:p>
                    <w:pPr>
                      <w:jc w:val="center"/>
                      <w:rPr>
                        <w:sz w:val="20"/>
                        <w:lang w:eastAsia="lt-LT"/>
                      </w:rPr>
                    </w:pPr>
                    <w:r>
                      <w:rPr>
                        <w:sz w:val="20"/>
                        <w:lang w:eastAsia="lt-LT"/>
                      </w:rPr>
                      <w:t>2.5.1.3.</w:t>
                    </w:r>
                  </w:p>
                </w:tc>
                <w:tc>
                  <w:tcPr>
                    <w:tcW w:w="4626" w:type="dxa"/>
                    <w:shd w:val="clear" w:color="auto" w:fill="auto"/>
                    <w:vAlign w:val="center"/>
                  </w:tcPr>
                  <w:p>
                    <w:pPr>
                      <w:ind w:left="244" w:firstLine="88"/>
                      <w:rPr>
                        <w:sz w:val="20"/>
                        <w:lang w:eastAsia="lt-LT"/>
                      </w:rPr>
                    </w:pPr>
                    <w:r>
                      <w:rPr>
                        <w:sz w:val="20"/>
                        <w:lang w:eastAsia="lt-LT"/>
                      </w:rPr>
                      <w:t>Motinystės socialiniam draudimui</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noWrap/>
                    <w:vAlign w:val="center"/>
                  </w:tcPr>
                  <w:p>
                    <w:pPr>
                      <w:ind w:firstLine="60"/>
                      <w:rPr>
                        <w:sz w:val="20"/>
                        <w:lang w:eastAsia="lt-LT"/>
                      </w:rPr>
                    </w:pPr>
                  </w:p>
                </w:tc>
              </w:tr>
              <w:tr>
                <w:trPr>
                  <w:trHeight w:val="98"/>
                </w:trPr>
                <w:tc>
                  <w:tcPr>
                    <w:tcW w:w="898" w:type="dxa"/>
                    <w:shd w:val="clear" w:color="auto" w:fill="auto"/>
                    <w:vAlign w:val="center"/>
                  </w:tcPr>
                  <w:p>
                    <w:pPr>
                      <w:jc w:val="center"/>
                      <w:rPr>
                        <w:sz w:val="20"/>
                        <w:lang w:eastAsia="lt-LT"/>
                      </w:rPr>
                    </w:pPr>
                    <w:r>
                      <w:rPr>
                        <w:sz w:val="20"/>
                        <w:lang w:eastAsia="lt-LT"/>
                      </w:rPr>
                      <w:t>2.5.1.4.</w:t>
                    </w:r>
                  </w:p>
                </w:tc>
                <w:tc>
                  <w:tcPr>
                    <w:tcW w:w="4626" w:type="dxa"/>
                    <w:shd w:val="clear" w:color="auto" w:fill="auto"/>
                    <w:vAlign w:val="center"/>
                  </w:tcPr>
                  <w:p>
                    <w:pPr>
                      <w:ind w:left="244" w:firstLine="88"/>
                      <w:rPr>
                        <w:sz w:val="20"/>
                        <w:lang w:eastAsia="lt-LT"/>
                      </w:rPr>
                    </w:pPr>
                    <w:r>
                      <w:rPr>
                        <w:sz w:val="20"/>
                        <w:lang w:eastAsia="lt-LT"/>
                      </w:rPr>
                      <w:t>Nedarbo socialiniam draudimui</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noWrap/>
                    <w:vAlign w:val="center"/>
                  </w:tcPr>
                  <w:p>
                    <w:pPr>
                      <w:ind w:firstLine="60"/>
                      <w:rPr>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2.5.1.5.</w:t>
                    </w:r>
                  </w:p>
                </w:tc>
                <w:tc>
                  <w:tcPr>
                    <w:tcW w:w="4626" w:type="dxa"/>
                    <w:shd w:val="clear" w:color="auto" w:fill="auto"/>
                    <w:vAlign w:val="center"/>
                  </w:tcPr>
                  <w:p>
                    <w:pPr>
                      <w:ind w:left="244" w:firstLine="88"/>
                      <w:rPr>
                        <w:sz w:val="20"/>
                        <w:lang w:eastAsia="lt-LT"/>
                      </w:rPr>
                    </w:pPr>
                    <w:r>
                      <w:rPr>
                        <w:sz w:val="20"/>
                        <w:lang w:eastAsia="lt-LT"/>
                      </w:rPr>
                      <w:t>Kitos socialinių išmokų sąnaudos iš Valstybinio socialinio draudimo fondo</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noWrap/>
                    <w:vAlign w:val="center"/>
                  </w:tcPr>
                  <w:p>
                    <w:pPr>
                      <w:ind w:firstLine="60"/>
                      <w:rPr>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2.5.2.</w:t>
                    </w:r>
                  </w:p>
                </w:tc>
                <w:tc>
                  <w:tcPr>
                    <w:tcW w:w="4626" w:type="dxa"/>
                    <w:shd w:val="clear" w:color="auto" w:fill="auto"/>
                    <w:vAlign w:val="center"/>
                  </w:tcPr>
                  <w:p>
                    <w:pPr>
                      <w:ind w:left="103"/>
                      <w:rPr>
                        <w:sz w:val="20"/>
                        <w:lang w:eastAsia="lt-LT"/>
                      </w:rPr>
                    </w:pPr>
                    <w:r>
                      <w:rPr>
                        <w:sz w:val="20"/>
                        <w:lang w:eastAsia="lt-LT"/>
                      </w:rPr>
                      <w:t>Socialinių išmokų sąnaudos iš Privalomojo sveikatos draudimo fondo</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noWrap/>
                    <w:vAlign w:val="center"/>
                  </w:tcPr>
                  <w:p>
                    <w:pPr>
                      <w:ind w:firstLine="60"/>
                      <w:rPr>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2.5.3.</w:t>
                    </w:r>
                  </w:p>
                </w:tc>
                <w:tc>
                  <w:tcPr>
                    <w:tcW w:w="4626" w:type="dxa"/>
                    <w:shd w:val="clear" w:color="auto" w:fill="auto"/>
                    <w:vAlign w:val="center"/>
                  </w:tcPr>
                  <w:p>
                    <w:pPr>
                      <w:ind w:left="103"/>
                      <w:rPr>
                        <w:sz w:val="20"/>
                        <w:lang w:eastAsia="lt-LT"/>
                      </w:rPr>
                    </w:pPr>
                    <w:r>
                      <w:rPr>
                        <w:sz w:val="20"/>
                        <w:lang w:eastAsia="lt-LT"/>
                      </w:rPr>
                      <w:t>Socialinių išmokų sąnaudos iš kitų valstybės socialinių fondų</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noWrap/>
                    <w:vAlign w:val="center"/>
                  </w:tcPr>
                  <w:p>
                    <w:pPr>
                      <w:ind w:firstLine="60"/>
                      <w:rPr>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2.5.4.</w:t>
                    </w:r>
                  </w:p>
                </w:tc>
                <w:tc>
                  <w:tcPr>
                    <w:tcW w:w="4626" w:type="dxa"/>
                    <w:shd w:val="clear" w:color="auto" w:fill="auto"/>
                    <w:vAlign w:val="center"/>
                  </w:tcPr>
                  <w:p>
                    <w:pPr>
                      <w:ind w:left="103"/>
                      <w:rPr>
                        <w:sz w:val="20"/>
                        <w:lang w:eastAsia="lt-LT"/>
                      </w:rPr>
                    </w:pPr>
                    <w:r>
                      <w:rPr>
                        <w:sz w:val="20"/>
                        <w:lang w:eastAsia="lt-LT"/>
                      </w:rPr>
                      <w:t>Socialinių išmokų sąnaudos iš Pensijų anuitetų fondo</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noWrap/>
                    <w:vAlign w:val="center"/>
                  </w:tcPr>
                  <w:p>
                    <w:pPr>
                      <w:ind w:firstLine="60"/>
                      <w:rPr>
                        <w:sz w:val="20"/>
                        <w:lang w:eastAsia="lt-LT"/>
                      </w:rPr>
                    </w:pPr>
                  </w:p>
                </w:tc>
              </w:tr>
              <w:tr>
                <w:trPr>
                  <w:trHeight w:val="136"/>
                </w:trPr>
                <w:tc>
                  <w:tcPr>
                    <w:tcW w:w="898" w:type="dxa"/>
                    <w:shd w:val="clear" w:color="auto" w:fill="auto"/>
                    <w:vAlign w:val="center"/>
                  </w:tcPr>
                  <w:p>
                    <w:pPr>
                      <w:jc w:val="center"/>
                      <w:rPr>
                        <w:sz w:val="20"/>
                        <w:lang w:eastAsia="lt-LT"/>
                      </w:rPr>
                    </w:pPr>
                    <w:r>
                      <w:rPr>
                        <w:sz w:val="20"/>
                        <w:lang w:eastAsia="lt-LT"/>
                      </w:rPr>
                      <w:t>2.5.5.</w:t>
                    </w:r>
                  </w:p>
                </w:tc>
                <w:tc>
                  <w:tcPr>
                    <w:tcW w:w="4626" w:type="dxa"/>
                    <w:shd w:val="clear" w:color="auto" w:fill="auto"/>
                    <w:vAlign w:val="center"/>
                  </w:tcPr>
                  <w:p>
                    <w:pPr>
                      <w:ind w:left="103"/>
                      <w:rPr>
                        <w:sz w:val="20"/>
                        <w:lang w:eastAsia="lt-LT"/>
                      </w:rPr>
                    </w:pPr>
                    <w:r>
                      <w:rPr>
                        <w:sz w:val="20"/>
                      </w:rPr>
                      <w:t xml:space="preserve">Kitos socialinių išmokų sąnaudos, </w:t>
                    </w:r>
                    <w:r>
                      <w:rPr>
                        <w:sz w:val="20"/>
                        <w:lang w:eastAsia="lt-LT"/>
                      </w:rPr>
                      <w:t>stipendijos, prizai ir premijos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noWrap/>
                    <w:vAlign w:val="center"/>
                  </w:tcPr>
                  <w:p>
                    <w:pPr>
                      <w:ind w:firstLine="60"/>
                      <w:rPr>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2.6.</w:t>
                    </w:r>
                  </w:p>
                </w:tc>
                <w:tc>
                  <w:tcPr>
                    <w:tcW w:w="4626" w:type="dxa"/>
                    <w:shd w:val="clear" w:color="auto" w:fill="auto"/>
                    <w:vAlign w:val="center"/>
                  </w:tcPr>
                  <w:p>
                    <w:pPr>
                      <w:rPr>
                        <w:sz w:val="20"/>
                        <w:lang w:eastAsia="lt-LT"/>
                      </w:rPr>
                    </w:pPr>
                    <w:r>
                      <w:rPr>
                        <w:sz w:val="20"/>
                        <w:lang w:eastAsia="lt-LT"/>
                      </w:rPr>
                      <w:t>FINANSAVIMO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noWrap/>
                    <w:vAlign w:val="center"/>
                  </w:tcPr>
                  <w:p>
                    <w:pPr>
                      <w:ind w:firstLine="60"/>
                      <w:rPr>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2.7.</w:t>
                    </w:r>
                  </w:p>
                </w:tc>
                <w:tc>
                  <w:tcPr>
                    <w:tcW w:w="4626" w:type="dxa"/>
                    <w:shd w:val="clear" w:color="auto" w:fill="auto"/>
                    <w:vAlign w:val="center"/>
                  </w:tcPr>
                  <w:p>
                    <w:pPr>
                      <w:rPr>
                        <w:sz w:val="20"/>
                        <w:lang w:eastAsia="lt-LT"/>
                      </w:rPr>
                    </w:pPr>
                    <w:r>
                      <w:rPr>
                        <w:sz w:val="20"/>
                        <w:lang w:eastAsia="lt-LT"/>
                      </w:rPr>
                      <w:t>PENSIJŲ ANUITETŲ FONDO TECHNINIŲ ATIDĖJINIŲ VERTĖS PASIKEITIMO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noWrap/>
                    <w:vAlign w:val="center"/>
                  </w:tcPr>
                  <w:p>
                    <w:pPr>
                      <w:ind w:firstLine="60"/>
                      <w:rPr>
                        <w:sz w:val="20"/>
                        <w:lang w:eastAsia="lt-LT"/>
                      </w:rPr>
                    </w:pPr>
                  </w:p>
                </w:tc>
              </w:tr>
              <w:tr>
                <w:trPr>
                  <w:trHeight w:val="445"/>
                </w:trPr>
                <w:tc>
                  <w:tcPr>
                    <w:tcW w:w="898" w:type="dxa"/>
                    <w:shd w:val="clear" w:color="auto" w:fill="auto"/>
                    <w:vAlign w:val="center"/>
                  </w:tcPr>
                  <w:p>
                    <w:pPr>
                      <w:jc w:val="center"/>
                      <w:rPr>
                        <w:sz w:val="20"/>
                        <w:lang w:eastAsia="lt-LT"/>
                      </w:rPr>
                    </w:pPr>
                    <w:r>
                      <w:rPr>
                        <w:sz w:val="20"/>
                        <w:lang w:eastAsia="lt-LT"/>
                      </w:rPr>
                      <w:t>2.8.</w:t>
                    </w:r>
                  </w:p>
                </w:tc>
                <w:tc>
                  <w:tcPr>
                    <w:tcW w:w="4626" w:type="dxa"/>
                    <w:shd w:val="clear" w:color="auto" w:fill="auto"/>
                    <w:vAlign w:val="center"/>
                  </w:tcPr>
                  <w:p>
                    <w:pPr>
                      <w:rPr>
                        <w:sz w:val="20"/>
                        <w:lang w:eastAsia="lt-LT"/>
                      </w:rPr>
                    </w:pPr>
                    <w:r>
                      <w:rPr>
                        <w:sz w:val="20"/>
                        <w:lang w:eastAsia="lt-LT"/>
                      </w:rPr>
                      <w:t>FINANSINĖS IR INVESTICINĖS VEIKLOS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noWrap/>
                    <w:vAlign w:val="center"/>
                  </w:tcPr>
                  <w:p>
                    <w:pPr>
                      <w:ind w:firstLine="60"/>
                      <w:rPr>
                        <w:sz w:val="20"/>
                        <w:lang w:eastAsia="lt-LT"/>
                      </w:rPr>
                    </w:pPr>
                  </w:p>
                </w:tc>
              </w:tr>
              <w:tr>
                <w:trPr>
                  <w:trHeight w:val="315"/>
                </w:trPr>
                <w:tc>
                  <w:tcPr>
                    <w:tcW w:w="898" w:type="dxa"/>
                    <w:shd w:val="clear" w:color="auto" w:fill="auto"/>
                    <w:vAlign w:val="center"/>
                  </w:tcPr>
                  <w:p>
                    <w:pPr>
                      <w:jc w:val="center"/>
                      <w:rPr>
                        <w:sz w:val="20"/>
                        <w:lang w:eastAsia="lt-LT"/>
                      </w:rPr>
                    </w:pPr>
                    <w:r>
                      <w:rPr>
                        <w:sz w:val="20"/>
                        <w:lang w:eastAsia="lt-LT"/>
                      </w:rPr>
                      <w:t>2.8.1</w:t>
                    </w:r>
                  </w:p>
                </w:tc>
                <w:tc>
                  <w:tcPr>
                    <w:tcW w:w="4626" w:type="dxa"/>
                    <w:shd w:val="clear" w:color="auto" w:fill="auto"/>
                    <w:vAlign w:val="center"/>
                  </w:tcPr>
                  <w:p>
                    <w:pPr>
                      <w:ind w:left="95"/>
                      <w:rPr>
                        <w:sz w:val="20"/>
                        <w:lang w:eastAsia="lt-LT"/>
                      </w:rPr>
                    </w:pPr>
                    <w:r>
                      <w:rPr>
                        <w:bCs/>
                        <w:sz w:val="20"/>
                        <w:lang w:eastAsia="lt-LT"/>
                      </w:rPr>
                      <w:t>Finansinio turto tikrosios vertės sumažėjimas ir perleidimo nuostolis, nuvertėjimo ir nurašymo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noWrap/>
                    <w:vAlign w:val="center"/>
                  </w:tcPr>
                  <w:p>
                    <w:pPr>
                      <w:ind w:firstLine="60"/>
                      <w:rPr>
                        <w:sz w:val="20"/>
                        <w:lang w:eastAsia="lt-LT"/>
                      </w:rPr>
                    </w:pPr>
                  </w:p>
                </w:tc>
              </w:tr>
              <w:tr>
                <w:trPr>
                  <w:trHeight w:val="309"/>
                </w:trPr>
                <w:tc>
                  <w:tcPr>
                    <w:tcW w:w="898" w:type="dxa"/>
                    <w:shd w:val="clear" w:color="auto" w:fill="auto"/>
                    <w:vAlign w:val="center"/>
                  </w:tcPr>
                  <w:p>
                    <w:pPr>
                      <w:jc w:val="center"/>
                      <w:rPr>
                        <w:sz w:val="20"/>
                        <w:lang w:eastAsia="lt-LT"/>
                      </w:rPr>
                    </w:pPr>
                    <w:r>
                      <w:rPr>
                        <w:sz w:val="20"/>
                        <w:lang w:eastAsia="lt-LT"/>
                      </w:rPr>
                      <w:t>2.8.2</w:t>
                    </w:r>
                  </w:p>
                </w:tc>
                <w:tc>
                  <w:tcPr>
                    <w:tcW w:w="4626" w:type="dxa"/>
                    <w:shd w:val="clear" w:color="auto" w:fill="auto"/>
                    <w:vAlign w:val="center"/>
                  </w:tcPr>
                  <w:p>
                    <w:pPr>
                      <w:ind w:left="95"/>
                      <w:rPr>
                        <w:sz w:val="20"/>
                        <w:lang w:eastAsia="lt-LT"/>
                      </w:rPr>
                    </w:pPr>
                    <w:r>
                      <w:rPr>
                        <w:bCs/>
                        <w:sz w:val="20"/>
                        <w:lang w:eastAsia="lt-LT"/>
                      </w:rPr>
                      <w:t>Palūkanų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noWrap/>
                    <w:vAlign w:val="center"/>
                  </w:tcPr>
                  <w:p>
                    <w:pPr>
                      <w:ind w:firstLine="60"/>
                      <w:rPr>
                        <w:sz w:val="20"/>
                        <w:lang w:eastAsia="lt-LT"/>
                      </w:rPr>
                    </w:pPr>
                  </w:p>
                </w:tc>
              </w:tr>
              <w:tr>
                <w:trPr>
                  <w:trHeight w:val="142"/>
                </w:trPr>
                <w:tc>
                  <w:tcPr>
                    <w:tcW w:w="898" w:type="dxa"/>
                    <w:shd w:val="clear" w:color="auto" w:fill="auto"/>
                    <w:vAlign w:val="center"/>
                  </w:tcPr>
                  <w:p>
                    <w:pPr>
                      <w:jc w:val="center"/>
                      <w:rPr>
                        <w:sz w:val="20"/>
                        <w:lang w:eastAsia="lt-LT"/>
                      </w:rPr>
                    </w:pPr>
                    <w:r>
                      <w:rPr>
                        <w:sz w:val="20"/>
                        <w:lang w:eastAsia="lt-LT"/>
                      </w:rPr>
                      <w:t>2.8.3</w:t>
                    </w:r>
                  </w:p>
                </w:tc>
                <w:tc>
                  <w:tcPr>
                    <w:tcW w:w="4626" w:type="dxa"/>
                    <w:shd w:val="clear" w:color="auto" w:fill="auto"/>
                    <w:vAlign w:val="center"/>
                  </w:tcPr>
                  <w:p>
                    <w:pPr>
                      <w:ind w:left="95"/>
                      <w:rPr>
                        <w:sz w:val="20"/>
                        <w:lang w:eastAsia="lt-LT"/>
                      </w:rPr>
                    </w:pPr>
                    <w:r>
                      <w:rPr>
                        <w:bCs/>
                        <w:sz w:val="20"/>
                        <w:lang w:eastAsia="lt-LT"/>
                      </w:rPr>
                      <w:t>Kitos finansinės ir investicinės veiklos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0"/>
                      <w:rPr>
                        <w:sz w:val="20"/>
                        <w:lang w:eastAsia="lt-LT"/>
                      </w:rPr>
                    </w:pPr>
                  </w:p>
                </w:tc>
                <w:tc>
                  <w:tcPr>
                    <w:tcW w:w="1530" w:type="dxa"/>
                    <w:shd w:val="clear" w:color="auto" w:fill="auto"/>
                    <w:noWrap/>
                    <w:vAlign w:val="center"/>
                  </w:tcPr>
                  <w:p>
                    <w:pPr>
                      <w:ind w:firstLine="60"/>
                      <w:rPr>
                        <w:sz w:val="20"/>
                        <w:lang w:eastAsia="lt-LT"/>
                      </w:rPr>
                    </w:pPr>
                  </w:p>
                </w:tc>
              </w:tr>
              <w:tr>
                <w:trPr>
                  <w:trHeight w:val="104"/>
                </w:trPr>
                <w:tc>
                  <w:tcPr>
                    <w:tcW w:w="898" w:type="dxa"/>
                    <w:shd w:val="clear" w:color="auto" w:fill="auto"/>
                    <w:vAlign w:val="center"/>
                  </w:tcPr>
                  <w:p>
                    <w:pPr>
                      <w:jc w:val="center"/>
                      <w:rPr>
                        <w:sz w:val="20"/>
                        <w:lang w:eastAsia="lt-LT"/>
                      </w:rPr>
                    </w:pPr>
                    <w:r>
                      <w:rPr>
                        <w:sz w:val="20"/>
                        <w:lang w:eastAsia="lt-LT"/>
                      </w:rPr>
                      <w:t>2.9.</w:t>
                    </w:r>
                  </w:p>
                </w:tc>
                <w:tc>
                  <w:tcPr>
                    <w:tcW w:w="4626" w:type="dxa"/>
                    <w:shd w:val="clear" w:color="auto" w:fill="auto"/>
                    <w:noWrap/>
                    <w:vAlign w:val="center"/>
                  </w:tcPr>
                  <w:p>
                    <w:pPr>
                      <w:rPr>
                        <w:sz w:val="20"/>
                        <w:lang w:eastAsia="lt-LT"/>
                      </w:rPr>
                    </w:pPr>
                    <w:r>
                      <w:rPr>
                        <w:sz w:val="20"/>
                        <w:lang w:eastAsia="lt-LT"/>
                      </w:rPr>
                      <w:t>KITOS SĄNAUDOS</w:t>
                    </w:r>
                  </w:p>
                </w:tc>
                <w:tc>
                  <w:tcPr>
                    <w:tcW w:w="1134" w:type="dxa"/>
                    <w:shd w:val="clear" w:color="auto" w:fill="auto"/>
                    <w:noWrap/>
                    <w:vAlign w:val="center"/>
                  </w:tcPr>
                  <w:p>
                    <w:pPr>
                      <w:ind w:firstLine="60"/>
                      <w:rPr>
                        <w:sz w:val="20"/>
                        <w:lang w:eastAsia="lt-LT"/>
                      </w:rPr>
                    </w:pPr>
                  </w:p>
                </w:tc>
                <w:tc>
                  <w:tcPr>
                    <w:tcW w:w="1559" w:type="dxa"/>
                    <w:shd w:val="clear" w:color="auto" w:fill="auto"/>
                    <w:noWrap/>
                    <w:vAlign w:val="center"/>
                  </w:tcPr>
                  <w:p>
                    <w:pPr>
                      <w:ind w:firstLine="67"/>
                      <w:rPr>
                        <w:rFonts w:ascii="Arial" w:hAnsi="Arial" w:cs="Arial"/>
                        <w:sz w:val="20"/>
                        <w:lang w:eastAsia="lt-LT"/>
                      </w:rPr>
                    </w:pPr>
                  </w:p>
                </w:tc>
                <w:tc>
                  <w:tcPr>
                    <w:tcW w:w="1530" w:type="dxa"/>
                    <w:shd w:val="clear" w:color="auto" w:fill="auto"/>
                    <w:noWrap/>
                    <w:vAlign w:val="center"/>
                  </w:tcPr>
                  <w:p>
                    <w:pPr>
                      <w:ind w:firstLine="67"/>
                      <w:rPr>
                        <w:rFonts w:ascii="Arial" w:hAnsi="Arial" w:cs="Arial"/>
                        <w:sz w:val="20"/>
                        <w:lang w:eastAsia="lt-LT"/>
                      </w:rPr>
                    </w:pPr>
                  </w:p>
                </w:tc>
              </w:tr>
              <w:tr>
                <w:trPr>
                  <w:trHeight w:val="349"/>
                </w:trPr>
                <w:tc>
                  <w:tcPr>
                    <w:tcW w:w="898" w:type="dxa"/>
                    <w:shd w:val="clear" w:color="auto" w:fill="auto"/>
                    <w:noWrap/>
                    <w:vAlign w:val="center"/>
                  </w:tcPr>
                  <w:p>
                    <w:pPr>
                      <w:jc w:val="center"/>
                      <w:rPr>
                        <w:b/>
                        <w:bCs/>
                        <w:sz w:val="20"/>
                        <w:lang w:eastAsia="lt-LT"/>
                      </w:rPr>
                    </w:pPr>
                    <w:r>
                      <w:rPr>
                        <w:b/>
                        <w:bCs/>
                        <w:sz w:val="20"/>
                        <w:lang w:eastAsia="lt-LT"/>
                      </w:rPr>
                      <w:t>3.</w:t>
                    </w:r>
                  </w:p>
                </w:tc>
                <w:tc>
                  <w:tcPr>
                    <w:tcW w:w="4626" w:type="dxa"/>
                    <w:shd w:val="clear" w:color="auto" w:fill="auto"/>
                    <w:noWrap/>
                    <w:vAlign w:val="center"/>
                  </w:tcPr>
                  <w:p>
                    <w:pPr>
                      <w:rPr>
                        <w:b/>
                        <w:bCs/>
                        <w:sz w:val="20"/>
                        <w:lang w:eastAsia="lt-LT"/>
                      </w:rPr>
                    </w:pPr>
                    <w:r>
                      <w:rPr>
                        <w:b/>
                        <w:bCs/>
                        <w:sz w:val="20"/>
                        <w:lang w:eastAsia="lt-LT"/>
                      </w:rPr>
                      <w:t>PERVIRŠIS AR DEFICITAS IŠ VYKDOMOS VEIKLOS</w:t>
                    </w:r>
                  </w:p>
                </w:tc>
                <w:tc>
                  <w:tcPr>
                    <w:tcW w:w="1134" w:type="dxa"/>
                    <w:shd w:val="clear" w:color="auto" w:fill="auto"/>
                    <w:noWrap/>
                    <w:vAlign w:val="center"/>
                  </w:tcPr>
                  <w:p>
                    <w:pPr>
                      <w:ind w:firstLine="60"/>
                      <w:rPr>
                        <w:b/>
                        <w:bCs/>
                        <w:sz w:val="20"/>
                        <w:lang w:eastAsia="lt-LT"/>
                      </w:rPr>
                    </w:pPr>
                  </w:p>
                </w:tc>
                <w:tc>
                  <w:tcPr>
                    <w:tcW w:w="1559" w:type="dxa"/>
                    <w:shd w:val="clear" w:color="auto" w:fill="auto"/>
                    <w:noWrap/>
                    <w:vAlign w:val="center"/>
                  </w:tcPr>
                  <w:p>
                    <w:pPr>
                      <w:ind w:firstLine="67"/>
                      <w:rPr>
                        <w:rFonts w:ascii="Arial" w:hAnsi="Arial" w:cs="Arial"/>
                        <w:b/>
                        <w:bCs/>
                        <w:sz w:val="20"/>
                        <w:lang w:eastAsia="lt-LT"/>
                      </w:rPr>
                    </w:pPr>
                  </w:p>
                </w:tc>
                <w:tc>
                  <w:tcPr>
                    <w:tcW w:w="1530" w:type="dxa"/>
                    <w:shd w:val="clear" w:color="auto" w:fill="auto"/>
                    <w:noWrap/>
                    <w:vAlign w:val="center"/>
                  </w:tcPr>
                  <w:p>
                    <w:pPr>
                      <w:ind w:firstLine="67"/>
                      <w:rPr>
                        <w:rFonts w:ascii="Arial" w:hAnsi="Arial" w:cs="Arial"/>
                        <w:b/>
                        <w:bCs/>
                        <w:sz w:val="20"/>
                        <w:lang w:eastAsia="lt-LT"/>
                      </w:rPr>
                    </w:pPr>
                  </w:p>
                </w:tc>
              </w:tr>
              <w:tr>
                <w:trPr>
                  <w:trHeight w:val="627"/>
                </w:trPr>
                <w:tc>
                  <w:tcPr>
                    <w:tcW w:w="898" w:type="dxa"/>
                    <w:shd w:val="clear" w:color="auto" w:fill="auto"/>
                    <w:noWrap/>
                    <w:vAlign w:val="center"/>
                  </w:tcPr>
                  <w:p>
                    <w:pPr>
                      <w:jc w:val="center"/>
                      <w:rPr>
                        <w:b/>
                        <w:bCs/>
                        <w:sz w:val="20"/>
                        <w:lang w:eastAsia="lt-LT"/>
                      </w:rPr>
                    </w:pPr>
                    <w:r>
                      <w:rPr>
                        <w:b/>
                        <w:bCs/>
                        <w:sz w:val="20"/>
                        <w:lang w:eastAsia="lt-LT"/>
                      </w:rPr>
                      <w:t>4.</w:t>
                    </w:r>
                  </w:p>
                </w:tc>
                <w:tc>
                  <w:tcPr>
                    <w:tcW w:w="4626" w:type="dxa"/>
                    <w:shd w:val="clear" w:color="auto" w:fill="auto"/>
                    <w:vAlign w:val="center"/>
                  </w:tcPr>
                  <w:p>
                    <w:pPr>
                      <w:rPr>
                        <w:b/>
                        <w:bCs/>
                        <w:sz w:val="20"/>
                        <w:lang w:eastAsia="lt-LT"/>
                      </w:rPr>
                    </w:pPr>
                    <w:r>
                      <w:rPr>
                        <w:b/>
                        <w:bCs/>
                        <w:sz w:val="20"/>
                        <w:lang w:eastAsia="lt-LT"/>
                      </w:rPr>
                      <w:t>APSKAITOS POLITIKOS KEITIMO IR ESMINIŲ APSKAITOS KLAIDŲ TAISYMO ĮTAKA</w:t>
                    </w:r>
                  </w:p>
                </w:tc>
                <w:tc>
                  <w:tcPr>
                    <w:tcW w:w="1134" w:type="dxa"/>
                    <w:shd w:val="clear" w:color="auto" w:fill="auto"/>
                    <w:noWrap/>
                    <w:vAlign w:val="center"/>
                  </w:tcPr>
                  <w:p>
                    <w:pPr>
                      <w:ind w:firstLine="67"/>
                      <w:rPr>
                        <w:rFonts w:ascii="Arial" w:hAnsi="Arial" w:cs="Arial"/>
                        <w:b/>
                        <w:bCs/>
                        <w:sz w:val="20"/>
                        <w:lang w:eastAsia="lt-LT"/>
                      </w:rPr>
                    </w:pPr>
                  </w:p>
                </w:tc>
                <w:tc>
                  <w:tcPr>
                    <w:tcW w:w="1559" w:type="dxa"/>
                    <w:shd w:val="clear" w:color="auto" w:fill="auto"/>
                    <w:noWrap/>
                    <w:vAlign w:val="center"/>
                  </w:tcPr>
                  <w:p>
                    <w:pPr>
                      <w:ind w:firstLine="67"/>
                      <w:rPr>
                        <w:rFonts w:ascii="Arial" w:hAnsi="Arial" w:cs="Arial"/>
                        <w:b/>
                        <w:bCs/>
                        <w:sz w:val="20"/>
                        <w:lang w:eastAsia="lt-LT"/>
                      </w:rPr>
                    </w:pPr>
                  </w:p>
                </w:tc>
                <w:tc>
                  <w:tcPr>
                    <w:tcW w:w="1530" w:type="dxa"/>
                    <w:shd w:val="clear" w:color="auto" w:fill="auto"/>
                    <w:noWrap/>
                    <w:vAlign w:val="center"/>
                  </w:tcPr>
                  <w:p>
                    <w:pPr>
                      <w:ind w:firstLine="67"/>
                      <w:rPr>
                        <w:rFonts w:ascii="Arial" w:hAnsi="Arial" w:cs="Arial"/>
                        <w:b/>
                        <w:bCs/>
                        <w:sz w:val="20"/>
                        <w:lang w:eastAsia="lt-LT"/>
                      </w:rPr>
                    </w:pPr>
                  </w:p>
                </w:tc>
              </w:tr>
              <w:tr>
                <w:trPr>
                  <w:trHeight w:val="315"/>
                </w:trPr>
                <w:tc>
                  <w:tcPr>
                    <w:tcW w:w="898" w:type="dxa"/>
                    <w:shd w:val="clear" w:color="auto" w:fill="auto"/>
                    <w:noWrap/>
                    <w:vAlign w:val="center"/>
                  </w:tcPr>
                  <w:p>
                    <w:pPr>
                      <w:jc w:val="center"/>
                      <w:rPr>
                        <w:b/>
                        <w:bCs/>
                        <w:sz w:val="20"/>
                        <w:lang w:eastAsia="lt-LT"/>
                      </w:rPr>
                    </w:pPr>
                    <w:r>
                      <w:rPr>
                        <w:b/>
                        <w:bCs/>
                        <w:sz w:val="20"/>
                        <w:lang w:eastAsia="lt-LT"/>
                      </w:rPr>
                      <w:t>5.</w:t>
                    </w:r>
                  </w:p>
                </w:tc>
                <w:tc>
                  <w:tcPr>
                    <w:tcW w:w="4626" w:type="dxa"/>
                    <w:shd w:val="clear" w:color="auto" w:fill="auto"/>
                    <w:noWrap/>
                    <w:vAlign w:val="center"/>
                  </w:tcPr>
                  <w:p>
                    <w:pPr>
                      <w:rPr>
                        <w:b/>
                        <w:bCs/>
                        <w:sz w:val="20"/>
                        <w:lang w:eastAsia="lt-LT"/>
                      </w:rPr>
                    </w:pPr>
                    <w:r>
                      <w:rPr>
                        <w:b/>
                        <w:sz w:val="20"/>
                        <w:lang w:eastAsia="lt-LT"/>
                      </w:rPr>
                      <w:t>VALDŽIOS SEKTORIUI PRISKIRIAMŲ ĮMONIŲ REZULTATAS</w:t>
                    </w:r>
                  </w:p>
                </w:tc>
                <w:tc>
                  <w:tcPr>
                    <w:tcW w:w="1134" w:type="dxa"/>
                    <w:shd w:val="clear" w:color="auto" w:fill="auto"/>
                    <w:noWrap/>
                    <w:vAlign w:val="center"/>
                  </w:tcPr>
                  <w:p>
                    <w:pPr>
                      <w:ind w:firstLine="67"/>
                      <w:rPr>
                        <w:rFonts w:ascii="Arial" w:hAnsi="Arial" w:cs="Arial"/>
                        <w:b/>
                        <w:bCs/>
                        <w:sz w:val="20"/>
                        <w:lang w:eastAsia="lt-LT"/>
                      </w:rPr>
                    </w:pPr>
                  </w:p>
                </w:tc>
                <w:tc>
                  <w:tcPr>
                    <w:tcW w:w="1559" w:type="dxa"/>
                    <w:shd w:val="clear" w:color="auto" w:fill="auto"/>
                    <w:noWrap/>
                    <w:vAlign w:val="center"/>
                  </w:tcPr>
                  <w:p>
                    <w:pPr>
                      <w:ind w:firstLine="67"/>
                      <w:rPr>
                        <w:rFonts w:ascii="Arial" w:hAnsi="Arial" w:cs="Arial"/>
                        <w:b/>
                        <w:bCs/>
                        <w:sz w:val="20"/>
                        <w:lang w:eastAsia="lt-LT"/>
                      </w:rPr>
                    </w:pPr>
                  </w:p>
                </w:tc>
                <w:tc>
                  <w:tcPr>
                    <w:tcW w:w="1530" w:type="dxa"/>
                    <w:shd w:val="clear" w:color="auto" w:fill="auto"/>
                    <w:noWrap/>
                    <w:vAlign w:val="center"/>
                  </w:tcPr>
                  <w:p>
                    <w:pPr>
                      <w:ind w:firstLine="67"/>
                      <w:rPr>
                        <w:rFonts w:ascii="Arial" w:hAnsi="Arial" w:cs="Arial"/>
                        <w:b/>
                        <w:bCs/>
                        <w:sz w:val="20"/>
                        <w:lang w:eastAsia="lt-LT"/>
                      </w:rPr>
                    </w:pPr>
                  </w:p>
                </w:tc>
              </w:tr>
              <w:tr>
                <w:trPr>
                  <w:trHeight w:val="315"/>
                </w:trPr>
                <w:tc>
                  <w:tcPr>
                    <w:tcW w:w="898" w:type="dxa"/>
                    <w:shd w:val="clear" w:color="auto" w:fill="auto"/>
                    <w:noWrap/>
                    <w:vAlign w:val="center"/>
                  </w:tcPr>
                  <w:p>
                    <w:pPr>
                      <w:jc w:val="center"/>
                      <w:rPr>
                        <w:b/>
                        <w:bCs/>
                        <w:sz w:val="20"/>
                        <w:lang w:eastAsia="lt-LT"/>
                      </w:rPr>
                    </w:pPr>
                    <w:r>
                      <w:rPr>
                        <w:bCs/>
                        <w:sz w:val="20"/>
                        <w:lang w:eastAsia="lt-LT"/>
                      </w:rPr>
                      <w:t>5.1.</w:t>
                    </w:r>
                  </w:p>
                </w:tc>
                <w:tc>
                  <w:tcPr>
                    <w:tcW w:w="4626" w:type="dxa"/>
                    <w:shd w:val="clear" w:color="auto" w:fill="auto"/>
                    <w:noWrap/>
                    <w:vAlign w:val="center"/>
                  </w:tcPr>
                  <w:p>
                    <w:pPr>
                      <w:rPr>
                        <w:b/>
                        <w:bCs/>
                        <w:sz w:val="20"/>
                        <w:lang w:eastAsia="lt-LT"/>
                      </w:rPr>
                    </w:pPr>
                    <w:r>
                      <w:rPr>
                        <w:sz w:val="20"/>
                        <w:lang w:eastAsia="lt-LT"/>
                      </w:rPr>
                      <w:t>VALDŽIOS SEKTORIUI PRISKIRIAMŲ ĮMONIŲ PAJAMOS</w:t>
                    </w:r>
                  </w:p>
                </w:tc>
                <w:tc>
                  <w:tcPr>
                    <w:tcW w:w="1134" w:type="dxa"/>
                    <w:shd w:val="clear" w:color="auto" w:fill="auto"/>
                    <w:noWrap/>
                    <w:vAlign w:val="center"/>
                  </w:tcPr>
                  <w:p>
                    <w:pPr>
                      <w:ind w:firstLine="67"/>
                      <w:rPr>
                        <w:rFonts w:ascii="Arial" w:hAnsi="Arial" w:cs="Arial"/>
                        <w:b/>
                        <w:bCs/>
                        <w:sz w:val="20"/>
                        <w:lang w:eastAsia="lt-LT"/>
                      </w:rPr>
                    </w:pPr>
                  </w:p>
                </w:tc>
                <w:tc>
                  <w:tcPr>
                    <w:tcW w:w="1559" w:type="dxa"/>
                    <w:shd w:val="clear" w:color="auto" w:fill="auto"/>
                    <w:noWrap/>
                    <w:vAlign w:val="center"/>
                  </w:tcPr>
                  <w:p>
                    <w:pPr>
                      <w:ind w:firstLine="67"/>
                      <w:rPr>
                        <w:rFonts w:ascii="Arial" w:hAnsi="Arial" w:cs="Arial"/>
                        <w:b/>
                        <w:bCs/>
                        <w:sz w:val="20"/>
                        <w:lang w:eastAsia="lt-LT"/>
                      </w:rPr>
                    </w:pPr>
                  </w:p>
                </w:tc>
                <w:tc>
                  <w:tcPr>
                    <w:tcW w:w="1530" w:type="dxa"/>
                    <w:shd w:val="clear" w:color="auto" w:fill="auto"/>
                    <w:noWrap/>
                    <w:vAlign w:val="center"/>
                  </w:tcPr>
                  <w:p>
                    <w:pPr>
                      <w:ind w:firstLine="67"/>
                      <w:rPr>
                        <w:rFonts w:ascii="Arial" w:hAnsi="Arial" w:cs="Arial"/>
                        <w:b/>
                        <w:bCs/>
                        <w:sz w:val="20"/>
                        <w:lang w:eastAsia="lt-LT"/>
                      </w:rPr>
                    </w:pPr>
                  </w:p>
                </w:tc>
              </w:tr>
              <w:tr>
                <w:trPr>
                  <w:trHeight w:val="315"/>
                </w:trPr>
                <w:tc>
                  <w:tcPr>
                    <w:tcW w:w="898" w:type="dxa"/>
                    <w:shd w:val="clear" w:color="auto" w:fill="auto"/>
                    <w:noWrap/>
                    <w:vAlign w:val="center"/>
                  </w:tcPr>
                  <w:p>
                    <w:pPr>
                      <w:jc w:val="center"/>
                      <w:rPr>
                        <w:b/>
                        <w:bCs/>
                        <w:sz w:val="20"/>
                        <w:lang w:eastAsia="lt-LT"/>
                      </w:rPr>
                    </w:pPr>
                    <w:r>
                      <w:rPr>
                        <w:bCs/>
                        <w:sz w:val="20"/>
                        <w:lang w:eastAsia="lt-LT"/>
                      </w:rPr>
                      <w:t>5.2.</w:t>
                    </w:r>
                  </w:p>
                </w:tc>
                <w:tc>
                  <w:tcPr>
                    <w:tcW w:w="4626" w:type="dxa"/>
                    <w:shd w:val="clear" w:color="auto" w:fill="auto"/>
                    <w:noWrap/>
                    <w:vAlign w:val="center"/>
                  </w:tcPr>
                  <w:p>
                    <w:pPr>
                      <w:rPr>
                        <w:b/>
                        <w:bCs/>
                        <w:sz w:val="20"/>
                        <w:lang w:eastAsia="lt-LT"/>
                      </w:rPr>
                    </w:pPr>
                    <w:r>
                      <w:rPr>
                        <w:sz w:val="20"/>
                        <w:lang w:eastAsia="lt-LT"/>
                      </w:rPr>
                      <w:t>VALDŽIOS SEKTORIUI PRISKIRIAMŲ ĮMONIŲ SĄNAUDOS</w:t>
                    </w:r>
                  </w:p>
                </w:tc>
                <w:tc>
                  <w:tcPr>
                    <w:tcW w:w="1134" w:type="dxa"/>
                    <w:shd w:val="clear" w:color="auto" w:fill="auto"/>
                    <w:noWrap/>
                    <w:vAlign w:val="center"/>
                  </w:tcPr>
                  <w:p>
                    <w:pPr>
                      <w:ind w:firstLine="67"/>
                      <w:rPr>
                        <w:rFonts w:ascii="Arial" w:hAnsi="Arial" w:cs="Arial"/>
                        <w:b/>
                        <w:bCs/>
                        <w:sz w:val="20"/>
                        <w:lang w:eastAsia="lt-LT"/>
                      </w:rPr>
                    </w:pPr>
                  </w:p>
                </w:tc>
                <w:tc>
                  <w:tcPr>
                    <w:tcW w:w="1559" w:type="dxa"/>
                    <w:shd w:val="clear" w:color="auto" w:fill="auto"/>
                    <w:noWrap/>
                    <w:vAlign w:val="center"/>
                  </w:tcPr>
                  <w:p>
                    <w:pPr>
                      <w:ind w:firstLine="67"/>
                      <w:rPr>
                        <w:rFonts w:ascii="Arial" w:hAnsi="Arial" w:cs="Arial"/>
                        <w:b/>
                        <w:bCs/>
                        <w:sz w:val="20"/>
                        <w:lang w:eastAsia="lt-LT"/>
                      </w:rPr>
                    </w:pPr>
                  </w:p>
                </w:tc>
                <w:tc>
                  <w:tcPr>
                    <w:tcW w:w="1530" w:type="dxa"/>
                    <w:shd w:val="clear" w:color="auto" w:fill="auto"/>
                    <w:noWrap/>
                    <w:vAlign w:val="center"/>
                  </w:tcPr>
                  <w:p>
                    <w:pPr>
                      <w:ind w:firstLine="67"/>
                      <w:rPr>
                        <w:rFonts w:ascii="Arial" w:hAnsi="Arial" w:cs="Arial"/>
                        <w:b/>
                        <w:bCs/>
                        <w:sz w:val="20"/>
                        <w:lang w:eastAsia="lt-LT"/>
                      </w:rPr>
                    </w:pPr>
                  </w:p>
                </w:tc>
              </w:tr>
              <w:tr>
                <w:trPr>
                  <w:trHeight w:val="96"/>
                </w:trPr>
                <w:tc>
                  <w:tcPr>
                    <w:tcW w:w="898" w:type="dxa"/>
                    <w:shd w:val="clear" w:color="auto" w:fill="auto"/>
                    <w:noWrap/>
                    <w:vAlign w:val="center"/>
                  </w:tcPr>
                  <w:p>
                    <w:pPr>
                      <w:jc w:val="center"/>
                      <w:rPr>
                        <w:b/>
                        <w:bCs/>
                        <w:sz w:val="20"/>
                        <w:lang w:eastAsia="lt-LT"/>
                      </w:rPr>
                    </w:pPr>
                    <w:r>
                      <w:rPr>
                        <w:b/>
                        <w:bCs/>
                        <w:sz w:val="20"/>
                        <w:lang w:eastAsia="lt-LT"/>
                      </w:rPr>
                      <w:t>6.</w:t>
                    </w:r>
                  </w:p>
                </w:tc>
                <w:tc>
                  <w:tcPr>
                    <w:tcW w:w="4626" w:type="dxa"/>
                    <w:shd w:val="clear" w:color="auto" w:fill="auto"/>
                    <w:noWrap/>
                    <w:vAlign w:val="center"/>
                  </w:tcPr>
                  <w:p>
                    <w:pPr>
                      <w:rPr>
                        <w:b/>
                        <w:bCs/>
                        <w:sz w:val="20"/>
                        <w:lang w:eastAsia="lt-LT"/>
                      </w:rPr>
                    </w:pPr>
                    <w:r>
                      <w:rPr>
                        <w:b/>
                        <w:bCs/>
                        <w:sz w:val="20"/>
                        <w:lang w:eastAsia="lt-LT"/>
                      </w:rPr>
                      <w:t>NUOSAVYBĖS METODO ĮTAKA</w:t>
                    </w:r>
                  </w:p>
                </w:tc>
                <w:tc>
                  <w:tcPr>
                    <w:tcW w:w="1134" w:type="dxa"/>
                    <w:shd w:val="clear" w:color="auto" w:fill="auto"/>
                    <w:noWrap/>
                    <w:vAlign w:val="center"/>
                  </w:tcPr>
                  <w:p>
                    <w:pPr>
                      <w:ind w:firstLine="67"/>
                      <w:rPr>
                        <w:rFonts w:ascii="Arial" w:hAnsi="Arial" w:cs="Arial"/>
                        <w:b/>
                        <w:bCs/>
                        <w:sz w:val="20"/>
                        <w:lang w:eastAsia="lt-LT"/>
                      </w:rPr>
                    </w:pPr>
                  </w:p>
                </w:tc>
                <w:tc>
                  <w:tcPr>
                    <w:tcW w:w="1559" w:type="dxa"/>
                    <w:shd w:val="clear" w:color="auto" w:fill="auto"/>
                    <w:noWrap/>
                    <w:vAlign w:val="center"/>
                  </w:tcPr>
                  <w:p>
                    <w:pPr>
                      <w:ind w:firstLine="67"/>
                      <w:rPr>
                        <w:rFonts w:ascii="Arial" w:hAnsi="Arial" w:cs="Arial"/>
                        <w:b/>
                        <w:bCs/>
                        <w:sz w:val="20"/>
                        <w:lang w:eastAsia="lt-LT"/>
                      </w:rPr>
                    </w:pPr>
                  </w:p>
                </w:tc>
                <w:tc>
                  <w:tcPr>
                    <w:tcW w:w="1530" w:type="dxa"/>
                    <w:shd w:val="clear" w:color="auto" w:fill="auto"/>
                    <w:noWrap/>
                    <w:vAlign w:val="center"/>
                  </w:tcPr>
                  <w:p>
                    <w:pPr>
                      <w:ind w:firstLine="67"/>
                      <w:rPr>
                        <w:rFonts w:ascii="Arial" w:hAnsi="Arial" w:cs="Arial"/>
                        <w:b/>
                        <w:bCs/>
                        <w:sz w:val="20"/>
                        <w:lang w:eastAsia="lt-LT"/>
                      </w:rPr>
                    </w:pPr>
                  </w:p>
                </w:tc>
              </w:tr>
              <w:tr>
                <w:trPr>
                  <w:trHeight w:val="315"/>
                </w:trPr>
                <w:tc>
                  <w:tcPr>
                    <w:tcW w:w="898" w:type="dxa"/>
                    <w:shd w:val="clear" w:color="auto" w:fill="auto"/>
                    <w:noWrap/>
                    <w:vAlign w:val="center"/>
                  </w:tcPr>
                  <w:p>
                    <w:pPr>
                      <w:jc w:val="center"/>
                      <w:rPr>
                        <w:b/>
                        <w:bCs/>
                        <w:sz w:val="20"/>
                        <w:lang w:eastAsia="lt-LT"/>
                      </w:rPr>
                    </w:pPr>
                    <w:r>
                      <w:rPr>
                        <w:b/>
                        <w:bCs/>
                        <w:sz w:val="20"/>
                        <w:lang w:eastAsia="lt-LT"/>
                      </w:rPr>
                      <w:t>7.</w:t>
                    </w:r>
                  </w:p>
                </w:tc>
                <w:tc>
                  <w:tcPr>
                    <w:tcW w:w="4626" w:type="dxa"/>
                    <w:shd w:val="clear" w:color="auto" w:fill="auto"/>
                    <w:noWrap/>
                    <w:vAlign w:val="center"/>
                  </w:tcPr>
                  <w:p>
                    <w:pPr>
                      <w:rPr>
                        <w:b/>
                        <w:bCs/>
                        <w:sz w:val="20"/>
                        <w:lang w:eastAsia="lt-LT"/>
                      </w:rPr>
                    </w:pPr>
                    <w:r>
                      <w:rPr>
                        <w:b/>
                        <w:bCs/>
                        <w:sz w:val="20"/>
                        <w:lang w:eastAsia="lt-LT"/>
                      </w:rPr>
                      <w:t>GRYNASIS PERVIRŠIS AR DEFICITAS</w:t>
                    </w:r>
                  </w:p>
                </w:tc>
                <w:tc>
                  <w:tcPr>
                    <w:tcW w:w="1134" w:type="dxa"/>
                    <w:shd w:val="clear" w:color="auto" w:fill="auto"/>
                    <w:noWrap/>
                    <w:vAlign w:val="center"/>
                  </w:tcPr>
                  <w:p>
                    <w:pPr>
                      <w:ind w:firstLine="67"/>
                      <w:rPr>
                        <w:rFonts w:ascii="Arial" w:hAnsi="Arial" w:cs="Arial"/>
                        <w:b/>
                        <w:bCs/>
                        <w:sz w:val="20"/>
                        <w:lang w:eastAsia="lt-LT"/>
                      </w:rPr>
                    </w:pPr>
                  </w:p>
                </w:tc>
                <w:tc>
                  <w:tcPr>
                    <w:tcW w:w="1559" w:type="dxa"/>
                    <w:shd w:val="clear" w:color="auto" w:fill="auto"/>
                    <w:noWrap/>
                    <w:vAlign w:val="center"/>
                  </w:tcPr>
                  <w:p>
                    <w:pPr>
                      <w:ind w:firstLine="67"/>
                      <w:rPr>
                        <w:rFonts w:ascii="Arial" w:hAnsi="Arial" w:cs="Arial"/>
                        <w:b/>
                        <w:bCs/>
                        <w:sz w:val="20"/>
                        <w:lang w:eastAsia="lt-LT"/>
                      </w:rPr>
                    </w:pPr>
                  </w:p>
                </w:tc>
                <w:tc>
                  <w:tcPr>
                    <w:tcW w:w="1530" w:type="dxa"/>
                    <w:shd w:val="clear" w:color="auto" w:fill="auto"/>
                    <w:noWrap/>
                    <w:vAlign w:val="center"/>
                  </w:tcPr>
                  <w:p>
                    <w:pPr>
                      <w:ind w:firstLine="67"/>
                      <w:rPr>
                        <w:rFonts w:ascii="Arial" w:hAnsi="Arial" w:cs="Arial"/>
                        <w:b/>
                        <w:bCs/>
                        <w:sz w:val="20"/>
                        <w:lang w:eastAsia="lt-LT"/>
                      </w:rPr>
                    </w:pPr>
                  </w:p>
                </w:tc>
              </w:tr>
            </w:tbl>
            <w:p/>
            <w:p>
              <w:pPr>
                <w:jc w:val="center"/>
                <w:rPr>
                  <w:szCs w:val="24"/>
                  <w:lang w:eastAsia="lt-LT"/>
                </w:rPr>
              </w:pPr>
              <w:r>
                <w:rPr>
                  <w:szCs w:val="24"/>
                  <w:lang w:eastAsia="lt-LT"/>
                </w:rPr>
                <w:t>______________________________________</w:t>
              </w:r>
            </w:p>
            <w:p/>
          </w:sdtContent>
        </w:sdt>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trPr>
        <w:trHeight w:val="300"/>
      </w:trPr>
      <w:tc>
        <w:tcPr>
          <w:tcW w:w="3210" w:type="dxa"/>
        </w:tcPr>
        <w:p>
          <w:pPr>
            <w:tabs>
              <w:tab w:val="center" w:pos="4819"/>
              <w:tab w:val="right" w:pos="9638"/>
            </w:tabs>
            <w:ind w:left="-115"/>
          </w:pPr>
        </w:p>
      </w:tc>
      <w:tc>
        <w:tcPr>
          <w:tcW w:w="3210" w:type="dxa"/>
        </w:tcPr>
        <w:p>
          <w:pPr>
            <w:tabs>
              <w:tab w:val="center" w:pos="4819"/>
              <w:tab w:val="right" w:pos="9638"/>
            </w:tabs>
            <w:jc w:val="center"/>
          </w:pPr>
        </w:p>
      </w:tc>
      <w:tc>
        <w:tcPr>
          <w:tcW w:w="3210" w:type="dxa"/>
        </w:tcPr>
        <w:p>
          <w:pPr>
            <w:tabs>
              <w:tab w:val="center" w:pos="4819"/>
              <w:tab w:val="right" w:pos="9638"/>
            </w:tabs>
            <w:ind w:right="-115"/>
            <w:jc w:val="right"/>
          </w:pPr>
        </w:p>
      </w:tc>
    </w:tr>
  </w:tbl>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B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4ED12BB-422E-49D4-B6D4-F068520EE82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3173387">
      <w:bodyDiv w:val="1"/>
      <w:marLeft w:val="0"/>
      <w:marRight w:val="0"/>
      <w:marTop w:val="0"/>
      <w:marBottom w:val="0"/>
      <w:divBdr>
        <w:top w:val="none" w:sz="0" w:space="0" w:color="auto"/>
        <w:left w:val="none" w:sz="0" w:space="0" w:color="auto"/>
        <w:bottom w:val="none" w:sz="0" w:space="0" w:color="auto"/>
        <w:right w:val="none" w:sz="0" w:space="0" w:color="auto"/>
      </w:divBdr>
      <w:divsChild>
        <w:div w:id="5791094">
          <w:marLeft w:val="0"/>
          <w:marRight w:val="0"/>
          <w:marTop w:val="0"/>
          <w:marBottom w:val="0"/>
          <w:divBdr>
            <w:top w:val="none" w:sz="0" w:space="0" w:color="auto"/>
            <w:left w:val="none" w:sz="0" w:space="0" w:color="auto"/>
            <w:bottom w:val="none" w:sz="0" w:space="0" w:color="auto"/>
            <w:right w:val="none" w:sz="0" w:space="0" w:color="auto"/>
          </w:divBdr>
          <w:divsChild>
            <w:div w:id="629017566">
              <w:marLeft w:val="0"/>
              <w:marRight w:val="0"/>
              <w:marTop w:val="0"/>
              <w:marBottom w:val="0"/>
              <w:divBdr>
                <w:top w:val="none" w:sz="0" w:space="0" w:color="auto"/>
                <w:left w:val="none" w:sz="0" w:space="0" w:color="auto"/>
                <w:bottom w:val="none" w:sz="0" w:space="0" w:color="auto"/>
                <w:right w:val="none" w:sz="0" w:space="0" w:color="auto"/>
              </w:divBdr>
            </w:div>
            <w:div w:id="1294141540">
              <w:marLeft w:val="0"/>
              <w:marRight w:val="0"/>
              <w:marTop w:val="0"/>
              <w:marBottom w:val="0"/>
              <w:divBdr>
                <w:top w:val="none" w:sz="0" w:space="0" w:color="auto"/>
                <w:left w:val="none" w:sz="0" w:space="0" w:color="auto"/>
                <w:bottom w:val="none" w:sz="0" w:space="0" w:color="auto"/>
                <w:right w:val="none" w:sz="0" w:space="0" w:color="auto"/>
              </w:divBdr>
            </w:div>
          </w:divsChild>
        </w:div>
        <w:div w:id="2056083386">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wmf"/>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8A5DA40B4D25E4BAE4130FD369D64C5" ma:contentTypeVersion="5" ma:contentTypeDescription="Create a new document." ma:contentTypeScope="" ma:versionID="8ca3467c2df9f22e1f03e2f4fab7b999">
  <xsd:schema xmlns:xsd="http://www.w3.org/2001/XMLSchema" xmlns:xs="http://www.w3.org/2001/XMLSchema" xmlns:p="http://schemas.microsoft.com/office/2006/metadata/properties" xmlns:ns2="94936394-26be-427d-b8b7-b12cb207c040" xmlns:ns3="a83dc949-8e3e-4b9b-9943-a9f1b6a40f07" targetNamespace="http://schemas.microsoft.com/office/2006/metadata/properties" ma:root="true" ma:fieldsID="e43ef08c8bc6cc2b154da813fd1391fc" ns2:_="" ns3:_="">
    <xsd:import namespace="94936394-26be-427d-b8b7-b12cb207c040"/>
    <xsd:import namespace="a83dc949-8e3e-4b9b-9943-a9f1b6a40f07"/>
    <xsd:element name="properties">
      <xsd:complexType>
        <xsd:sequence>
          <xsd:element name="documentManagement">
            <xsd:complexType>
              <xsd:all>
                <xsd:element ref="ns2:MediaServiceMetadata" minOccurs="0"/>
                <xsd:element ref="ns2:MediaServiceFastMetadata" minOccurs="0"/>
                <xsd:element ref="ns2:Pastabo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936394-26be-427d-b8b7-b12cb207c04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Pastabos" ma:index="10" nillable="true" ma:displayName="Pastabos" ma:format="Dropdown" ma:internalName="Pastabo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83dc949-8e3e-4b9b-9943-a9f1b6a40f07"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astabos xmlns="94936394-26be-427d-b8b7-b12cb207c040"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4b75261d4fe9440ba5ba7fa5d7988fa6" PartId="36e1a2880dfa4ec1be54da50ff37adfc">
    <Part Type="punktas" Nr="1" Abbr="1 p." DocPartId="e615db358e654efd98b9abbd86199c25" PartId="caeef33e6b30400787f0c8f947f8301d">
      <Part Type="citata" DocPartId="4a4846c4a5bd42bca190cd9a9d742dad" PartId="4c96a30dc9ce40c3bc87db4a45ff7f46">
        <Part Type="pagrindine" DocPartId="e5ada5aa2d1b44f5a6a1c4ff492ab453" PartId="c5a54b47411940f7819fab0ed1e9452c">
          <Part Type="preambule" DocPartId="c7be2b5d19bc4bc48f7480b38454a78c" PartId="2d93781bc7a449c69b250caabec5c15e"/>
          <Part Type="pastraipa" DocPartId="ec5b836af46a4cb4a22a314e5effcee8" PartId="4572dd91c45e41bbbe2dad38d65435fc"/>
        </Part>
      </Part>
    </Part>
    <Part Type="punktas" Nr="2" Abbr="2 p." DocPartId="d42561007fad43648a46b3f6b97aac64" PartId="78d2336cad744ba7adb8c027e3a6c1b8"/>
    <Part Type="signatura" DocPartId="073993facdde42b6a4e49e9fc733f5d5" PartId="0d10281687f44ecf840436b257fe3a2a"/>
  </Part>
  <Part Type="patvirtinta" Title="3-IASIS VIEŠOJO SEKTORIAUS APSKAITOS IR FINANSINĖS ATSKAITOMYBĖS STANDARTAS „VEIKLOS REZULTATŲ ATASKAITA“" DocPartId="63835bdf1e5f45e59aae72f94821a732" PartId="5d761fa92fd34c05a0f7c5217f1dd0ae">
    <Part Type="skyrius" Nr="1" Title="BENDROSIOS NUOSTATOS" DocPartId="93afaa65016a4be288fb41fb551a3284" PartId="0eb7ddde87e44cd6816c44acca6571bf">
      <Part Type="punktas" Nr="1" Abbr="1 p." DocPartId="5418b6474cab49b087e0515b7b238e99" PartId="0c3c93c4f51e46f5aeaf4d783df95aa1"/>
      <Part Type="punktas" Nr="2" Abbr="2 p." DocPartId="29cc37caf06c4ee590d74406635bb4a6" PartId="fa127e99406d49ba99eba95000e70c71"/>
      <Part Type="punktas" Nr="3" Abbr="3 p." DocPartId="25988dec4aee4f1c9a3feaee72104d45" PartId="bb3abec576224f2ea32f2669ae8ece97"/>
      <Part Type="punktas" Nr="4" Abbr="4 p." DocPartId="55ea4a783e5a4fe0ad7bd49a354193dd" PartId="535e1708c0e44717aca5935c3c09bdce">
        <Part Type="papunktis" Nr="4.1" Abbr="4.1 pp." DocPartId="5b3cecf420004e38874ebe331d1c2f4f" PartId="453d4aa1e9084515b10ac4a8b8ae7f1b"/>
        <Part Type="papunktis" Nr="4.2" Abbr="4.2 pp." DocPartId="e11ce182470147dfb45f68d15cf14f0c" PartId="bd8aa90832e04259a4d3536eec161297"/>
      </Part>
    </Part>
    <Part Type="skyrius" Nr="2" Title="INFORMACIJOS PATEIKIMAS ATASKAITOJE IR JOS GRUPAVIMAS" DocPartId="0831df45acb84f60b233382f5f78854e" PartId="3750476d896f4740a07bf300aa6b8bb7">
      <Part Type="punktas" Nr="5" Abbr="5 p." DocPartId="a38f5f0b897948b78b0a4b9c69c562f0" PartId="ab6e61b6046d4e28adb1e4fe985bbc28"/>
      <Part Type="punktas" Nr="6" Abbr="6 p." DocPartId="895f11071684423eb69563254101bcb5" PartId="1fa1bdbe63a24988b35921ba4de9788f"/>
      <Part Type="punktas" Nr="7" Abbr="7 p." DocPartId="6120d8124c884a9e96c1aa912efa733a" PartId="44b30e77f9004970951ecc8975d6a510">
        <Part Type="papunktis" Nr="7.1" Abbr="7.1 pp." DocPartId="871f7ea99726498e89a1a755bdcf6d0c" PartId="d1c9a8020d4847eb97dc6d3bf924a089"/>
        <Part Type="papunktis" Nr="7.2" Abbr="7.2 pp." DocPartId="a351d88164c743e58a722089ff408423" PartId="b2af0e1432174ff8852f929220693691"/>
        <Part Type="papunktis" Nr="7.3" Abbr="7.3 pp." DocPartId="4fa28ce18490411ab103c5649c2f7d6b" PartId="67d0897145b848688606e77c57b8a69f"/>
        <Part Type="papunktis" Nr="7.4" Abbr="7.4 pp." DocPartId="88b95bd61c3b4cee91b7dfbd4ce1e8b6" PartId="dd1acd776b61411c8873a05ca60416a1"/>
        <Part Type="papunktis" Nr="7.5" Abbr="7.5 pp." DocPartId="73a5f73e86e04549bd97e7e75aab2880" PartId="42d5ab1c80904c14ab8f443f99254b0e"/>
      </Part>
    </Part>
    <Part Type="skyrius" Nr="3" Title="ATASKAITOS PAJAMŲ STRAIPSNIŲ PAAIŠKINIMAS" DocPartId="fb5d5174ad444dae921048a88a39add6" PartId="2ecfa45376fa4c8abf22bcb828a79fb1">
      <Part Type="punktas" Nr="8" Abbr="8 p." DocPartId="aa12d1933b174e13ad3215f57b2c5dff" PartId="5d6f9cb0a95e4a92bc700d4aafd668c9">
        <Part Type="papunktis" Nr="8.1" Abbr="8.1 pp." DocPartId="006f17a7f86a445e9e5d8ffd3ebdcfaa" PartId="cea269ef538d41f3bf7557562fd2479e"/>
        <Part Type="papunktis" Nr="8.2" Abbr="8.2 pp." DocPartId="e3c46fc43cb14e6a91c35904be662822" PartId="b0dbd82da6ac451781718bee2c652106"/>
        <Part Type="papunktis" Nr="8.3" Abbr="8.3 pp." DocPartId="0875e20a2788409a8335d8b11f7bdad6" PartId="dab0f6caac7642b8ad46936d355aedab"/>
        <Part Type="papunktis" Nr="8.4" Abbr="8.4 pp." DocPartId="0f0728573caa49389fd7ba82b57d0caa" PartId="c26073619ea94b45958d79d6b792693f"/>
        <Part Type="papunktis" Nr="8.5" Abbr="8.5 pp." DocPartId="66c2b2268834461d88329706da5ed352" PartId="79afc3896f9c4cf59f6e6fafa13de82b"/>
      </Part>
      <Part Type="punktas" Nr="9" Abbr="9 p." DocPartId="d4477274ea08452f8f57ed1ff33f4b91" PartId="9d2e1ac9e8a24c7886a889d5627f46fb">
        <Part Type="papunktis" Nr="9.1" Abbr="9.1 pp." DocPartId="b2e9f400b2674bbcbda32d638de7485d" PartId="1c9f2bb9f43f445191d6f3d97a9b8899"/>
        <Part Type="papunktis" Nr="9.2" Abbr="9.2 pp." DocPartId="8c3d3c0978fc469784e25d57ad21b53f" PartId="4d8836b9c52342cbba81bd3372b21017"/>
        <Part Type="papunktis" Nr="9.3" Abbr="9.3 pp." DocPartId="5c416ba9a0d240d88aa700fa8466ac04" PartId="8913b0963b5e41bdbba1a20dac60c03d"/>
        <Part Type="papunktis" Nr="9.4" Abbr="9.4 pp." DocPartId="3571b9ceabdd439aa903e5a8773275a4" PartId="7ba471b4cf01453893b08a1cebca9da2">
          <Part Type="papunktis" Nr="9.4.1" Abbr="9.4.1 pp." DocPartId="fc2f4332c1da4ef18fd1f16a703c6b00" PartId="1f8f5b4a4f284f53835e2025702df783"/>
          <Part Type="papunktis" Nr="9.4.2" Abbr="9.4.2 pp." DocPartId="946595153ca64075b9ae60a969f1665a" PartId="99362b996e784ccbab9f060c0e139cb6"/>
        </Part>
      </Part>
      <Part Type="punktas" Nr="10" Abbr="10 p." DocPartId="e272c584c6624aa7a57e27feb1869276" PartId="f35a0903b07044f1b0c79c1a9df36548"/>
      <Part Type="punktas" Nr="11" Abbr="11 p." DocPartId="589f11e29ab54f3abf7df214994115c2" PartId="cd85f1bee5e54762a0a313010b8d3e9b">
        <Part Type="papunktis" Nr="11.1" Abbr="11.1 pp." DocPartId="0769bebfcec745a690cef1cf6597cd44" PartId="cb0e8b32ef274916b6fe571138ca6df7"/>
        <Part Type="papunktis" Nr="11.2" Abbr="11.2 pp." DocPartId="17326c151d814cf2b675238464015cd5" PartId="5ca55f247d4b484388cbafc91a8cc3bb"/>
        <Part Type="papunktis" Nr="11.3" Abbr="11.3 pp." DocPartId="4e1ad40113aa46b38e8633cb68ae9807" PartId="fc3a811b0bab4019a48c37dd0474de0d"/>
        <Part Type="papunktis" Nr="11.4" Abbr="11.4 pp." DocPartId="d7feeed8b27048bea120b3036e537e1c" PartId="c7aefe917faf4e228f14f8d642a9ecec"/>
      </Part>
      <Part Type="punktas" Nr="12" Abbr="12 p." DocPartId="b8ebf9fe91d14e6989aba0a7dac2766e" PartId="6d3f72c3b9bf48cf8f205057d81832dd">
        <Part Type="papunktis" Nr="12.1" Abbr="12.1 pp." DocPartId="ddce663b621e47a8be54851540bd2142" PartId="3b756a7342c14fbcaaaa7e57fa597cc7"/>
        <Part Type="papunktis" Nr="12.2" Abbr="12.2 pp." DocPartId="92273574c64c4d6da4e19445575bcb96" PartId="98708118849b48719396e0baefafc97f">
          <Part Type="papunktis" Nr="12.2.1" Abbr="12.2.1 pp." DocPartId="4618bf63ac7a47f0b49887ce61b98199" PartId="c678f71e68e543e3b6395453c015a7cc"/>
          <Part Type="papunktis" Nr="12.2.2" Abbr="12.2.2 pp." DocPartId="6cdb05aa480248268ffe0bf59e118648" PartId="b810827dceb84141b28c1e1c05fa4911"/>
        </Part>
        <Part Type="papunktis" Nr="12.3" Abbr="12.3 pp." DocPartId="3f8af8ccca3f421b8aecfbccb4f57cc2" PartId="388776f4cf8a43dbab5da157b0fb4d9a"/>
        <Part Type="papunktis" Nr="12.4" Abbr="12.4 pp." DocPartId="9038127db92c498a8030f0f378ddeb68" PartId="0ebbf8c891b14ab681d8fbead967abf5">
          <Part Type="papunktis" Nr="12.4.1" Abbr="12.4.1 pp." DocPartId="21061f54a7b943b1bd68ace37445c063" PartId="b47fb5a176584d3f841ca2ee9a29e128"/>
          <Part Type="papunktis" Nr="12.4.2" Abbr="12.4.2 pp." DocPartId="775e6dadcc374696bbbfe93247997754" PartId="6bbbd03024814e78952f7dc64dfaf121"/>
          <Part Type="papunktis" Nr="12.4.3" Abbr="12.4.3 pp." DocPartId="2a843ef1ea714b248d9a46edbaf4f822" PartId="c229f729db734bf5ac1f2a0aa02a70a8"/>
          <Part Type="papunktis" Nr="12.4.4" Abbr="12.4.4 pp." DocPartId="dcda9d6853d94d43ae15bf5ea0dda2b0" PartId="b3a218a6bbec41ee876d7efc1616713d"/>
        </Part>
        <Part Type="papunktis" Nr="12.5" Abbr="12.5 pp." DocPartId="fe0f356b9810434895fb18a3c271b732" PartId="f2860defabca4accb9df7b2a311b750a"/>
        <Part Type="papunktis" Nr="12.6" Abbr="12.6 pp." DocPartId="689265be884c4fc19b12206a2efee1aa" PartId="68dd5f250d2d49b4994cbc624dd6e670"/>
      </Part>
    </Part>
    <Part Type="skyrius" Nr="4" Title="ATASKAITOS SĄNAUDŲ STRAIPSNIŲ PAAIŠKINIMAS" DocPartId="3cd8c73ecf8a44e086d4871e55a9280d" PartId="317a5615545a47b5a48fe9cd997984cd">
      <Part Type="punktas" Nr="13" Abbr="13 p." DocPartId="ae8223c9c1344eb3a23f8ef110bb7aa9" PartId="79511b8baf77433b9d09dad1687ed1c0"/>
      <Part Type="punktas" Nr="14" Abbr="14 p." DocPartId="9dc60163675b4011976c0b8f015500d1" PartId="71d329c3c3544477880a1228bb9f31ac">
        <Part Type="papunktis" Nr="14.1" Abbr="14.1 pp." DocPartId="08d9e808e0bd4cde8b2326c246f73996" PartId="307c54b0fe534be7a2ee0f24e9bd6967">
          <Part Type="papunktis" Nr="14.1.1" Abbr="14.1.1 pp." DocPartId="3fb3b4ebdbc644bfac57d0235eea121c" PartId="87cfa28f8d7944f6b1bb96fc90380ef8"/>
          <Part Type="papunktis" Nr="14.1.2" Abbr="14.1.2 pp." DocPartId="eff1a843f53c4fbcaf45c6f754480fdc" PartId="106d041b976544a688a883e004ece5cd"/>
        </Part>
        <Part Type="papunktis" Nr="14.2" Abbr="14.2 pp." DocPartId="056de6b66ab2464e9d3b758d3553c896" PartId="545f2a03bb8645519887db55f7bccffe">
          <Part Type="papunktis" Nr="14.2.1" Abbr="14.2.1 pp." DocPartId="9948813d580e42d6bc63b02c5ccf67ae" PartId="f59a5f8a935b466cb99994a3f60ff61c"/>
          <Part Type="papunktis" Nr="14.2.2" Abbr="14.2.2 pp." DocPartId="6667011e240e41acb63118454a359ba5" PartId="87f55c0e8e5a471f8b396ced5787eeb5"/>
        </Part>
        <Part Type="papunktis" Nr="14.3" Abbr="14.3 pp." DocPartId="1a5b04109c4b49fb8f09029213444afa" PartId="18a6f9abcce843529971d00d31dfab1e"/>
        <Part Type="papunktis" Nr="14.4" Abbr="14.4 pp." DocPartId="3486373f1b99451c971d30459d970444" PartId="698367d2c056486e95cdd11ef405a6fc"/>
        <Part Type="papunktis" Nr="14.5" Abbr="14.5 pp." DocPartId="7ebd5ce540c74e96aca89501dbbc9726" PartId="865a3d849e054e2c8eb96095c31a0852">
          <Part Type="papunktis" Nr="14.5.1" Abbr="14.5.1 pp." DocPartId="9633ee38dfc4406b85d8103889afce33" PartId="5cffa36b1a154a28824fdaed85ec37d4"/>
          <Part Type="papunktis" Nr="14.5.2" Abbr="14.5.2 pp." DocPartId="7313808d95fa450eb94a0dc00d52c715" PartId="ccf45c2a860e4cbfb76aff4c952306cf"/>
          <Part Type="papunktis" Nr="14.5.3" Abbr="14.5.3 pp." DocPartId="b14aab8ddf5e4c818ceacfd12a286ed1" PartId="905359c19f1649fb822b51e87139ae83"/>
          <Part Type="papunktis" Nr="14.5.4" Abbr="14.5.4 pp." DocPartId="12899700466142f0bc9376dfda9c0924" PartId="71a38b434f7247caa12487c199716975"/>
          <Part Type="papunktis" Nr="14.5.5" Abbr="14.5.5 pp." DocPartId="826b649ea2e04a538ea0ef1d589b468a" PartId="3c30da6ece8347b89bea835b3221728e"/>
        </Part>
        <Part Type="papunktis" Nr="14.6" Abbr="14.6 pp." DocPartId="8a2f2af270d2435ab0e8475821a66bee" PartId="bac821e54e08494aaa5c78b3eabac22b">
          <Part Type="papunktis" Nr="14.6.1" Abbr="14.6.1 pp." DocPartId="fb32881f5f4849a1adc453beb0b767ab" PartId="3466e48c6e974ba3b81c84295d7cefef"/>
          <Part Type="papunktis" Nr="14.6.2" Abbr="14.6.2 pp." DocPartId="0c3286c5622445809f4b158b3ab10ec8" PartId="53565087f2c849efb2e12a8e43f44491"/>
          <Part Type="papunktis" Nr="14.6.3" Abbr="14.6.3 pp." DocPartId="7c1078d0a0e441b88d18a0527ed69141" PartId="6a926ce4dfb147afab94e2133122df35"/>
        </Part>
        <Part Type="papunktis" Nr="14.7" Abbr="14.7 pp." DocPartId="4097051d441549f9ba3a376ffb253898" PartId="5250a3efcc4248369e2b36a8abc74d80"/>
        <Part Type="papunktis" Nr="14.8" Abbr="14.8 pp." DocPartId="ef4237571c384baa91b843ce32302983" PartId="1352e3e3384e498e84fe961f8e001bba">
          <Part Type="papunktis" Nr="14.8.1" Abbr="14.8.1 pp." DocPartId="85fa8c6762cd45b6acafaccee3cb9d50" PartId="456f9f10269047579ea8d8fa351e5178"/>
          <Part Type="papunktis" Nr="14.8.2" Abbr="14.8.2 pp." DocPartId="8d2c9ca8738343f4b53fbe6d63053a1d" PartId="214656c3ddc842c8ba514443f3dc5a81"/>
          <Part Type="papunktis" Nr="14.8.3" Abbr="14.8.3 pp." DocPartId="7632d73cf0474eefa9da266c35d3314d" PartId="aed9b6719e6e439cb7c5c92a016922b5"/>
        </Part>
        <Part Type="papunktis" Nr="14.9" Abbr="14.9 pp." DocPartId="800c3334251d43bc9244e13b3916f609" PartId="10a94ad705c04954aee48ef1cc47b618"/>
      </Part>
    </Part>
    <Part Type="skyrius" Nr="5" Title="REZULTATŲ PATEIKIMAS ATASKAITOJE" DocPartId="478e502cd39c40daacc2cb7fcec02467" PartId="dafe898d69d54f1dafec2827dea25153">
      <Part Type="punktas" Nr="15" Abbr="15 p." DocPartId="10aa65639073469f8e21c72c8eb0b4a9" PartId="9e05497cd5124649a030b308cc8a528c">
        <Part Type="papunktis" Nr="15.1" Abbr="15.1 pp." DocPartId="5de521f7cadd4d93915e7ebc41b5c640" PartId="2ed7f1fe50ab46ecb8350e21ada68ece"/>
        <Part Type="papunktis" Nr="15.2" Abbr="15.2 pp." DocPartId="ed246287bd6d40afbff4c0bd82ce2092" PartId="abc0a5c7c68944edbfe1ac152371c824"/>
        <Part Type="papunktis" Nr="15.3" Abbr="15.3 pp." DocPartId="19e19587451b400fb0d018190c82e96a" PartId="25af4230b42f4abeab7b59477c1b4967"/>
        <Part Type="papunktis" Nr="15.4" Abbr="15.4 pp." DocPartId="4790265cf1514313b75ba48be72d75c0" PartId="d69505fa9257462e95e49dc0ad7605a3"/>
        <Part Type="papunktis" Nr="15.5" Abbr="15.5 pp." DocPartId="611c2b23490d4f99983d209bbaf2d3db" PartId="d6a102e73a6e4b0cbb2b9ddd0edb3eab"/>
      </Part>
      <Part Type="punktas" Nr="16" Abbr="16 p." DocPartId="114a1912f2fe44a2a5b6d1515d9b142f" PartId="5760dff3f61b4fdfb1e8a57ae5dce22d"/>
      <Part Type="punktas" Nr="17" Abbr="17 p." DocPartId="7715f97f2317489e8634b8787b5c8cb8" PartId="cf2101e43fa54270992163fecb6accd5"/>
      <Part Type="punktas" Nr="18" Abbr="18 p." DocPartId="3727a946cd3b41d088973d08d2e51b1c" PartId="daea322efca84ac7a34c1ed9ac463d5d"/>
      <Part Type="punktas" Nr="19" Abbr="19 p." DocPartId="a1d48f6d0edd47868914c633a2573698" PartId="83ea9314e5c44a8d854ae3c0c524521b">
        <Part Type="papunktis" Nr="19.1" Abbr="19.1 pp." DocPartId="b7522f8fa67e4f9facf8aa26f57d58ca" PartId="7d8a0d5aea684309aed4d4a4234ab94c"/>
        <Part Type="papunktis" Nr="19.2" Abbr="19.2 pp." DocPartId="c25b93a5148a42bdb113a9bcc50c3a84" PartId="045b52add69642c3be7ecb8c3c3a3533"/>
      </Part>
      <Part Type="punktas" Nr="20" Abbr="20 p." DocPartId="3c3d38b734f943ac9c97499295a2b40f" PartId="e94479dcc58d444190dbe6379175eb2c"/>
      <Part Type="punktas" Nr="21" Abbr="21 p." DocPartId="b26727a3a92f4aafbd5567b77fdc5894" PartId="bd21733ff70b42b0bc7571b09a0c8f9b"/>
      <Part Type="punktas" Nr="22" Abbr="22 p." DocPartId="50c5e3647f0746d2a762b881f783b6d4" PartId="766e64267ef8464d94eb4a8435d1c986">
        <Part Type="papunktis" Nr="22.1" Abbr="22.1 pp." DocPartId="301f89ed29614015b974eb2cd2a6770e" PartId="206d351d544347f785ce4d648a8cb673"/>
        <Part Type="papunktis" Nr="22.2" Abbr="22.2 pp." DocPartId="59809df2c42d477d8ccac45915a21c53" PartId="ad1c635da21e4dd68a52a98528ac64c6"/>
      </Part>
    </Part>
    <Part Type="skyrius" Nr="6" Title="INFORMACIJOS PATEIKIMAS FINANSINIŲ ATASKAITŲ AIŠKINAMAJAME RAŠTE" DocPartId="4cc748ba4f60416aa622b948b1942f69" PartId="cfa5bb918c6a481dbdfecea27b4a9144">
      <Part Type="punktas" Nr="23" Abbr="23 p." DocPartId="66d8332d7cd741c8a78194fdded147f3" PartId="37940289276e4dbe9c36fc7907a1ab58"/>
      <Part Type="punktas" Nr="24" Abbr="24 p." DocPartId="fe879ee127414332b5ee22c133b1e97d" PartId="fb39782be20e4d94a4d83889682012f5"/>
    </Part>
  </Part>
  <Part Type="priedas" Nr="1" Abbr="1 pr." Title="(Veiklos rezultatų ataskaitos forma)" DocPartId="fc7bc85d077144efb18952ed09fb6b19" PartId="767d85feddec41ee9264e1fe578abf3b">
    <Part Type="skirsnis" Title="VEIKLOS REZULTATŲ ATASKAITA PAGAL 20___M._________D. DUOMENIS" DocPartId="4cde7b025b6e4580970e3eb8f04eef32" PartId="20f2a2075534487c85f1e4b1a9529160"/>
  </Part>
  <Part Type="priedas" Nr="2" Abbr="2 pr." Title="(Veiklos rezultatų ataskaitos forma)" DocPartId="7ce4450d89c5425294454444064115a0" PartId="ca35c838653e4b88a4922493732a798f">
    <Part Type="skirsnis" Title="VEIKLOS REZULTATŲ ATASKAITA PAGAL 20___M._________D. DUOMENIS" DocPartId="47ffd7906a7d4b96b15ce188b6485076" PartId="fa701f962239466a9b2a94f0e5dde7cb"/>
  </Part>
  <Part Type="priedas" Nr="3" Abbr="3 pr." Title="(Valstybės veiklos rezultatų ataskaitos forma)" DocPartId="71b88227b4794366b954025471b95e58" PartId="658690fe48674c098d4feb863290d820">
    <Part Type="skirsnis" Title="VALSTYBĖS VEIKLOS REZULTATŲ ATASKAITA PAGAL 20___M._________D. DUOMENIS" DocPartId="ab882a6c77314f6e90a27477acfefc59" PartId="e15fa6db021c46749fab26a8d2dcfefe"/>
  </Part>
  <Part Type="priedas" Nr="4" Abbr="4 pr." Title="(Savivaldybės veiklos rezultatų ataskaitos forma)" DocPartId="0430d615e82e441389da521904c07160" PartId="da1167016821413da8e386cdbb0b28d4">
    <Part Type="skirsnis" Title="SAVIVALDYBĖS VEIKLOS REZULTATŲ ATASKAITA PAGAL 20___M._________D. DUOMENIS" DocPartId="a10c00b7c343470bb0c934e5887cc290" PartId="e82ab6a0bdc84ba7b4367c352768c1a4"/>
  </Part>
  <Part Type="priedas" Nr="5" Abbr="5 pr." Title="(Nacionalinės veiklos rezultatų ataskaitos forma)" DocPartId="6c29df643788457f8bf4d6e8ad5f0844" PartId="bf6f30ec85fe45bfac061e43c32df49a">
    <Part Type="skirsnis" Title="NACIONALINĖ VEIKLOS REZULTATŲ ATASKAITA PAGAL 20___M._________D. DUOMENIS" DocPartId="4b371c5fc5fb4c2988f566da9de2a17a" PartId="c13be0440d404c8cbcc1caf9c5907404"/>
  </Part>
</Parts>
</file>

<file path=customXml/itemProps1.xml><?xml version="1.0" encoding="utf-8"?>
<ds:datastoreItem xmlns:ds="http://schemas.openxmlformats.org/officeDocument/2006/customXml" ds:itemID="{2904C822-C2B6-4EA9-A5DF-FD3DA5859A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936394-26be-427d-b8b7-b12cb207c040"/>
    <ds:schemaRef ds:uri="a83dc949-8e3e-4b9b-9943-a9f1b6a40f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E531A50-84FB-41A1-90E7-0B59264B8F23}">
  <ds:schemaRefs>
    <ds:schemaRef ds:uri="http://schemas.microsoft.com/office/2006/metadata/properties"/>
    <ds:schemaRef ds:uri="http://schemas.microsoft.com/office/infopath/2007/PartnerControls"/>
    <ds:schemaRef ds:uri="94936394-26be-427d-b8b7-b12cb207c040"/>
  </ds:schemaRefs>
</ds:datastoreItem>
</file>

<file path=customXml/itemProps3.xml><?xml version="1.0" encoding="utf-8"?>
<ds:datastoreItem xmlns:ds="http://schemas.openxmlformats.org/officeDocument/2006/customXml" ds:itemID="{0AEE3D0E-9C39-40F8-912A-6B850D72F8DE}">
  <ds:schemaRefs>
    <ds:schemaRef ds:uri="http://schemas.microsoft.com/sharepoint/v3/contenttype/forms"/>
  </ds:schemaRefs>
</ds:datastoreItem>
</file>

<file path=customXml/itemProps4.xml><?xml version="1.0" encoding="utf-8"?>
<ds:datastoreItem xmlns:ds="http://schemas.openxmlformats.org/officeDocument/2006/customXml" ds:itemID="{18C28056-463D-4E81-9748-90D9648F26D9}">
  <ds:schemaRefs>
    <ds:schemaRef ds:uri="http://schemas.openxmlformats.org/officeDocument/2006/bibliography"/>
  </ds:schemaRefs>
</ds:datastoreItem>
</file>

<file path=customXml/itemProps5.xml><?xml version="1.0" encoding="utf-8"?>
<ds:datastoreItem xmlns:ds="http://schemas.openxmlformats.org/officeDocument/2006/customXml" ds:itemID="{A5FB25EF-E6CF-45A6-BAF1-067099B9BA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4942</Words>
  <Characters>35736</Characters>
  <Application>Microsoft Office Word</Application>
  <DocSecurity>4</DocSecurity>
  <Lines>1880</Lines>
  <Paragraphs>813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39865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2024-11-28T06:35:00Z</dcterms:created>
  <dc:creator>Aistė Gelusevičiūtė</dc:creator>
  <lastModifiedBy>adlibuser</lastModifiedBy>
  <lastPrinted>2023-11-03T06:02:00Z</lastPrinted>
  <dcterms:modified xsi:type="dcterms:W3CDTF">2024-11-28T06:35:00Z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0x01010028A5DA40B4D25E4BAE4130FD369D64C5</vt:lpwstr>
  </property>
</Properties>
</file>