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66ce51b523f41fd94d4b3ce8a0c1c62"/>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rPr>
              <w:b/>
              <w:bCs/>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caps/>
              <w:szCs w:val="24"/>
            </w:rPr>
          </w:pPr>
          <w:r>
            <w:rPr>
              <w:b/>
              <w:bCs/>
              <w:szCs w:val="24"/>
            </w:rPr>
            <w:t xml:space="preserve">DĖL </w:t>
          </w:r>
          <w:r>
            <w:rPr>
              <w:b/>
              <w:szCs w:val="24"/>
            </w:rPr>
            <w:t>PRITARIMO</w:t>
          </w:r>
          <w:r>
            <w:rPr>
              <w:b/>
              <w:bCs/>
              <w:szCs w:val="24"/>
            </w:rPr>
            <w:t xml:space="preserve"> PROJEKTO </w:t>
          </w:r>
          <w:r>
            <w:rPr>
              <w:b/>
              <w:bCs/>
              <w:caps/>
              <w:szCs w:val="24"/>
            </w:rPr>
            <w:t xml:space="preserve">„ANTANIŠKIŲ MIŠKO pritaikymas lankymui“ </w:t>
          </w:r>
          <w:r>
            <w:rPr>
              <w:b/>
              <w:bCs/>
              <w:szCs w:val="24"/>
            </w:rPr>
            <w:t xml:space="preserve">ĮGYVENDINIMUI IR LĖŠŲ </w:t>
          </w:r>
          <w:r>
            <w:rPr>
              <w:b/>
              <w:bCs/>
              <w:caps/>
              <w:szCs w:val="24"/>
            </w:rPr>
            <w:t>skyrimo</w:t>
          </w:r>
        </w:p>
        <w:p>
          <w:pPr>
            <w:jc w:val="center"/>
            <w:rPr>
              <w:b/>
              <w:bCs/>
              <w:szCs w:val="24"/>
            </w:rPr>
          </w:pPr>
        </w:p>
        <w:p>
          <w:pPr>
            <w:jc w:val="center"/>
            <w:rPr>
              <w:szCs w:val="24"/>
            </w:rPr>
          </w:pPr>
          <w:r>
            <w:rPr>
              <w:szCs w:val="24"/>
            </w:rPr>
            <w:t xml:space="preserve">2025 m.                         d. Nr. T-</w:t>
          </w:r>
        </w:p>
        <w:p>
          <w:pPr>
            <w:jc w:val="center"/>
            <w:rPr>
              <w:szCs w:val="24"/>
            </w:rPr>
          </w:pPr>
          <w:r>
            <w:rPr>
              <w:szCs w:val="24"/>
            </w:rPr>
            <w:t>Radviliškis</w:t>
          </w:r>
        </w:p>
        <w:p>
          <w:pPr>
            <w:jc w:val="both"/>
            <w:rPr>
              <w:szCs w:val="24"/>
            </w:rPr>
          </w:pPr>
        </w:p>
        <w:sdt>
          <w:sdtPr>
            <w:alias w:val="preambule"/>
            <w:tag w:val="part_0bb0cc6f10784178924dac22b1811eef"/>
            <w:lock w:val="sdtLocked"/>
            <w:richText/>
          </w:sdtPr>
          <w:sdtContent>
            <w:p>
              <w:pPr>
                <w:ind w:firstLine="709"/>
                <w:jc w:val="both"/>
                <w:rPr>
                  <w:szCs w:val="24"/>
                </w:rPr>
              </w:pPr>
              <w:r>
                <w:rPr>
                  <w:szCs w:val="24"/>
                </w:rPr>
                <w:t xml:space="preserve">Vadovaudamasi Lietuvos Respublikos vietos savivaldos įstatymo 15 straipsnio 4 dalimi, 2022–2030 m. Šiaulių regiono plėtros planu, patvirtintu Šiaulių regiono plėtros tarybos 2025 m. balandžio 18 d. sprendimu Nr. ŠR/TS-5 „Dėl Šiaulių regiono plėtros tarybos 2023 m. vasario 8 d. sprendimo Nr. ŠR/TS-6 „Dėl 2022–2030 metų Šiaulių regiono plėtros plano patvirtinimo“ pakeitimo“ (toliau – Šiaulių RPP), Regioninės pažangos priemonės 01-004-07-01-01 (RE) „Paskatinti regionų, funkcinių zonų, savivaldybių ir miestų  ekonominį augimą pasitelkiant jų turimus išteklius“ finansavimo gairėmis, patvirtintomis Lietuvos Respublikos vidaus reikalų ministro 2023 m. balandžio 4 d. įsakymu Nr. 1V-188 „Dėl regioninės pažangos priemonės 01-004-07-01-01 (RE) „Paskatinti regionų, funkcinių zonų, savivaldybių ir miestų  ekonominį augimą pasitelkiant jų turimus išteklius“ finansavimo gairių patvirtinimo“ (toliau – Gairės), Radviliškio rajono savivaldybės taryba </w:t>
              </w:r>
              <w:r>
                <w:rPr>
                  <w:spacing w:val="50"/>
                  <w:szCs w:val="24"/>
                </w:rPr>
                <w:t>nusprendži</w:t>
              </w:r>
              <w:r>
                <w:rPr>
                  <w:szCs w:val="24"/>
                </w:rPr>
                <w:t>a:</w:t>
              </w:r>
            </w:p>
          </w:sdtContent>
        </w:sdt>
        <w:sdt>
          <w:sdtPr>
            <w:alias w:val="1 p."/>
            <w:tag w:val="part_c56484911eba4c00bb6eab44ef910c86"/>
            <w:lock w:val="sdtLocked"/>
            <w:richText/>
          </w:sdtPr>
          <w:sdtContent>
            <w:p>
              <w:pPr>
                <w:tabs>
                  <w:tab w:val="left" w:pos="993"/>
                </w:tabs>
                <w:ind w:firstLine="709"/>
                <w:jc w:val="both"/>
                <w:rPr>
                  <w:szCs w:val="24"/>
                </w:rPr>
              </w:pPr>
              <w:sdt>
                <w:sdtPr>
                  <w:alias w:val="Numeris"/>
                  <w:tag w:val="nr_c56484911eba4c00bb6eab44ef910c86"/>
                  <w:lock w:val="sdtLocked"/>
                  <w:richText/>
                </w:sdtPr>
                <w:sdtContent>
                  <w:r>
                    <w:rPr>
                      <w:szCs w:val="24"/>
                    </w:rPr>
                    <w:t>1</w:t>
                  </w:r>
                </w:sdtContent>
              </w:sdt>
              <w:r>
                <w:rPr>
                  <w:szCs w:val="24"/>
                </w:rPr>
                <w:t>.</w:t>
                <w:tab/>
                <w:t>Pritarti, kad Radviliškio rajono savivaldybės administracija, gavusi finansavimą, įgyvendintų projektą „Antaniškiu miško pritaikymas lankymui“ (toliau – Projektas).</w:t>
              </w:r>
            </w:p>
          </w:sdtContent>
        </w:sdt>
        <w:sdt>
          <w:sdtPr>
            <w:alias w:val="2 p."/>
            <w:tag w:val="part_710d1034ff584f90b6d065d4e992b45b"/>
            <w:lock w:val="sdtLocked"/>
            <w:richText/>
          </w:sdtPr>
          <w:sdtContent>
            <w:p>
              <w:pPr>
                <w:tabs>
                  <w:tab w:val="left" w:pos="993"/>
                </w:tabs>
                <w:ind w:firstLine="709"/>
                <w:jc w:val="both"/>
                <w:rPr>
                  <w:szCs w:val="24"/>
                </w:rPr>
              </w:pPr>
              <w:sdt>
                <w:sdtPr>
                  <w:alias w:val="Numeris"/>
                  <w:tag w:val="nr_710d1034ff584f90b6d065d4e992b45b"/>
                  <w:lock w:val="sdtLocked"/>
                  <w:richText/>
                </w:sdtPr>
                <w:sdtContent>
                  <w:r>
                    <w:rPr>
                      <w:szCs w:val="24"/>
                    </w:rPr>
                    <w:t>2</w:t>
                  </w:r>
                </w:sdtContent>
              </w:sdt>
              <w:r>
                <w:rPr>
                  <w:szCs w:val="24"/>
                </w:rPr>
                <w:t>.</w:t>
                <w:tab/>
                <w:t>Įgalioti Radviliškio rajono savivaldybės administracijos direktorių pasirašyti ir pateikti Projekto įgyvendinimo planą (toliau – PĮP) bei kitus reikalingus dokumentus, siekiant gauti finansavimą bei, projektui gavus finansavimą, pasirašyti kitus dokumentus, reikalingus Projekto įgyvendinimui.</w:t>
              </w:r>
            </w:p>
          </w:sdtContent>
        </w:sdt>
        <w:sdt>
          <w:sdtPr>
            <w:alias w:val="3 p."/>
            <w:tag w:val="part_89e2e5603ee541a2b4b94515388d01b6"/>
            <w:lock w:val="sdtLocked"/>
            <w:richText/>
          </w:sdtPr>
          <w:sdtContent>
            <w:p>
              <w:pPr>
                <w:tabs>
                  <w:tab w:val="left" w:pos="993"/>
                </w:tabs>
                <w:ind w:firstLine="709"/>
                <w:jc w:val="both"/>
                <w:rPr>
                  <w:szCs w:val="24"/>
                </w:rPr>
              </w:pPr>
              <w:sdt>
                <w:sdtPr>
                  <w:alias w:val="Numeris"/>
                  <w:tag w:val="nr_89e2e5603ee541a2b4b94515388d01b6"/>
                  <w:lock w:val="sdtLocked"/>
                  <w:richText/>
                </w:sdtPr>
                <w:sdtContent>
                  <w:r>
                    <w:rPr>
                      <w:szCs w:val="24"/>
                    </w:rPr>
                    <w:t>3</w:t>
                  </w:r>
                </w:sdtContent>
              </w:sdt>
              <w:r>
                <w:rPr>
                  <w:szCs w:val="24"/>
                </w:rPr>
                <w:t>.</w:t>
                <w:tab/>
                <w:t xml:space="preserve">Įsipareigoti skirti Radviliškio rajono savivaldybės biudžeto lėšas Projekto išlaidų finansavimui: </w:t>
              </w:r>
            </w:p>
            <w:sdt>
              <w:sdtPr>
                <w:alias w:val="3.1 pp."/>
                <w:tag w:val="part_1c02052df0714b49bdddcb11e81c1c01"/>
                <w:lock w:val="sdtLocked"/>
                <w:richText/>
              </w:sdtPr>
              <w:sdtContent>
                <w:p>
                  <w:pPr>
                    <w:tabs>
                      <w:tab w:val="left" w:pos="993"/>
                    </w:tabs>
                    <w:ind w:left="709"/>
                    <w:jc w:val="both"/>
                    <w:rPr>
                      <w:szCs w:val="24"/>
                    </w:rPr>
                  </w:pPr>
                  <w:sdt>
                    <w:sdtPr>
                      <w:alias w:val="Numeris"/>
                      <w:tag w:val="nr_1c02052df0714b49bdddcb11e81c1c01"/>
                      <w:lock w:val="sdtLocked"/>
                      <w:richText/>
                    </w:sdtPr>
                    <w:sdtContent>
                      <w:r>
                        <w:rPr>
                          <w:szCs w:val="24"/>
                        </w:rPr>
                        <w:t>3.1</w:t>
                      </w:r>
                    </w:sdtContent>
                  </w:sdt>
                  <w:r>
                    <w:rPr>
                      <w:szCs w:val="24"/>
                    </w:rPr>
                    <w:t xml:space="preserve">. ne mažiau 15 procentų visų tinkamų finansuoti išlaidų; </w:t>
                  </w:r>
                </w:p>
              </w:sdtContent>
            </w:sdt>
            <w:sdt>
              <w:sdtPr>
                <w:alias w:val="3.2 pp."/>
                <w:tag w:val="part_db43f1e477ab477da248bf7b75f4efd9"/>
                <w:lock w:val="sdtLocked"/>
                <w:richText/>
              </w:sdtPr>
              <w:sdtContent>
                <w:p>
                  <w:pPr>
                    <w:tabs>
                      <w:tab w:val="left" w:pos="993"/>
                    </w:tabs>
                    <w:ind w:left="709"/>
                    <w:jc w:val="both"/>
                    <w:rPr>
                      <w:szCs w:val="24"/>
                    </w:rPr>
                  </w:pPr>
                  <w:sdt>
                    <w:sdtPr>
                      <w:alias w:val="Numeris"/>
                      <w:tag w:val="nr_db43f1e477ab477da248bf7b75f4efd9"/>
                      <w:lock w:val="sdtLocked"/>
                      <w:richText/>
                    </w:sdtPr>
                    <w:sdtContent>
                      <w:r>
                        <w:rPr>
                          <w:szCs w:val="24"/>
                        </w:rPr>
                        <w:t>3.2</w:t>
                      </w:r>
                    </w:sdtContent>
                  </w:sdt>
                  <w:r>
                    <w:rPr>
                      <w:szCs w:val="24"/>
                    </w:rPr>
                    <w:t>. tinkamas finansuoti išlaidas, kurių nepadengia projektui skirtos finansavimo lėšos;</w:t>
                  </w:r>
                </w:p>
              </w:sdtContent>
            </w:sdt>
            <w:sdt>
              <w:sdtPr>
                <w:alias w:val="3.3 pp."/>
                <w:tag w:val="part_89e8d77d439b42388fcfc719e1ac8748"/>
                <w:lock w:val="sdtLocked"/>
                <w:richText/>
              </w:sdtPr>
              <w:sdtContent>
                <w:p>
                  <w:pPr>
                    <w:tabs>
                      <w:tab w:val="left" w:pos="993"/>
                    </w:tabs>
                    <w:ind w:left="709"/>
                    <w:jc w:val="both"/>
                    <w:rPr>
                      <w:szCs w:val="24"/>
                    </w:rPr>
                  </w:pPr>
                  <w:sdt>
                    <w:sdtPr>
                      <w:alias w:val="Numeris"/>
                      <w:tag w:val="nr_89e8d77d439b42388fcfc719e1ac8748"/>
                      <w:lock w:val="sdtLocked"/>
                      <w:richText/>
                    </w:sdtPr>
                    <w:sdtContent>
                      <w:r>
                        <w:rPr>
                          <w:szCs w:val="24"/>
                        </w:rPr>
                        <w:t>3.3</w:t>
                      </w:r>
                    </w:sdtContent>
                  </w:sdt>
                  <w:r>
                    <w:rPr>
                      <w:szCs w:val="24"/>
                    </w:rPr>
                    <w:t>. netinkamas finansuoti, tačiau šiam Projektui įgyvendinti būtinas išlaidas.</w:t>
                  </w:r>
                </w:p>
              </w:sdtContent>
            </w:sdt>
          </w:sdtContent>
        </w:sdt>
        <w:sdt>
          <w:sdtPr>
            <w:alias w:val="4 p."/>
            <w:tag w:val="part_7020b74c8b4044328aad504aaf3f3d5e"/>
            <w:lock w:val="sdtLocked"/>
            <w:richText/>
          </w:sdtPr>
          <w:sdtContent>
            <w:p>
              <w:pPr>
                <w:tabs>
                  <w:tab w:val="left" w:pos="993"/>
                </w:tabs>
                <w:ind w:firstLine="709"/>
                <w:jc w:val="both"/>
                <w:rPr>
                  <w:szCs w:val="24"/>
                </w:rPr>
              </w:pPr>
              <w:sdt>
                <w:sdtPr>
                  <w:alias w:val="Numeris"/>
                  <w:tag w:val="nr_7020b74c8b4044328aad504aaf3f3d5e"/>
                  <w:lock w:val="sdtLocked"/>
                  <w:richText/>
                </w:sdtPr>
                <w:sdtContent>
                  <w:r>
                    <w:rPr>
                      <w:szCs w:val="24"/>
                    </w:rPr>
                    <w:t>4</w:t>
                  </w:r>
                </w:sdtContent>
              </w:sdt>
              <w:r>
                <w:rPr>
                  <w:szCs w:val="24"/>
                </w:rPr>
                <w:t>. Užtikrinti Projekto tęstinumą 5 metus po Projekto įgyvendinimo pabaigos.</w:t>
              </w:r>
            </w:p>
          </w:sdtContent>
        </w:sdt>
        <w:sdt>
          <w:sdtPr>
            <w:alias w:val="5 p."/>
            <w:tag w:val="part_1f74ab94b48649bba5c89a79bf12c4b5"/>
            <w:lock w:val="sdtLocked"/>
            <w:richText/>
          </w:sdtPr>
          <w:sdtContent>
            <w:p>
              <w:pPr>
                <w:tabs>
                  <w:tab w:val="left" w:pos="993"/>
                </w:tabs>
                <w:ind w:firstLine="709"/>
                <w:jc w:val="both"/>
                <w:rPr>
                  <w:szCs w:val="24"/>
                </w:rPr>
              </w:pPr>
              <w:sdt>
                <w:sdtPr>
                  <w:alias w:val="Numeris"/>
                  <w:tag w:val="nr_1f74ab94b48649bba5c89a79bf12c4b5"/>
                  <w:lock w:val="sdtLocked"/>
                  <w:richText/>
                </w:sdtPr>
                <w:sdtContent>
                  <w:r>
                    <w:rPr>
                      <w:szCs w:val="24"/>
                    </w:rPr>
                    <w:t>5</w:t>
                  </w:r>
                </w:sdtContent>
              </w:sdt>
              <w:r>
                <w:rPr>
                  <w:szCs w:val="24"/>
                </w:rPr>
                <w:t>.</w:t>
                <w:tab/>
                <w:t>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jc w:val="both"/>
                <w:rPr>
                  <w:szCs w:val="24"/>
                </w:rPr>
              </w:pPr>
            </w:p>
            <w:p>
              <w:pPr>
                <w:jc w:val="both"/>
                <w:rPr>
                  <w:szCs w:val="24"/>
                </w:rPr>
              </w:pPr>
            </w:p>
            <w:p>
              <w:pPr>
                <w:jc w:val="both"/>
                <w:rPr>
                  <w:szCs w:val="24"/>
                </w:rPr>
              </w:pPr>
            </w:p>
            <w:p>
              <w:pPr>
                <w:tabs>
                  <w:tab w:val="left" w:pos="7560"/>
                </w:tabs>
                <w:rPr>
                  <w:szCs w:val="24"/>
                </w:rPr>
              </w:pPr>
              <w:r>
                <w:rPr>
                  <w:szCs w:val="24"/>
                </w:rPr>
                <w:t xml:space="preserve">Savivaldybės meras                                                                                           </w:t>
              </w:r>
            </w:p>
            <w:p>
              <w:pPr>
                <w:rPr>
                  <w:szCs w:val="24"/>
                </w:rPr>
              </w:pPr>
              <w:r>
                <w:rPr>
                  <w:szCs w:val="24"/>
                </w:rPr>
                <w:br w:type="page"/>
              </w:r>
            </w:p>
          </w:sdtContent>
        </w:sdt>
        <w:sdt>
          <w:sdtPr>
            <w:alias w:val="skirsnis"/>
            <w:tag w:val="part_534cbdc54d7244228f68a36d283219fa"/>
            <w:lock w:val="sdtLocked"/>
            <w:richText/>
          </w:sdtPr>
          <w:sdtContent>
            <w:sdt>
              <w:sdtPr>
                <w:alias w:val="Pavadinimas"/>
                <w:tag w:val="title_534cbdc54d7244228f68a36d283219fa"/>
                <w:lock w:val="sdtLocked"/>
                <w:richText/>
              </w:sdtPr>
              <w:sdtContent>
                <w:p>
                  <w:pPr>
                    <w:jc w:val="center"/>
                    <w:rPr>
                      <w:b/>
                      <w:szCs w:val="24"/>
                    </w:rPr>
                  </w:pPr>
                  <w:r>
                    <w:rPr>
                      <w:b/>
                      <w:szCs w:val="24"/>
                    </w:rPr>
                    <w:t xml:space="preserve">RADVILIŠKIO RAJONO SAVIVALDYBĖS TARYBOS SPRENDIMO </w:t>
                  </w:r>
                </w:p>
                <w:p>
                  <w:pPr>
                    <w:jc w:val="center"/>
                    <w:rPr>
                      <w:b/>
                      <w:bCs/>
                      <w:caps/>
                      <w:szCs w:val="24"/>
                    </w:rPr>
                  </w:pPr>
                  <w:r>
                    <w:rPr>
                      <w:b/>
                      <w:szCs w:val="24"/>
                    </w:rPr>
                    <w:t xml:space="preserve">„DĖL PRITARIMO PROJEKTO </w:t>
                  </w:r>
                  <w:r>
                    <w:rPr>
                      <w:b/>
                      <w:bCs/>
                      <w:caps/>
                      <w:szCs w:val="24"/>
                    </w:rPr>
                    <w:t>„ANTANIŠKIŲ MIŠKO pritaikymas lankymui“</w:t>
                  </w:r>
                  <w:r>
                    <w:rPr>
                      <w:b/>
                      <w:bCs/>
                      <w:szCs w:val="24"/>
                    </w:rPr>
                    <w:t xml:space="preserve"> ĮGYVENDINIMUI IR LĖŠŲ </w:t>
                  </w:r>
                  <w:r>
                    <w:rPr>
                      <w:b/>
                      <w:bCs/>
                      <w:caps/>
                      <w:szCs w:val="24"/>
                    </w:rPr>
                    <w:t xml:space="preserve">skyrimo“ </w:t>
                  </w:r>
                </w:p>
                <w:p>
                  <w:pPr>
                    <w:jc w:val="center"/>
                    <w:rPr>
                      <w:b/>
                      <w:bCs/>
                      <w:kern w:val="32"/>
                    </w:rPr>
                  </w:pPr>
                  <w:r>
                    <w:rPr>
                      <w:b/>
                      <w:bCs/>
                      <w:kern w:val="32"/>
                      <w:szCs w:val="24"/>
                    </w:rPr>
                    <w:t>AIŠKINAMASIS RAŠTAS</w:t>
                  </w:r>
                </w:p>
              </w:sdtContent>
            </w:sdt>
            <w:p>
              <w:pPr>
                <w:rPr>
                  <w:szCs w:val="24"/>
                </w:rPr>
              </w:pPr>
            </w:p>
            <w:p>
              <w:pPr>
                <w:jc w:val="center"/>
                <w:rPr>
                  <w:szCs w:val="24"/>
                </w:rPr>
              </w:pPr>
              <w:r>
                <w:rPr>
                  <w:szCs w:val="24"/>
                </w:rPr>
                <w:t>2025-06-06</w:t>
              </w:r>
            </w:p>
            <w:p>
              <w:pPr>
                <w:jc w:val="center"/>
                <w:rPr>
                  <w:szCs w:val="24"/>
                </w:rPr>
              </w:pPr>
              <w:r>
                <w:rPr>
                  <w:szCs w:val="24"/>
                </w:rPr>
                <w:t>Radviliškis</w:t>
              </w:r>
            </w:p>
            <w:p>
              <w:pPr>
                <w:rPr>
                  <w:szCs w:val="24"/>
                </w:rPr>
              </w:pPr>
            </w:p>
            <w:sdt>
              <w:sdtPr>
                <w:alias w:val="1 p."/>
                <w:tag w:val="part_f3c25a26ea2a4eb99e01f37ccf6baeac"/>
                <w:lock w:val="sdtLocked"/>
                <w:richText/>
              </w:sdtPr>
              <w:sdtContent>
                <w:p>
                  <w:pPr>
                    <w:tabs>
                      <w:tab w:val="left" w:pos="855"/>
                    </w:tabs>
                    <w:suppressAutoHyphens/>
                    <w:spacing w:line="276" w:lineRule="auto"/>
                    <w:ind w:firstLine="709"/>
                    <w:jc w:val="both"/>
                    <w:rPr>
                      <w:shd w:val="clear" w:color="auto" w:fill="FFFFFF"/>
                      <w:lang w:eastAsia="ar-SA"/>
                    </w:rPr>
                  </w:pPr>
                  <w:sdt>
                    <w:sdtPr>
                      <w:alias w:val="Numeris"/>
                      <w:tag w:val="nr_f3c25a26ea2a4eb99e01f37ccf6baeac"/>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pPr>
                    <w:spacing w:line="276" w:lineRule="auto"/>
                    <w:ind w:firstLine="709"/>
                    <w:jc w:val="both"/>
                    <w:rPr>
                      <w:szCs w:val="24"/>
                    </w:rPr>
                  </w:pPr>
                  <w:r>
                    <w:rPr>
                      <w:szCs w:val="24"/>
                    </w:rPr>
                    <w:t>Paskelbtas kvietimas teikti projekto „Antaniškių miško pritaikymas lankymui</w:t>
                  </w:r>
                  <w:r>
                    <w:rPr>
                      <w:color w:val="000000"/>
                      <w:szCs w:val="24"/>
                      <w:lang w:eastAsia="lt-LT"/>
                    </w:rPr>
                    <w:t>“</w:t>
                  </w:r>
                  <w:r>
                    <w:rPr>
                      <w:szCs w:val="24"/>
                    </w:rPr>
                    <w:t xml:space="preserve"> įgyvendinimo planą (toliau – PĮP). Pateikimo terminas 2025 m. rugpjūčio 31 d. Kvietimas parengtas vadovaujantis 2022–2030 m. Šiaulių regiono plėtros planu, patvirtintu Šiaulių regiono plėtros tarybos 2025 m. balandžio 18 d. sprendimu Nr. ŠR/TS-5 „Dėl Šiaulių regiono plėtros tarybos 2023 m. vasario 8 d. sprendimo Nr. ŠR/TS-6 „Dėl 2022–2030 metų Šiaulių regiono plėtros plano patvirtinimo“ pakeitimo“ (toliau – Šiaulių RPP), Regioninės pažangos priemonės 01-004-07-01-01 (RE) „Paskatinti regionų, funkcinių zonų, savivaldybių ir miestų  ekonominį augimą pasitelkiant jų turimus išteklius“ finansavimo gairėmis, patvirtintomis Lietuvos Respublikos vidaus reikalų ministro 2023 m. balandžio 4 d. įsakymu Nr. 1V-188 „Dėl regioninės pažangos priemonės 01-004-07-01-01 (RE) „Paskatinti regionų, funkcinių zonų, savivaldybių ir miestų  ekonominį augimą pasitelkiant jų turimus išteklius“ (toliau – Gairės).</w:t>
                  </w:r>
                </w:p>
                <w:p>
                  <w:pPr>
                    <w:spacing w:line="276" w:lineRule="auto"/>
                    <w:ind w:firstLine="680"/>
                    <w:jc w:val="both"/>
                    <w:rPr>
                      <w:szCs w:val="24"/>
                    </w:rPr>
                  </w:pPr>
                  <w:r>
                    <w:rPr>
                      <w:szCs w:val="24"/>
                    </w:rPr>
                    <w:t>Projekto tikslas – Antaniškių miško pritaikymas lankymui. Planuojamos veiklos: stovyklavietės įrengimas, vaikų žaidimo aikštelės įrengimas, viešųjų tualetų, kitų mažosios architektūros elementų įrengimas, apšvietimo, vaizdo kamerų įrengimas, dviračių takų sutvarkymas / įrengimas, laužavietės, stovų dviračiams, stalų ir suoliukų, informacinių stendų / ženklų įrengimas.</w:t>
                  </w:r>
                </w:p>
              </w:sdtContent>
            </w:sdt>
            <w:sdt>
              <w:sdtPr>
                <w:alias w:val="2 p."/>
                <w:tag w:val="part_08f2ccd0d69b41de8571a2b6a1f53c39"/>
                <w:lock w:val="sdtLocked"/>
                <w:richText/>
              </w:sdtPr>
              <w:sdtContent>
                <w:p>
                  <w:pPr>
                    <w:suppressAutoHyphens/>
                    <w:spacing w:line="276" w:lineRule="auto"/>
                    <w:ind w:left="1040" w:hanging="360"/>
                    <w:jc w:val="both"/>
                    <w:rPr>
                      <w:szCs w:val="24"/>
                    </w:rPr>
                  </w:pPr>
                  <w:sdt>
                    <w:sdtPr>
                      <w:alias w:val="Numeris"/>
                      <w:tag w:val="nr_08f2ccd0d69b41de8571a2b6a1f53c39"/>
                      <w:lock w:val="sdtLocked"/>
                      <w:richText/>
                    </w:sdtPr>
                    <w:sdtContent>
                      <w:r>
                        <w:rPr>
                          <w:b/>
                          <w:szCs w:val="24"/>
                        </w:rPr>
                        <w:t>2</w:t>
                      </w:r>
                    </w:sdtContent>
                  </w:sdt>
                  <w:r>
                    <w:rPr>
                      <w:b/>
                      <w:szCs w:val="24"/>
                    </w:rPr>
                    <w:t>.</w:t>
                    <w:tab/>
                  </w:r>
                  <w:r>
                    <w:rPr>
                      <w:b/>
                      <w:bCs/>
                      <w:szCs w:val="24"/>
                    </w:rPr>
                    <w:t>Projekto iniciatoriai (institucija, asmenys ar piliečių atstovai) ir rengėjai.</w:t>
                  </w:r>
                </w:p>
                <w:p>
                  <w:pPr>
                    <w:spacing w:line="276" w:lineRule="auto"/>
                    <w:ind w:firstLine="709"/>
                    <w:jc w:val="both"/>
                    <w:rPr>
                      <w:szCs w:val="24"/>
                    </w:rPr>
                  </w:pPr>
                  <w:r>
                    <w:rPr>
                      <w:szCs w:val="24"/>
                    </w:rPr>
                    <w:t xml:space="preserve">Projekto iniciatorius – </w:t>
                  </w:r>
                  <w:r>
                    <w:rPr>
                      <w:color w:val="000000"/>
                      <w:szCs w:val="24"/>
                      <w:lang w:eastAsia="lt-LT"/>
                    </w:rPr>
                    <w:t>Radviliškio rajono savivaldybės administracija,</w:t>
                  </w:r>
                  <w:r>
                    <w:rPr>
                      <w:szCs w:val="24"/>
                    </w:rPr>
                    <w:t xml:space="preserve"> rengėjas – Radviliškio rajono savivaldybės administracijos Investicijų ir turto valdymo skyrius.</w:t>
                  </w:r>
                </w:p>
              </w:sdtContent>
            </w:sdt>
            <w:sdt>
              <w:sdtPr>
                <w:alias w:val="3 p."/>
                <w:tag w:val="part_3d07c01ab4b3431085f1787ecc343cea"/>
                <w:lock w:val="sdtLocked"/>
                <w:richText/>
              </w:sdtPr>
              <w:sdtContent>
                <w:p>
                  <w:pPr>
                    <w:suppressAutoHyphens/>
                    <w:spacing w:line="276" w:lineRule="auto"/>
                    <w:ind w:left="1040" w:hanging="360"/>
                    <w:jc w:val="both"/>
                    <w:rPr>
                      <w:szCs w:val="24"/>
                    </w:rPr>
                  </w:pPr>
                  <w:sdt>
                    <w:sdtPr>
                      <w:alias w:val="Numeris"/>
                      <w:tag w:val="nr_3d07c01ab4b3431085f1787ecc343cea"/>
                      <w:lock w:val="sdtLocked"/>
                      <w:richText/>
                    </w:sdtPr>
                    <w:sdtContent>
                      <w:r>
                        <w:rPr>
                          <w:b/>
                          <w:szCs w:val="24"/>
                        </w:rPr>
                        <w:t>3</w:t>
                      </w:r>
                    </w:sdtContent>
                  </w:sdt>
                  <w:r>
                    <w:rPr>
                      <w:b/>
                      <w:szCs w:val="24"/>
                    </w:rPr>
                    <w:t>.</w:t>
                    <w:tab/>
                    <w:t>Kaip šiuo metu yra reguliuojami sprendimo projekte aptarti teisiniai santykiai.</w:t>
                  </w:r>
                </w:p>
                <w:p>
                  <w:pPr>
                    <w:spacing w:line="276" w:lineRule="auto"/>
                    <w:ind w:firstLine="709"/>
                    <w:jc w:val="both"/>
                    <w:rPr>
                      <w:color w:val="000000"/>
                      <w:szCs w:val="24"/>
                    </w:rPr>
                  </w:pPr>
                  <w:r>
                    <w:rPr>
                      <w:szCs w:val="24"/>
                    </w:rPr>
                    <w:t>Lietuvos Respublikos vietos savivaldos įstatymo 15 straipsnio 4 dalimi, 2022–2030 m. Šiaulių regiono plėtros planu, patvirtintu Šiaulių regiono plėtros tarybos 2025 m. sausio 10 d. sprendimu Nr. ŠR/TS-1 „Dėl Šiaulių regiono plėtros tarybos 2023 m. vasario 8 d. sprendimo Nr. ŠR/TS-6 „Dėl 2022–2030 metų Šiaulių regiono plėtros plano patvirtinimo“ pakeitimo“ (toliau – Šiaulių RPP), Regioninės pažangos priemonės 01-004-07-02-01 (RE) „Pagerinti viešųjų paslaugų prieinamumą, darbo vietų pasiekiamumą ir tam reikalingų išteklių naudojimo efektyvumą“ finansavimo gairėmis, patvirtintomis Lietuvos Respublikos vidaus reikalų ministro 2023 m. balandžio 7 d. įsakymu Nr. 1V-199 „Dėl regioninės pažangos priemonės Regioninės pažangos priemonės 01-004-07-02-01 (RE) „Pagerinti viešųjų paslaugų prieinamumą, darbo vietų pasiekiamumą ir tam reikalingų išteklių naudojimo efektyvumą“.</w:t>
                  </w:r>
                </w:p>
              </w:sdtContent>
            </w:sdt>
            <w:sdt>
              <w:sdtPr>
                <w:alias w:val="4 p."/>
                <w:tag w:val="part_dd51fe7d90964f8aaa228e3081f8de60"/>
                <w:lock w:val="sdtLocked"/>
                <w:richText/>
              </w:sdtPr>
              <w:sdtContent>
                <w:p>
                  <w:pPr>
                    <w:tabs>
                      <w:tab w:val="left" w:pos="855"/>
                    </w:tabs>
                    <w:spacing w:line="276" w:lineRule="auto"/>
                    <w:ind w:firstLine="680"/>
                    <w:jc w:val="both"/>
                    <w:rPr>
                      <w:color w:val="000000"/>
                      <w:szCs w:val="24"/>
                    </w:rPr>
                  </w:pPr>
                  <w:sdt>
                    <w:sdtPr>
                      <w:alias w:val="Numeris"/>
                      <w:tag w:val="nr_dd51fe7d90964f8aaa228e3081f8de60"/>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pPr>
                    <w:tabs>
                      <w:tab w:val="left" w:pos="855"/>
                    </w:tabs>
                    <w:spacing w:line="276" w:lineRule="auto"/>
                    <w:ind w:firstLine="680"/>
                    <w:jc w:val="both"/>
                    <w:rPr>
                      <w:szCs w:val="24"/>
                    </w:rPr>
                  </w:pPr>
                  <w:r>
                    <w:rPr>
                      <w:szCs w:val="24"/>
                    </w:rPr>
                    <w:t xml:space="preserve">Naujos teisinio reguliavimo nuostatos nesiūlomos. Antaniškių miškas ateityje turėtų tapti patogia laisvalaikio praleidimo vieta radviliškiečiams bei miesto svečiams, mėgstantiems aktyvų poilsį gamtos žalumoje ir miško apsuptyje. </w:t>
                  </w:r>
                </w:p>
              </w:sdtContent>
            </w:sdt>
            <w:sdt>
              <w:sdtPr>
                <w:alias w:val="5 p."/>
                <w:tag w:val="part_81c3f6ca0596465ca17db4cd49d88d2e"/>
                <w:lock w:val="sdtLocked"/>
                <w:richText/>
              </w:sdtPr>
              <w:sdtContent>
                <w:p>
                  <w:pPr>
                    <w:spacing w:line="276" w:lineRule="auto"/>
                    <w:ind w:firstLine="680"/>
                    <w:jc w:val="both"/>
                    <w:rPr>
                      <w:b/>
                      <w:bCs/>
                      <w:szCs w:val="24"/>
                    </w:rPr>
                  </w:pPr>
                  <w:sdt>
                    <w:sdtPr>
                      <w:alias w:val="Numeris"/>
                      <w:tag w:val="nr_81c3f6ca0596465ca17db4cd49d88d2e"/>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spacing w:line="276" w:lineRule="auto"/>
                    <w:ind w:firstLine="680"/>
                    <w:jc w:val="both"/>
                    <w:rPr>
                      <w:szCs w:val="24"/>
                    </w:rPr>
                  </w:pPr>
                  <w:r>
                    <w:rPr>
                      <w:szCs w:val="24"/>
                    </w:rPr>
                    <w:t>Neigiamų pasekmių nenumatoma.</w:t>
                  </w:r>
                </w:p>
              </w:sdtContent>
            </w:sdt>
            <w:sdt>
              <w:sdtPr>
                <w:alias w:val="6 p."/>
                <w:tag w:val="part_f5920a940b9a4f4ea0f4cd6629cc45d8"/>
                <w:lock w:val="sdtLocked"/>
                <w:richText/>
              </w:sdtPr>
              <w:sdtContent>
                <w:p>
                  <w:pPr>
                    <w:spacing w:line="276" w:lineRule="auto"/>
                    <w:ind w:firstLine="680"/>
                    <w:jc w:val="both"/>
                    <w:rPr>
                      <w:szCs w:val="24"/>
                    </w:rPr>
                  </w:pPr>
                  <w:sdt>
                    <w:sdtPr>
                      <w:alias w:val="Numeris"/>
                      <w:tag w:val="nr_f5920a940b9a4f4ea0f4cd6629cc45d8"/>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1971aca93f0642cd929ab5e77120d5ca"/>
                <w:lock w:val="sdtLocked"/>
                <w:richText/>
              </w:sdtPr>
              <w:sdtContent>
                <w:p>
                  <w:pPr>
                    <w:tabs>
                      <w:tab w:val="left" w:pos="855"/>
                    </w:tabs>
                    <w:spacing w:line="276" w:lineRule="auto"/>
                    <w:ind w:firstLine="680"/>
                    <w:jc w:val="both"/>
                    <w:rPr>
                      <w:szCs w:val="24"/>
                      <w:shd w:val="clear" w:color="auto" w:fill="FFFFFF"/>
                    </w:rPr>
                  </w:pPr>
                  <w:sdt>
                    <w:sdtPr>
                      <w:alias w:val="Numeris"/>
                      <w:tag w:val="nr_1971aca93f0642cd929ab5e77120d5ca"/>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1200"/>
                    </w:tabs>
                    <w:spacing w:line="276" w:lineRule="auto"/>
                    <w:ind w:firstLine="680"/>
                    <w:jc w:val="both"/>
                    <w:rPr>
                      <w:color w:val="000000"/>
                      <w:szCs w:val="24"/>
                    </w:rPr>
                  </w:pPr>
                  <w:r>
                    <w:rPr>
                      <w:szCs w:val="24"/>
                      <w:shd w:val="clear" w:color="auto" w:fill="FFFFFF"/>
                    </w:rPr>
                    <w:t xml:space="preserve">Preliminari Projekto vertė – 1 500 000,00 Eur. 1 275 000,00 Eur – Europos regioninės plėtros fondų lėšos, 225 000,00 Eur – Savivaldybės biudžeto lėšos. Papildomai Savivaldybės biudžeto lėšų reikėtų, jei projekto įgyvendinimo metu atsirastų netinkamų ar tinkamų finansuoti išlaidų, kurių nepadengia projektui skiriamo finansavimo lėšos (pvz., papildomi darbai be kurių negalima užbaigti projekto, teismo išlaidos ir kt.). </w:t>
                  </w:r>
                </w:p>
              </w:sdtContent>
            </w:sdt>
            <w:sdt>
              <w:sdtPr>
                <w:alias w:val="8 p."/>
                <w:tag w:val="part_038b7d01057f4db2a0c1725263c4076e"/>
                <w:lock w:val="sdtLocked"/>
                <w:richText/>
              </w:sdtPr>
              <w:sdtContent>
                <w:p>
                  <w:pPr>
                    <w:tabs>
                      <w:tab w:val="left" w:pos="1200"/>
                    </w:tabs>
                    <w:spacing w:line="276" w:lineRule="auto"/>
                    <w:ind w:firstLine="680"/>
                    <w:jc w:val="both"/>
                    <w:rPr>
                      <w:b/>
                      <w:color w:val="000000"/>
                      <w:szCs w:val="24"/>
                    </w:rPr>
                  </w:pPr>
                  <w:sdt>
                    <w:sdtPr>
                      <w:alias w:val="Numeris"/>
                      <w:tag w:val="nr_038b7d01057f4db2a0c1725263c4076e"/>
                      <w:lock w:val="sdtLocked"/>
                      <w:richText/>
                    </w:sdtPr>
                    <w:sdtContent>
                      <w:r>
                        <w:rPr>
                          <w:b/>
                          <w:szCs w:val="24"/>
                        </w:rPr>
                        <w:t>8</w:t>
                      </w:r>
                    </w:sdtContent>
                  </w:sdt>
                  <w:r>
                    <w:rPr>
                      <w:b/>
                      <w:szCs w:val="24"/>
                    </w:rPr>
                    <w:t>. Sprendimo projekto rengimo metu gauti specialistų vertinimai ir išvados.</w:t>
                  </w:r>
                </w:p>
                <w:p>
                  <w:pPr>
                    <w:tabs>
                      <w:tab w:val="left" w:pos="1200"/>
                    </w:tabs>
                    <w:spacing w:line="276" w:lineRule="auto"/>
                    <w:ind w:firstLine="680"/>
                    <w:jc w:val="both"/>
                    <w:rPr>
                      <w:bCs/>
                      <w:szCs w:val="24"/>
                    </w:rPr>
                  </w:pPr>
                  <w:r>
                    <w:rPr>
                      <w:bCs/>
                      <w:szCs w:val="24"/>
                    </w:rPr>
                    <w:t>Nėra.</w:t>
                  </w:r>
                </w:p>
              </w:sdtContent>
            </w:sdt>
            <w:sdt>
              <w:sdtPr>
                <w:alias w:val="9 p."/>
                <w:tag w:val="part_6265aee1867f426e8018513d62c8bf8c"/>
                <w:lock w:val="sdtLocked"/>
                <w:richText/>
              </w:sdtPr>
              <w:sdtContent>
                <w:p>
                  <w:pPr>
                    <w:tabs>
                      <w:tab w:val="left" w:pos="1200"/>
                    </w:tabs>
                    <w:spacing w:line="276" w:lineRule="auto"/>
                    <w:ind w:firstLine="680"/>
                    <w:jc w:val="both"/>
                    <w:rPr>
                      <w:b/>
                      <w:szCs w:val="24"/>
                    </w:rPr>
                  </w:pPr>
                  <w:sdt>
                    <w:sdtPr>
                      <w:alias w:val="Numeris"/>
                      <w:tag w:val="nr_6265aee1867f426e8018513d62c8bf8c"/>
                      <w:lock w:val="sdtLocked"/>
                      <w:richText/>
                    </w:sdtPr>
                    <w:sdtContent>
                      <w:r>
                        <w:rPr>
                          <w:b/>
                          <w:szCs w:val="24"/>
                        </w:rPr>
                        <w:t>9</w:t>
                      </w:r>
                    </w:sdtContent>
                  </w:sdt>
                  <w:r>
                    <w:rPr>
                      <w:b/>
                      <w:szCs w:val="24"/>
                    </w:rPr>
                    <w:t>. Numatomo teisinio reguliavimo poveikio vertinimo rezultatai.</w:t>
                  </w:r>
                </w:p>
                <w:p>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319893f1758a41a68451d896eca7a2cd"/>
                <w:lock w:val="sdtLocked"/>
                <w:richText/>
              </w:sdtPr>
              <w:sdtContent>
                <w:p>
                  <w:pPr>
                    <w:spacing w:line="276" w:lineRule="auto"/>
                    <w:ind w:firstLine="680"/>
                    <w:jc w:val="both"/>
                    <w:rPr>
                      <w:szCs w:val="24"/>
                      <w:shd w:val="clear" w:color="auto" w:fill="FFFFFF"/>
                    </w:rPr>
                  </w:pPr>
                  <w:sdt>
                    <w:sdtPr>
                      <w:alias w:val="Numeris"/>
                      <w:tag w:val="nr_319893f1758a41a68451d896eca7a2cd"/>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spacing w:line="276" w:lineRule="auto"/>
                    <w:ind w:firstLine="680"/>
                    <w:jc w:val="both"/>
                    <w:rPr>
                      <w:szCs w:val="24"/>
                      <w:shd w:val="clear" w:color="auto" w:fill="FFFFFF"/>
                    </w:rPr>
                  </w:pPr>
                  <w:r>
                    <w:rPr>
                      <w:szCs w:val="24"/>
                      <w:shd w:val="clear" w:color="auto" w:fill="FFFFFF"/>
                    </w:rPr>
                    <w:t>A</w:t>
                  </w:r>
                  <w:r>
                    <w:rPr>
                      <w:szCs w:val="24"/>
                    </w:rPr>
                    <w:t>ntikorupcinis sprendimo projektas vertinimas neatliekamas</w:t>
                  </w:r>
                  <w:r>
                    <w:rPr>
                      <w:szCs w:val="24"/>
                      <w:shd w:val="clear" w:color="auto" w:fill="FFFFFF"/>
                    </w:rPr>
                    <w:t>.</w:t>
                  </w:r>
                </w:p>
              </w:sdtContent>
            </w:sdt>
            <w:sdt>
              <w:sdtPr>
                <w:alias w:val="11 p."/>
                <w:tag w:val="part_fd8064fe1cc14c1c9a901466c55f6142"/>
                <w:lock w:val="sdtLocked"/>
                <w:richText/>
              </w:sdtPr>
              <w:sdtContent>
                <w:p>
                  <w:pPr>
                    <w:tabs>
                      <w:tab w:val="left" w:pos="1134"/>
                    </w:tabs>
                    <w:spacing w:line="276" w:lineRule="auto"/>
                    <w:ind w:left="1069" w:hanging="360"/>
                    <w:rPr>
                      <w:rFonts w:eastAsia="Calibri"/>
                      <w:b/>
                      <w:bCs/>
                      <w:szCs w:val="24"/>
                    </w:rPr>
                  </w:pPr>
                  <w:sdt>
                    <w:sdtPr>
                      <w:alias w:val="Numeris"/>
                      <w:tag w:val="nr_fd8064fe1cc14c1c9a901466c55f6142"/>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spacing w:line="276" w:lineRule="auto"/>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71f70d8796c64142958967052bc52a27"/>
                <w:lock w:val="sdtLocked"/>
                <w:richText/>
              </w:sdtPr>
              <w:sdtContent>
                <w:p>
                  <w:pPr>
                    <w:spacing w:line="276" w:lineRule="auto"/>
                    <w:ind w:left="1069" w:hanging="360"/>
                    <w:jc w:val="both"/>
                    <w:rPr>
                      <w:rFonts w:eastAsia="Calibri"/>
                      <w:b/>
                      <w:bCs/>
                      <w:szCs w:val="24"/>
                    </w:rPr>
                  </w:pPr>
                  <w:sdt>
                    <w:sdtPr>
                      <w:alias w:val="Numeris"/>
                      <w:tag w:val="nr_71f70d8796c64142958967052bc52a27"/>
                      <w:lock w:val="sdtLocked"/>
                      <w:richText/>
                    </w:sdtPr>
                    <w:sdtContent>
                      <w:r>
                        <w:rPr>
                          <w:rFonts w:eastAsia="Calibri"/>
                          <w:b/>
                          <w:bCs/>
                          <w:szCs w:val="24"/>
                        </w:rPr>
                        <w:t>12</w:t>
                      </w:r>
                    </w:sdtContent>
                  </w:sdt>
                  <w:r>
                    <w:rPr>
                      <w:rFonts w:eastAsia="Calibri"/>
                      <w:b/>
                      <w:bCs/>
                      <w:szCs w:val="24"/>
                    </w:rPr>
                    <w:t>.</w:t>
                    <w:tab/>
                    <w:t>Pridedami dokumentai.</w:t>
                  </w:r>
                </w:p>
                <w:p>
                  <w:pPr>
                    <w:spacing w:line="276" w:lineRule="auto"/>
                    <w:ind w:left="709"/>
                    <w:jc w:val="both"/>
                    <w:rPr>
                      <w:rFonts w:eastAsia="Calibri"/>
                      <w:szCs w:val="24"/>
                    </w:rPr>
                  </w:pPr>
                  <w:r>
                    <w:rPr>
                      <w:rFonts w:eastAsia="Calibri"/>
                      <w:szCs w:val="24"/>
                    </w:rPr>
                    <w:t>Nėra.</w:t>
                  </w:r>
                </w:p>
                <w:p>
                  <w:pPr>
                    <w:jc w:val="both"/>
                    <w:rPr>
                      <w:b/>
                      <w:bCs/>
                      <w:szCs w:val="24"/>
                    </w:rPr>
                  </w:pPr>
                </w:p>
                <w:p>
                  <w:pPr>
                    <w:tabs>
                      <w:tab w:val="left" w:pos="7680"/>
                    </w:tabs>
                    <w:jc w:val="both"/>
                    <w:rPr>
                      <w:szCs w:val="24"/>
                    </w:rPr>
                  </w:pPr>
                </w:p>
                <w:p>
                  <w:pPr>
                    <w:tabs>
                      <w:tab w:val="left" w:pos="7680"/>
                    </w:tabs>
                    <w:jc w:val="both"/>
                    <w:rPr>
                      <w:szCs w:val="24"/>
                    </w:rPr>
                  </w:pPr>
                </w:p>
              </w:sdtContent>
            </w:sdt>
          </w:sdtContent>
        </w:sdt>
        <w:sdt>
          <w:sdtPr>
            <w:alias w:val="signatura"/>
            <w:tag w:val="part_1d5d6a5e15da4b7a9a625b4be28a402f"/>
            <w:lock w:val="sdtLocked"/>
            <w:richText/>
          </w:sdtPr>
          <w:sdtContent>
            <w:p>
              <w:pPr>
                <w:tabs>
                  <w:tab w:val="left" w:pos="7680"/>
                </w:tabs>
                <w:jc w:val="both"/>
                <w:rPr>
                  <w:szCs w:val="24"/>
                </w:rPr>
              </w:pPr>
              <w:r>
                <w:rPr>
                  <w:szCs w:val="24"/>
                </w:rPr>
                <w:t>Investicijų ir turto valdymo skyriaus</w:t>
              </w:r>
            </w:p>
            <w:p>
              <w:pPr>
                <w:tabs>
                  <w:tab w:val="left" w:pos="7560"/>
                </w:tabs>
                <w:rPr>
                  <w:szCs w:val="24"/>
                </w:rPr>
              </w:pPr>
              <w:r>
                <w:rPr>
                  <w:szCs w:val="24"/>
                </w:rPr>
                <w:t xml:space="preserve">vyriausioji specialistė                                                                                      Genovaitė Rutkauskienė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HG Mincho Light J">
    <w:altName w:val="Cambria"/>
    <w:charset w:val="BA"/>
    <w:family w:val="auto"/>
    <w:pitch w:val="variable"/>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42634273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65698399">
      <w:bodyDiv w:val="1"/>
      <w:marLeft w:val="0"/>
      <w:marRight w:val="0"/>
      <w:marTop w:val="0"/>
      <w:marBottom w:val="0"/>
      <w:divBdr>
        <w:top w:val="none" w:sz="0" w:space="0" w:color="auto"/>
        <w:left w:val="none" w:sz="0" w:space="0" w:color="auto"/>
        <w:bottom w:val="none" w:sz="0" w:space="0" w:color="auto"/>
        <w:right w:val="none" w:sz="0" w:space="0" w:color="auto"/>
      </w:divBdr>
    </w:div>
    <w:div w:id="2131969654">
      <w:bodyDiv w:val="1"/>
      <w:marLeft w:val="0"/>
      <w:marRight w:val="0"/>
      <w:marTop w:val="0"/>
      <w:marBottom w:val="0"/>
      <w:divBdr>
        <w:top w:val="none" w:sz="0" w:space="0" w:color="auto"/>
        <w:left w:val="none" w:sz="0" w:space="0" w:color="auto"/>
        <w:bottom w:val="none" w:sz="0" w:space="0" w:color="auto"/>
        <w:right w:val="none" w:sz="0" w:space="0" w:color="auto"/>
      </w:divBdr>
    </w:div>
    <w:div w:id="214735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8da4d0ad3cc45bfa709afad541e969b" PartId="666ce51b523f41fd94d4b3ce8a0c1c62">
    <Part Type="preambule" DocPartId="d98115a243eb43e7b04d934081cacd1f" PartId="0bb0cc6f10784178924dac22b1811eef"/>
    <Part Type="punktas" Nr="1" Abbr="1 p." DocPartId="25f1e090df3247a2bd436d00191b6c4c" PartId="c56484911eba4c00bb6eab44ef910c86"/>
    <Part Type="punktas" Nr="2" Abbr="2 p." DocPartId="506cc606ec814c23b9c0330581236e23" PartId="710d1034ff584f90b6d065d4e992b45b"/>
    <Part Type="punktas" Nr="3" Abbr="3 p." DocPartId="15cb00bd7d6740c4b255b44b382927ed" PartId="89e2e5603ee541a2b4b94515388d01b6">
      <Part Type="papunktis" Nr="3.1" Abbr="3.1 pp." DocPartId="2bd71e93895d4883847b76ec300b207a" PartId="1c02052df0714b49bdddcb11e81c1c01"/>
      <Part Type="papunktis" Nr="3.2" Abbr="3.2 pp." DocPartId="ff842a266d8a4d8097aa0c60cdaf3ca8" PartId="db43f1e477ab477da248bf7b75f4efd9"/>
      <Part Type="papunktis" Nr="3.3" Abbr="3.3 pp." DocPartId="0f6e926a3b154f2689cdb99db553bbde" PartId="89e8d77d439b42388fcfc719e1ac8748"/>
    </Part>
    <Part Type="punktas" Nr="4" Abbr="4 p." DocPartId="66d62b73533548ac98c2e2183ce38e19" PartId="7020b74c8b4044328aad504aaf3f3d5e"/>
    <Part Type="punktas" Nr="5" Abbr="5 p." DocPartId="9d67b21cc638483991c04e289d0078a4" PartId="1f74ab94b48649bba5c89a79bf12c4b5"/>
    <Part Type="skirsnis" Title="RADVILIŠKIO RAJONO SAVIVALDYBĖS TARYBOS SPRENDIMO „DĖL PRITARIMO PROJEKTO „ANTANIŠKIŲ MIŠKO PRITAIKYMAS LANKYMUI“ ĮGYVENDINIMUI IR LĖŠŲ SKYRIMO“ AIŠKINAMASIS RAŠTAS" DocPartId="394ffadb7fb94932b0441a9243e1b1cf" PartId="534cbdc54d7244228f68a36d283219fa">
      <Part Type="punktas" Nr="1" Abbr="1 p." DocPartId="3d24f23b580049e7971fd01f4a75fd28" PartId="f3c25a26ea2a4eb99e01f37ccf6baeac"/>
      <Part Type="punktas" Nr="2" Abbr="2 p." DocPartId="2245d8d46d754921845e472109d475de" PartId="08f2ccd0d69b41de8571a2b6a1f53c39"/>
      <Part Type="punktas" Nr="3" Abbr="3 p." DocPartId="ee031bc7f67e42a084936905438da25f" PartId="3d07c01ab4b3431085f1787ecc343cea"/>
      <Part Type="punktas" Nr="4" Abbr="4 p." DocPartId="4b72d9f67d3243e89cab4f85f7c1a056" PartId="dd51fe7d90964f8aaa228e3081f8de60"/>
      <Part Type="punktas" Nr="5" Abbr="5 p." DocPartId="1016274d6df64b9f8110439630faec94" PartId="81c3f6ca0596465ca17db4cd49d88d2e"/>
      <Part Type="punktas" Nr="6" Abbr="6 p." DocPartId="75d2e0f468c947c891bcc71b162de8b9" PartId="f5920a940b9a4f4ea0f4cd6629cc45d8"/>
      <Part Type="punktas" Nr="7" Abbr="7 p." DocPartId="3f48f40702ae4ac684f65930cb467cfa" PartId="1971aca93f0642cd929ab5e77120d5ca"/>
      <Part Type="punktas" Nr="8" Abbr="8 p." DocPartId="296b5b64886e46b5b562678cb17e133c" PartId="038b7d01057f4db2a0c1725263c4076e"/>
      <Part Type="punktas" Nr="9" Abbr="9 p." DocPartId="8fbda55dbc614a0e8492b514580012fd" PartId="6265aee1867f426e8018513d62c8bf8c"/>
      <Part Type="punktas" Nr="10" Abbr="10 p." DocPartId="18080fd1cf0e486993e84cf8d618cd45" PartId="319893f1758a41a68451d896eca7a2cd"/>
      <Part Type="punktas" Nr="11" Abbr="11 p." DocPartId="8c22b1def2ed435aa3ebc2c2682c0ab9" PartId="fd8064fe1cc14c1c9a901466c55f6142"/>
      <Part Type="punktas" Nr="12" Abbr="12 p." DocPartId="5ea4e77d489c4cbebef6aa2c4019acaa" PartId="71f70d8796c64142958967052bc52a27"/>
    </Part>
    <Part Type="signatura" DocPartId="8d25200fcb644257b85ca6bc263477d7" PartId="1d5d6a5e15da4b7a9a625b4be28a402f"/>
  </Part>
</Parts>
</file>

<file path=customXml/itemProps1.xml><?xml version="1.0" encoding="utf-8"?>
<ds:datastoreItem xmlns:ds="http://schemas.openxmlformats.org/officeDocument/2006/customXml" ds:itemID="{F10571ED-8C86-4520-B980-CABF346BA44C}">
  <ds:schemaRefs>
    <ds:schemaRef ds:uri="http://schemas.openxmlformats.org/officeDocument/2006/bibliography"/>
  </ds:schemaRefs>
</ds:datastoreItem>
</file>

<file path=customXml/itemProps2.xml><?xml version="1.0" encoding="utf-8"?>
<ds:datastoreItem xmlns:ds="http://schemas.openxmlformats.org/officeDocument/2006/customXml" ds:itemID="{99C97595-4923-4B5A-A6EE-7909904D0A6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865</Words>
  <Characters>6281</Characters>
  <Application>Microsoft Office Word</Application>
  <DocSecurity>4</DocSecurity>
  <Lines>120</Lines>
  <Paragraphs>57</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7089</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2025-06-16T07:37:00Z</dcterms:created>
  <dc:creator>Gintaras</dc:creator>
  <lastModifiedBy>adlibuser</lastModifiedBy>
  <lastPrinted>2024-04-30T06:27:00Z</lastPrinted>
  <dcterms:modified xsi:type="dcterms:W3CDTF">2025-06-16T07:37:00Z</dcterms:modified>
  <revision>2</revision>
  <dc:title/>
</coreProperties>
</file>