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8df0cea529a42c98a63d1dafb650715"/>
        <w:lock w:val="sdtLocked"/>
        <w:richText/>
      </w:sdtPr>
      <w:sdtContent>
        <w:p w14:paraId="24CA46A4" w14:textId="77777777">
          <w:pPr>
            <w:widowControl w:val="0"/>
            <w:suppressAutoHyphens/>
            <w:jc w:val="center"/>
            <w:rPr>
              <w:rFonts w:ascii="Thorndale;Times New Roman" w:eastAsia="HG Mincho Light J" w:hAnsi="Thorndale;Times New Roman"/>
              <w:color w:val="000000"/>
              <w:szCs w:val="24"/>
              <w:lang w:eastAsia="lt-LT"/>
            </w:rPr>
          </w:pPr>
        </w:p>
        <w:p w14:paraId="163E7138" w14:textId="77777777">
          <w:pPr>
            <w:keepNext/>
            <w:widowControl w:val="0"/>
            <w:suppressAutoHyphens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163E7139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722BB609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11F37BAC" w14:textId="5FB9046B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DĖL ŠIAULIŲ KULTŪROS CENTRO TEIKIAMŲ ATLYGINTINŲ PASLAUGŲ SĄRAŠO PATVIRTINIMO</w:t>
          </w:r>
        </w:p>
        <w:p w14:paraId="163E713C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163E713D" w14:textId="3B22C2B1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2025 m.                                    d. Nr. T-</w:t>
          </w:r>
        </w:p>
        <w:p w14:paraId="163E713E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163E7140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2a21d11b3ac446458dbe30072a0d398a"/>
            <w:lock w:val="sdtLocked"/>
            <w:richText/>
          </w:sdtPr>
          <w:sdtContent>
            <w:p w14:paraId="27381FCF" w14:textId="026C6921">
              <w:pPr>
                <w:widowControl w:val="0"/>
                <w:suppressAutoHyphens/>
                <w:ind w:firstLine="851"/>
                <w:jc w:val="both"/>
                <w:rPr>
                  <w:rFonts w:ascii="Thorndale;Times New Roman" w:eastAsia="HG Mincho Light J" w:hAnsi="Thorndale;Times New Roman"/>
                  <w:szCs w:val="24"/>
                  <w:lang w:eastAsia="lt-LT"/>
                </w:rPr>
              </w:pPr>
              <w:r>
                <w:rPr>
                  <w:rFonts w:ascii="Thorndale;Times New Roman" w:eastAsia="HG Mincho Light J" w:hAnsi="Thorndale;Times New Roman"/>
                  <w:szCs w:val="24"/>
                  <w:lang w:eastAsia="lt-LT"/>
                </w:rPr>
                <w:t>Vadovaudamasi Lietuvos Respublikos vietos savivaldos įstatymo 15 straipsnio 2 dalies 29</w:t>
              </w:r>
              <w:r>
                <w:rPr>
                  <w:rFonts w:ascii="Thorndale;Times New Roman" w:eastAsia="HG Mincho Light J" w:hAnsi="Thorndale;Times New Roman" w:hint="cs"/>
                  <w:szCs w:val="24"/>
                  <w:lang w:eastAsia="lt-LT"/>
                </w:rPr>
                <w:t> </w:t>
              </w:r>
              <w:r>
                <w:rPr>
                  <w:rFonts w:ascii="Thorndale;Times New Roman" w:eastAsia="HG Mincho Light J" w:hAnsi="Thorndale;Times New Roman"/>
                  <w:szCs w:val="24"/>
                  <w:lang w:eastAsia="lt-LT"/>
                </w:rPr>
                <w:t xml:space="preserve">punktu, 16 straipsnio 1 dalimi, atsižvelgdama į 2025 m. rugsėjo 22 d. Šiaulių kultūros centro raštą Nr. S-290-(3.1) „Dėl Šiaulių kultūros centro teikiamų atlygintinų paslaugų sąrašo pakeitimo“, Šiaulių miesto savivaldybės taryba </w:t>
              </w:r>
              <w:r>
                <w:rPr>
                  <w:rFonts w:ascii="Thorndale;Times New Roman" w:eastAsia="HG Mincho Light J" w:hAnsi="Thorndale;Times New Roman"/>
                  <w:spacing w:val="40"/>
                  <w:kern w:val="24"/>
                  <w:szCs w:val="24"/>
                  <w:lang w:eastAsia="lt-LT"/>
                </w:rPr>
                <w:t>nusprendžia</w:t>
              </w:r>
              <w:r>
                <w:rPr>
                  <w:rFonts w:ascii="Thorndale;Times New Roman" w:eastAsia="HG Mincho Light J" w:hAnsi="Thorndale;Times New Roman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1a88e6358687489da49052c85d59206e"/>
            <w:lock w:val="sdtLocked"/>
            <w:richText/>
          </w:sdtPr>
          <w:sdtContent>
            <w:p w14:paraId="2678EFE8" w14:textId="77777777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a88e6358687489da49052c85d59206e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 Patvirtinti Šiaulių kultūros centro teikiamų atlygintinų paslaugų sąrašą (pridedama).</w:t>
              </w:r>
            </w:p>
          </w:sdtContent>
        </w:sdt>
        <w:sdt>
          <w:sdtPr>
            <w:alias w:val="2 p."/>
            <w:tag w:val="part_f6c21c617bc24439947bcd2047799d41"/>
            <w:lock w:val="sdtLocked"/>
            <w:richText/>
          </w:sdtPr>
          <w:sdtContent>
            <w:p w14:paraId="0B3BBA4F" w14:textId="0CABBC40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f6c21c617bc24439947bcd2047799d41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. Pripažinti netekusiu galios Šiaulių miesto savivaldybės tarybos 2024 m. birželio 6 d. sprendimą Nr. T-214 „Dėl Šiaulių kultūros centro teikiamų atlygintinų paslaugų sąrašo patvirtinimo“ su visais pakeitimais ir papildymais. </w:t>
              </w:r>
            </w:p>
            <w:p w14:paraId="50441601" w14:textId="74B9AA62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B0F0"/>
                  <w:szCs w:val="24"/>
                  <w:lang w:eastAsia="lt-LT"/>
                </w:rPr>
              </w:pPr>
            </w:p>
            <w:p w14:paraId="11193BB6" w14:textId="77777777">
              <w:pPr>
                <w:widowControl w:val="0"/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41A4F5FB" w14:textId="071AD95C">
              <w:pPr>
                <w:widowControl w:val="0"/>
                <w:suppressAutoHyphens/>
                <w:ind w:firstLine="1804"/>
                <w:jc w:val="center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e7237a2deaf2497ba88181ec81dcdf19"/>
            <w:lock w:val="sdtLocked"/>
            <w:richText/>
          </w:sdtPr>
          <w:sdtContent>
            <w:p w14:paraId="56323C56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  <w:r>
                <w:rPr>
                  <w:rFonts w:eastAsia="Lucida Sans Unicode"/>
                  <w:color w:val="000000"/>
                  <w:szCs w:val="24"/>
                  <w:lang w:eastAsia="lt-LT"/>
                </w:rPr>
                <w:t>Savivaldybės meras</w:t>
              </w:r>
            </w:p>
            <w:p w14:paraId="4D1ADD77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1060EF4B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3C93B2B1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38BBDBDB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60C5096F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163E7148" w14:textId="4FB26770">
              <w:pPr>
                <w:widowControl w:val="0"/>
                <w:suppressAutoHyphens/>
                <w:ind w:firstLine="288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default" r:id="rId6"/>
      <w:footerReference w:type="default" r:id="rId7"/>
      <w:pgSz w:w="11906" w:h="16838"/>
      <w:pgMar w:top="1693" w:right="567" w:bottom="1572" w:left="1701" w:header="1134" w:footer="1134" w:gutter="0"/>
      <w:cols w:space="1296"/>
      <w:formProt w:val="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A11F844" w14:textId="77777777">
      <w:pPr>
        <w:widowControl w:val="0"/>
        <w:suppressAutoHyphens/>
        <w:rPr>
          <w:rFonts w:ascii="Thorndale;Times New Roman" w:eastAsia="HG Mincho Light J" w:hAnsi="Thorndale;Times New Roman"/>
          <w:color w:val="000000"/>
          <w:szCs w:val="24"/>
          <w:lang w:eastAsia="lt-LT"/>
        </w:rPr>
      </w:pPr>
      <w:r>
        <w:rPr>
          <w:rFonts w:ascii="Thorndale;Times New Roman" w:eastAsia="HG Mincho Light J" w:hAnsi="Thorndale;Times New Roman"/>
          <w:color w:val="000000"/>
          <w:szCs w:val="24"/>
          <w:lang w:eastAsia="lt-LT"/>
        </w:rPr>
        <w:separator/>
      </w:r>
    </w:p>
  </w:endnote>
  <w:endnote w:type="continuationSeparator" w:id="0">
    <w:p w14:paraId="1C81819C" w14:textId="77777777">
      <w:pPr>
        <w:widowControl w:val="0"/>
        <w:suppressAutoHyphens/>
        <w:rPr>
          <w:rFonts w:ascii="Thorndale;Times New Roman" w:eastAsia="HG Mincho Light J" w:hAnsi="Thorndale;Times New Roman"/>
          <w:color w:val="000000"/>
          <w:szCs w:val="24"/>
          <w:lang w:eastAsia="lt-LT"/>
        </w:rPr>
      </w:pPr>
      <w:r>
        <w:rPr>
          <w:rFonts w:ascii="Thorndale;Times New Roman" w:eastAsia="HG Mincho Light J" w:hAnsi="Thorndale;Times New Roman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;Times New Roman">
    <w:altName w:val="Times New Roman"/>
    <w:panose1 w:val="00000000000000000000"/>
    <w:charset w:val="00"/>
    <w:family w:val="roman"/>
    <w:notTrueType/>
    <w:pitch w:val="default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3E7154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84C159" w14:textId="77777777">
      <w:pPr>
        <w:widowControl w:val="0"/>
        <w:suppressAutoHyphens/>
        <w:rPr>
          <w:rFonts w:ascii="Thorndale;Times New Roman" w:eastAsia="HG Mincho Light J" w:hAnsi="Thorndale;Times New Roman"/>
          <w:color w:val="000000"/>
          <w:szCs w:val="24"/>
          <w:lang w:eastAsia="lt-LT"/>
        </w:rPr>
      </w:pPr>
      <w:r>
        <w:rPr>
          <w:rFonts w:ascii="Thorndale;Times New Roman" w:eastAsia="HG Mincho Light J" w:hAnsi="Thorndale;Times New Roman"/>
          <w:color w:val="000000"/>
          <w:szCs w:val="24"/>
          <w:lang w:eastAsia="lt-LT"/>
        </w:rPr>
        <w:separator/>
      </w:r>
    </w:p>
  </w:footnote>
  <w:footnote w:type="continuationSeparator" w:id="0">
    <w:p w14:paraId="13B0FD28" w14:textId="77777777">
      <w:pPr>
        <w:widowControl w:val="0"/>
        <w:suppressAutoHyphens/>
        <w:rPr>
          <w:rFonts w:ascii="Thorndale;Times New Roman" w:eastAsia="HG Mincho Light J" w:hAnsi="Thorndale;Times New Roman"/>
          <w:color w:val="000000"/>
          <w:szCs w:val="24"/>
          <w:lang w:eastAsia="lt-LT"/>
        </w:rPr>
      </w:pPr>
      <w:r>
        <w:rPr>
          <w:rFonts w:ascii="Thorndale;Times New Roman" w:eastAsia="HG Mincho Light J" w:hAnsi="Thorndale;Times New Roman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8F147B" w14:textId="21C0BE7B">
    <w:pPr>
      <w:widowControl w:val="0"/>
      <w:tabs>
        <w:tab w:val="center" w:pos="4986"/>
        <w:tab w:val="right" w:pos="9972"/>
      </w:tabs>
      <w:suppressAutoHyphens/>
      <w:rPr>
        <w:rFonts w:eastAsia="HG Mincho Light J"/>
        <w:b/>
        <w:color w:val="000000"/>
        <w:szCs w:val="24"/>
        <w:lang w:eastAsia="lt-LT"/>
      </w:rPr>
    </w:pPr>
    <w:r>
      <w:rPr>
        <w:rFonts w:eastAsia="HG Mincho Light J"/>
        <w:b/>
        <w:color w:val="000000"/>
        <w:szCs w:val="24"/>
        <w:lang w:eastAsia="lt-LT"/>
      </w:rPr>
      <w:tab/>
      <w:tab/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63E7138"/>
  <w15:docId w15:val="{883EC7F6-7B1D-4C31-B472-360757BE395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97525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oter" Target="foot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da1c4bac49d473a88e98fcbb435cae4" PartId="a8df0cea529a42c98a63d1dafb650715">
    <Part Type="preambule" DocPartId="d1e86695bba545e8b4e97dc0eac61655" PartId="2a21d11b3ac446458dbe30072a0d398a"/>
    <Part Type="punktas" Nr="1" Abbr="1 p." DocPartId="ae67a6a5d4a4445aab0dd23c939b16c6" PartId="1a88e6358687489da49052c85d59206e"/>
    <Part Type="punktas" Nr="2" Abbr="2 p." DocPartId="a84da7835c2c4981a158f38a7cadbd7d" PartId="f6c21c617bc24439947bcd2047799d41"/>
    <Part Type="signatura" DocPartId="e67ef1a715a341cdaeae62693fc224c9" PartId="e7237a2deaf2497ba88181ec81dcdf19"/>
  </Part>
</Parts>
</file>

<file path=customXml/itemProps1.xml><?xml version="1.0" encoding="utf-8"?>
<ds:datastoreItem xmlns:ds="http://schemas.openxmlformats.org/officeDocument/2006/customXml" ds:itemID="{DA4453EE-FCB4-4D25-A6E2-93339C5CB22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111</Words>
  <Characters>754</Characters>
  <Application>Microsoft Office Word</Application>
  <DocSecurity>4</DocSecurity>
  <Lines>30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2025-10-10T18:06:00Z</dcterms:created>
  <dc:creator>Violeta Valančienė</dc:creator>
  <dc:language>lt-LT</dc:language>
  <lastModifiedBy>adlibuser</lastModifiedBy>
  <lastPrinted>1995-11-21T17:41:00Z</lastPrinted>
  <dcterms:modified xsi:type="dcterms:W3CDTF">2025-10-10T18:06:00Z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