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d3074e477a841b4bd11d63041c22148"/>
        <w:lock w:val="sdtLocked"/>
        <w:richText/>
      </w:sdtPr>
      <w:sdtContent>
        <w:p>
          <w:pPr>
            <w:tabs>
              <w:tab w:val="center" w:pos="4819"/>
              <w:tab w:val="right" w:pos="9638"/>
            </w:tabs>
            <w:jc w:val="right"/>
            <w:rPr>
              <w:b/>
              <w:szCs w:val="24"/>
            </w:rPr>
          </w:pPr>
        </w:p>
        <w:p>
          <w:pPr>
            <w:spacing w:line="360" w:lineRule="auto"/>
            <w:jc w:val="center"/>
            <w:rPr>
              <w:b/>
              <w:szCs w:val="24"/>
            </w:rPr>
          </w:pPr>
          <w:r>
            <w:rPr>
              <w:b/>
              <w:color w:val="0000FF"/>
              <w:szCs w:val="24"/>
            </w:rPr>
            <w:object w:dxaOrig="4620" w:dyaOrig="5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55pt;height:39.05pt" o:ole="" fillcolor="window">
                <v:imagedata r:id="rId7" o:title=""/>
              </v:shape>
              <o:OLEObject Type="Embed" ProgID="PBrush" ShapeID="_x0000_i1025" DrawAspect="Content" ObjectID="_1532160005" r:id="rId8"/>
            </w:object>
          </w:r>
        </w:p>
        <w:p>
          <w:pPr>
            <w:rPr>
              <w:sz w:val="14"/>
              <w:szCs w:val="14"/>
            </w:rPr>
          </w:pPr>
        </w:p>
        <w:p>
          <w:pPr>
            <w:jc w:val="center"/>
            <w:rPr>
              <w:b/>
              <w:szCs w:val="24"/>
            </w:rPr>
          </w:pPr>
          <w:r>
            <w:rPr>
              <w:b/>
              <w:szCs w:val="24"/>
            </w:rPr>
            <w:t>LIETUVOS RESPUBLIKOS VIDAUS REIKALŲ MINISTRAS</w:t>
          </w:r>
        </w:p>
        <w:p>
          <w:pPr>
            <w:tabs>
              <w:tab w:val="center" w:pos="4986"/>
              <w:tab w:val="right" w:pos="9972"/>
            </w:tabs>
            <w:jc w:val="center"/>
            <w:rPr>
              <w:szCs w:val="24"/>
            </w:rPr>
          </w:pPr>
        </w:p>
        <w:p>
          <w:pPr>
            <w:jc w:val="center"/>
            <w:rPr>
              <w:b/>
              <w:szCs w:val="24"/>
              <w:lang w:eastAsia="lt-LT"/>
            </w:rPr>
          </w:pPr>
          <w:r>
            <w:rPr>
              <w:b/>
              <w:szCs w:val="24"/>
              <w:lang w:eastAsia="lt-LT"/>
            </w:rPr>
            <w:t>ĮSAKYMAS</w:t>
          </w:r>
        </w:p>
        <w:tbl>
          <w:tblPr>
            <w:tblW w:w="0" w:type="auto"/>
            <w:jc w:val="center"/>
            <w:tblLook w:val="04A0" w:firstRow="1" w:lastRow="0" w:firstColumn="1" w:lastColumn="0" w:noHBand="0" w:noVBand="1"/>
          </w:tblPr>
          <w:tblGrid>
            <w:gridCol w:w="9003"/>
          </w:tblGrid>
          <w:tr>
            <w:trPr>
              <w:jc w:val="center"/>
            </w:trPr>
            <w:tc>
              <w:tcPr>
                <w:tcW w:w="9003" w:type="dxa"/>
              </w:tcPr>
              <w:p>
                <w:pPr>
                  <w:jc w:val="center"/>
                  <w:rPr>
                    <w:szCs w:val="24"/>
                  </w:rPr>
                </w:pPr>
                <w:r>
                  <w:rPr>
                    <w:b/>
                    <w:bCs/>
                    <w:caps/>
                    <w:szCs w:val="24"/>
                  </w:rPr>
                  <w:t xml:space="preserve">dėl LIETUVOS RESPUBLIKOS VIDAUS REIKALŲ MINISTRO 2016 M. vasario 22 D. ĮSAKYMO NR. 1V-124 „DĖL 2014–2020 METŲ EUROPOS SĄJUNGOS FONDŲ INVESTICIJŲ VEIKSMŲ PROGRAMOS </w:t>
                </w:r>
                <w:r>
                  <w:rPr>
                    <w:b/>
                    <w:szCs w:val="24"/>
                  </w:rPr>
                  <w:t>10</w:t>
                </w:r>
                <w:r>
                  <w:rPr>
                    <w:szCs w:val="24"/>
                  </w:rPr>
                  <w:t xml:space="preserve"> </w:t>
                </w:r>
                <w:r>
                  <w:rPr>
                    <w:b/>
                    <w:szCs w:val="24"/>
                  </w:rPr>
                  <w:t>PRIORITETO</w:t>
                </w:r>
                <w:r>
                  <w:rPr>
                    <w:szCs w:val="24"/>
                  </w:rPr>
                  <w:t xml:space="preserve"> „</w:t>
                </w:r>
                <w:r>
                  <w:rPr>
                    <w:b/>
                    <w:szCs w:val="24"/>
                  </w:rPr>
                  <w:t>VISUOMENĖS POREIKIUS ATITINKANTIS IR PAŽANGUS VIEŠASIS VALDYMAS</w:t>
                </w:r>
                <w:r>
                  <w:rPr>
                    <w:szCs w:val="24"/>
                  </w:rPr>
                  <w:t>“</w:t>
                </w:r>
              </w:p>
            </w:tc>
          </w:tr>
          <w:tr>
            <w:trPr>
              <w:jc w:val="center"/>
            </w:trPr>
            <w:tc>
              <w:tcPr>
                <w:tcW w:w="9003" w:type="dxa"/>
              </w:tcPr>
              <w:p>
                <w:pPr>
                  <w:jc w:val="center"/>
                  <w:rPr>
                    <w:szCs w:val="24"/>
                  </w:rPr>
                </w:pPr>
                <w:r>
                  <w:rPr>
                    <w:b/>
                    <w:szCs w:val="24"/>
                  </w:rPr>
                  <w:t>NR. 10.1.4-ESFA-V-921</w:t>
                </w:r>
                <w:r>
                  <w:rPr>
                    <w:szCs w:val="24"/>
                  </w:rPr>
                  <w:t xml:space="preserve"> </w:t>
                </w:r>
                <w:r>
                  <w:rPr>
                    <w:b/>
                    <w:szCs w:val="24"/>
                  </w:rPr>
                  <w:t>PRIEMONĖS</w:t>
                </w:r>
                <w:r>
                  <w:rPr>
                    <w:szCs w:val="24"/>
                  </w:rPr>
                  <w:t xml:space="preserve"> „</w:t>
                </w:r>
                <w:r>
                  <w:rPr>
                    <w:b/>
                    <w:szCs w:val="24"/>
                  </w:rPr>
                  <w:t>GERESNIO REGLAMENTAVIMO DIEGIMAS IR VERSLO PRIEŽIŪROS SISTEMOS TOBULINIMAS</w:t>
                </w:r>
                <w:r>
                  <w:rPr>
                    <w:szCs w:val="24"/>
                  </w:rPr>
                  <w:t>“</w:t>
                </w:r>
              </w:p>
            </w:tc>
          </w:tr>
        </w:tbl>
        <w:sdt>
          <w:sdtPr>
            <w:alias w:val="skirsnis"/>
            <w:tag w:val="part_2ae8e730634147868ae3b4192f9677b3"/>
            <w:lock w:val="sdtLocked"/>
            <w:richText/>
          </w:sdtPr>
          <w:sdtContent>
            <w:p>
              <w:pPr>
                <w:jc w:val="center"/>
                <w:rPr>
                  <w:b/>
                  <w:bCs/>
                  <w:caps/>
                  <w:szCs w:val="24"/>
                </w:rPr>
              </w:pPr>
              <w:sdt>
                <w:sdtPr>
                  <w:alias w:val="Pavadinimas"/>
                  <w:tag w:val="title_2ae8e730634147868ae3b4192f9677b3"/>
                  <w:lock w:val="sdtLocked"/>
                  <w:richText/>
                </w:sdtPr>
                <w:sdtContent>
                  <w:r>
                    <w:rPr>
                      <w:b/>
                      <w:bCs/>
                      <w:caps/>
                      <w:szCs w:val="24"/>
                    </w:rPr>
                    <w:t>PROJEKTŲ FINANSAVIMO SĄLYGŲ APRAŠO nr. 1 patvirtinimo“ PAKEITIMO</w:t>
                  </w:r>
                </w:sdtContent>
              </w:sdt>
            </w:p>
            <w:p>
              <w:pPr>
                <w:jc w:val="center"/>
              </w:pPr>
            </w:p>
            <w:p>
              <w:pPr>
                <w:jc w:val="center"/>
              </w:pPr>
              <w:r>
                <w:t xml:space="preserve">2016 m.                 d. Nr. </w:t>
              </w:r>
            </w:p>
            <w:p>
              <w:pPr>
                <w:jc w:val="center"/>
              </w:pPr>
              <w:r>
                <w:t>Vilnius</w:t>
              </w:r>
            </w:p>
            <w:p>
              <w:pPr>
                <w:tabs>
                  <w:tab w:val="left" w:pos="4257"/>
                </w:tabs>
              </w:pPr>
            </w:p>
            <w:p>
              <w:pPr>
                <w:suppressAutoHyphens/>
                <w:spacing w:line="360" w:lineRule="auto"/>
                <w:ind w:firstLine="720"/>
                <w:jc w:val="both"/>
                <w:textAlignment w:val="center"/>
                <w:rPr>
                  <w:color w:val="000000"/>
                  <w:szCs w:val="24"/>
                </w:rPr>
              </w:pPr>
              <w:r>
                <w:rPr>
                  <w:color w:val="000000"/>
                  <w:szCs w:val="24"/>
                </w:rPr>
                <w:t>Pakeičiu 2014–2020 metų Europos Sąjungos fondų investicijų veiksmų programos 10 prioriteto „Visuomenės poreikius atitinkantis ir pažangus viešasis valdymas“ Nr. 10.1.4-ESFA-V-921 priemonės „Geresnio reglamentavimo diegimas ir verslo priežiūros sistemos tobulinimas“ projektų finansavimo sąlygų aprašą, patvirtintą Lietuvos Respublikos vidaus reikalų ministro 2016 m. vasario 22 d. įsakymu Nr. 1V–124 „Dėl 2014–2020 metų Europos Sąjungos fondų investicijų veiksmų programos 10 prioriteto „Visuomenės poreikius atitinkantis ir pažangus viešasis valdymas“ Nr. 10.1.4-ESFA-V-921 priemonės „Geresnio reglamentavimo diegimas ir verslo priežiūros sistemos tobulinimas“ projektų finansavimo sąlygų aprašo Nr. 1 patvirtinimo“:</w:t>
              </w:r>
            </w:p>
            <w:sdt>
              <w:sdtPr>
                <w:alias w:val="1 p."/>
                <w:tag w:val="part_d5690af6b6164cf8b5022607a0506e9d"/>
                <w:lock w:val="sdtLocked"/>
                <w:richText/>
              </w:sdtPr>
              <w:sdtContent>
                <w:p>
                  <w:pPr>
                    <w:suppressAutoHyphens/>
                    <w:spacing w:line="360" w:lineRule="auto"/>
                    <w:ind w:left="1080" w:hanging="360"/>
                    <w:jc w:val="both"/>
                    <w:textAlignment w:val="center"/>
                    <w:rPr>
                      <w:color w:val="000000"/>
                      <w:szCs w:val="24"/>
                    </w:rPr>
                  </w:pPr>
                  <w:sdt>
                    <w:sdtPr>
                      <w:alias w:val="Numeris"/>
                      <w:tag w:val="nr_d5690af6b6164cf8b5022607a0506e9d"/>
                      <w:lock w:val="sdtLocked"/>
                      <w:richText/>
                    </w:sdtPr>
                    <w:sdtContent>
                      <w:r>
                        <w:rPr>
                          <w:color w:val="000000"/>
                          <w:szCs w:val="24"/>
                        </w:rPr>
                        <w:t>1</w:t>
                      </w:r>
                    </w:sdtContent>
                  </w:sdt>
                  <w:r>
                    <w:rPr>
                      <w:color w:val="000000"/>
                      <w:szCs w:val="24"/>
                    </w:rPr>
                    <w:t>.</w:t>
                    <w:tab/>
                    <w:t>1 Pakeičiu 2 punktą ir jį išdėstau taip:</w:t>
                  </w:r>
                </w:p>
                <w:sdt>
                  <w:sdtPr>
                    <w:alias w:val="citata"/>
                    <w:tag w:val="part_fe8252bfdf4d45ed88d2a2540040acec"/>
                    <w:lock w:val="sdtLocked"/>
                    <w:richText/>
                  </w:sdtPr>
                  <w:sdtContent>
                    <w:sdt>
                      <w:sdtPr>
                        <w:alias w:val="2 p."/>
                        <w:tag w:val="part_6b4dd0e4139e4415a14de0bd66485057"/>
                        <w:lock w:val="sdtLocked"/>
                        <w:richText/>
                      </w:sdtPr>
                      <w:sdtContent>
                        <w:p>
                          <w:pPr>
                            <w:spacing w:line="360" w:lineRule="auto"/>
                            <w:ind w:firstLine="851"/>
                            <w:jc w:val="both"/>
                            <w:rPr>
                              <w:rFonts w:eastAsia="Calibri"/>
                              <w:szCs w:val="24"/>
                            </w:rPr>
                          </w:pPr>
                          <w:r>
                            <w:rPr>
                              <w:color w:val="000000"/>
                              <w:szCs w:val="24"/>
                            </w:rPr>
                            <w:t xml:space="preserve">„ </w:t>
                          </w:r>
                          <w:sdt>
                            <w:sdtPr>
                              <w:alias w:val="Numeris"/>
                              <w:tag w:val="nr_6b4dd0e4139e4415a14de0bd66485057"/>
                              <w:lock w:val="sdtLocked"/>
                              <w:richText/>
                            </w:sdtPr>
                            <w:sdtContent>
                              <w:r>
                                <w:rPr>
                                  <w:rFonts w:eastAsia="Calibri"/>
                                  <w:szCs w:val="24"/>
                                </w:rPr>
                                <w:t>2</w:t>
                              </w:r>
                            </w:sdtContent>
                          </w:sdt>
                          <w:r>
                            <w:rPr>
                              <w:rFonts w:eastAsia="Calibri"/>
                              <w:szCs w:val="24"/>
                            </w:rPr>
                            <w:t>. Aprašas parengtas atsižvelgiant į:</w:t>
                          </w:r>
                        </w:p>
                        <w:sdt>
                          <w:sdtPr>
                            <w:alias w:val="2.1 pp."/>
                            <w:tag w:val="part_1155255f1f2e4c72b9b19b5a7d3d3195"/>
                            <w:lock w:val="sdtLocked"/>
                            <w:richText/>
                          </w:sdtPr>
                          <w:sdtContent>
                            <w:p>
                              <w:pPr>
                                <w:spacing w:line="360" w:lineRule="auto"/>
                                <w:ind w:firstLine="851"/>
                                <w:jc w:val="both"/>
                                <w:rPr>
                                  <w:rFonts w:eastAsia="Calibri"/>
                                  <w:szCs w:val="24"/>
                                </w:rPr>
                              </w:pPr>
                              <w:sdt>
                                <w:sdtPr>
                                  <w:alias w:val="Numeris"/>
                                  <w:tag w:val="nr_1155255f1f2e4c72b9b19b5a7d3d3195"/>
                                  <w:lock w:val="sdtLocked"/>
                                  <w:richText/>
                                </w:sdtPr>
                                <w:sdtContent>
                                  <w:r>
                                    <w:rPr>
                                      <w:rFonts w:eastAsia="Calibri"/>
                                      <w:szCs w:val="24"/>
                                    </w:rPr>
                                    <w:t>2.1</w:t>
                                  </w:r>
                                </w:sdtContent>
                              </w:sdt>
                              <w:r>
                                <w:rPr>
                                  <w:rFonts w:eastAsia="Calibri"/>
                                  <w:szCs w:val="24"/>
                                </w:rPr>
                                <w:t>. Lietuvos Respublikos partnerystės sutartį, patvirtintą Europos Komisijos 2014 m. birželio 20 d. sprendimu Nr. 2014LT16M8PA001;</w:t>
                              </w:r>
                            </w:p>
                          </w:sdtContent>
                        </w:sdt>
                        <w:sdt>
                          <w:sdtPr>
                            <w:alias w:val="2.2 pp."/>
                            <w:tag w:val="part_fb5cd0069e354947b9f6557d0c8116ea"/>
                            <w:lock w:val="sdtLocked"/>
                            <w:richText/>
                          </w:sdtPr>
                          <w:sdtContent>
                            <w:p>
                              <w:pPr>
                                <w:spacing w:line="360" w:lineRule="auto"/>
                                <w:ind w:firstLine="851"/>
                                <w:jc w:val="both"/>
                                <w:rPr>
                                  <w:rFonts w:eastAsia="Calibri"/>
                                  <w:szCs w:val="24"/>
                                </w:rPr>
                              </w:pPr>
                              <w:sdt>
                                <w:sdtPr>
                                  <w:alias w:val="Numeris"/>
                                  <w:tag w:val="nr_fb5cd0069e354947b9f6557d0c8116ea"/>
                                  <w:lock w:val="sdtLocked"/>
                                  <w:richText/>
                                </w:sdtPr>
                                <w:sdtContent>
                                  <w:r>
                                    <w:rPr>
                                      <w:rFonts w:eastAsia="Calibri"/>
                                      <w:szCs w:val="24"/>
                                    </w:rPr>
                                    <w:t>2.2</w:t>
                                  </w:r>
                                </w:sdtContent>
                              </w:sdt>
                              <w:r>
                                <w:rPr>
                                  <w:rFonts w:eastAsia="Calibri"/>
                                  <w:szCs w:val="24"/>
                                </w:rPr>
                                <w:t>. Veiksmų programą;</w:t>
                              </w:r>
                            </w:p>
                          </w:sdtContent>
                        </w:sdt>
                        <w:sdt>
                          <w:sdtPr>
                            <w:alias w:val="2.3 pp."/>
                            <w:tag w:val="part_8d84540b4e4243febf5c2852d8e8f2a2"/>
                            <w:lock w:val="sdtLocked"/>
                            <w:richText/>
                          </w:sdtPr>
                          <w:sdtContent>
                            <w:p>
                              <w:pPr>
                                <w:spacing w:line="360" w:lineRule="auto"/>
                                <w:ind w:firstLine="851"/>
                                <w:jc w:val="both"/>
                                <w:rPr>
                                  <w:rFonts w:eastAsia="Calibri"/>
                                  <w:szCs w:val="24"/>
                                </w:rPr>
                              </w:pPr>
                              <w:sdt>
                                <w:sdtPr>
                                  <w:alias w:val="Numeris"/>
                                  <w:tag w:val="nr_8d84540b4e4243febf5c2852d8e8f2a2"/>
                                  <w:lock w:val="sdtLocked"/>
                                  <w:richText/>
                                </w:sdtPr>
                                <w:sdtContent>
                                  <w:r>
                                    <w:rPr>
                                      <w:rFonts w:eastAsia="Calibri"/>
                                      <w:szCs w:val="24"/>
                                    </w:rPr>
                                    <w:t>2.3</w:t>
                                  </w:r>
                                </w:sdtContent>
                              </w:sdt>
                              <w:r>
                                <w:rPr>
                                  <w:rFonts w:eastAsia="Calibri"/>
                                  <w:szCs w:val="24"/>
                                </w:rPr>
                                <w:t>.</w:t>
                              </w:r>
                              <w:r>
                                <w:rPr>
                                  <w:rFonts w:ascii="Calibri" w:eastAsia="Calibri" w:hAnsi="Calibri"/>
                                  <w:sz w:val="22"/>
                                  <w:szCs w:val="22"/>
                                </w:rPr>
                                <w:t xml:space="preserve"> </w:t>
                              </w:r>
                              <w:r>
                                <w:rPr>
                                  <w:rFonts w:eastAsia="Calibri"/>
                                  <w:szCs w:val="24"/>
                                </w:rPr>
                                <w:t>2014–2020 metų Europos Sąjungos fondų investicijų veiksmų programos administravimo taisykles, patvirtintas Lietuvos Respublikos Vyriausybės 2014 m. spalio 3 d. nutarimu Nr. 1090 „Dėl 2014–2020 metų Europos Sąjungos fondų investicijų veiksmų programos administravimo taisyklių patvirtinimo“;</w:t>
                              </w:r>
                            </w:p>
                          </w:sdtContent>
                        </w:sdt>
                        <w:sdt>
                          <w:sdtPr>
                            <w:alias w:val="2.4 pp."/>
                            <w:tag w:val="part_6b1e5136970c466d9cdfc4b9ef865cfd"/>
                            <w:lock w:val="sdtLocked"/>
                            <w:richText/>
                          </w:sdtPr>
                          <w:sdtContent>
                            <w:p>
                              <w:pPr>
                                <w:spacing w:line="360" w:lineRule="auto"/>
                                <w:ind w:firstLine="851"/>
                                <w:jc w:val="both"/>
                                <w:rPr>
                                  <w:rFonts w:eastAsia="Calibri"/>
                                  <w:szCs w:val="24"/>
                                </w:rPr>
                              </w:pPr>
                              <w:sdt>
                                <w:sdtPr>
                                  <w:alias w:val="Numeris"/>
                                  <w:tag w:val="nr_6b1e5136970c466d9cdfc4b9ef865cfd"/>
                                  <w:lock w:val="sdtLocked"/>
                                  <w:richText/>
                                </w:sdtPr>
                                <w:sdtContent>
                                  <w:r>
                                    <w:rPr>
                                      <w:rFonts w:eastAsia="Calibri"/>
                                      <w:szCs w:val="24"/>
                                    </w:rPr>
                                    <w:t>2.4</w:t>
                                  </w:r>
                                </w:sdtContent>
                              </w:sdt>
                              <w:r>
                                <w:rPr>
                                  <w:rFonts w:eastAsia="Calibri"/>
                                  <w:szCs w:val="24"/>
                                </w:rPr>
                                <w:t xml:space="preserve">. Projektų administravimo ir finansavimo taisykles, patvirtintas Lietuvos Respublikos finansų ministro 2014 m. spalio 8 d. įsakymu Nr. 1K-316 „Dėl Projektų administravimo ir finansavimo taisyklių patvirtinimo“ (toliau – Projektų taisyklės); </w:t>
                              </w:r>
                            </w:p>
                          </w:sdtContent>
                        </w:sdt>
                        <w:sdt>
                          <w:sdtPr>
                            <w:alias w:val="2.5 pp."/>
                            <w:tag w:val="part_2740a1627909493b852035302f231955"/>
                            <w:lock w:val="sdtLocked"/>
                            <w:richText/>
                          </w:sdtPr>
                          <w:sdtContent>
                            <w:p>
                              <w:pPr>
                                <w:spacing w:line="360" w:lineRule="auto"/>
                                <w:ind w:firstLine="851"/>
                                <w:jc w:val="both"/>
                                <w:rPr>
                                  <w:rFonts w:eastAsia="Calibri"/>
                                  <w:szCs w:val="24"/>
                                  <w:lang w:eastAsia="zh-CN"/>
                                </w:rPr>
                              </w:pPr>
                              <w:sdt>
                                <w:sdtPr>
                                  <w:alias w:val="Numeris"/>
                                  <w:tag w:val="nr_2740a1627909493b852035302f231955"/>
                                  <w:lock w:val="sdtLocked"/>
                                  <w:richText/>
                                </w:sdtPr>
                                <w:sdtContent>
                                  <w:r>
                                    <w:rPr>
                                      <w:rFonts w:eastAsia="Calibri"/>
                                      <w:szCs w:val="24"/>
                                    </w:rPr>
                                    <w:t>2.5</w:t>
                                  </w:r>
                                </w:sdtContent>
                              </w:sdt>
                              <w:r>
                                <w:rPr>
                                  <w:rFonts w:eastAsia="Calibri"/>
                                  <w:szCs w:val="24"/>
                                </w:rPr>
                                <w:t xml:space="preserve">. </w:t>
                              </w:r>
                              <w:r>
                                <w:rPr>
                                  <w:rFonts w:eastAsia="Calibri"/>
                                  <w:szCs w:val="24"/>
                                  <w:lang w:eastAsia="zh-CN"/>
                                </w:rPr>
                                <w:t>2014–2020 metų Europos Sąjungos fondų investicijų veiksmų programos stebėsenos rodiklių skaičiavimo aprašą, patvirtintą Lietuvos Respublikos finansų ministro 2014 m. gruodžio 30 d. įsakymu Nr. 1K-499 „Dėl 2014–2020 metų Europos Sąjungos fondų investicijų veiksmų programos stebėsenos rodiklių skaičiavimo aprašo patvirtinimo“ (toliau – Veiksmų programos stebėsenos rodiklių skaičiavimo aprašas);</w:t>
                              </w:r>
                            </w:p>
                          </w:sdtContent>
                        </w:sdt>
                        <w:sdt>
                          <w:sdtPr>
                            <w:alias w:val="2.6 pp."/>
                            <w:tag w:val="part_dce2ebfa40be44e488cde9100a3a99e1"/>
                            <w:lock w:val="sdtLocked"/>
                            <w:richText/>
                          </w:sdtPr>
                          <w:sdtContent>
                            <w:p>
                              <w:pPr>
                                <w:spacing w:line="360" w:lineRule="auto"/>
                                <w:ind w:firstLine="851"/>
                                <w:jc w:val="both"/>
                                <w:rPr>
                                  <w:rFonts w:eastAsia="Calibri"/>
                                  <w:szCs w:val="24"/>
                                </w:rPr>
                              </w:pPr>
                              <w:sdt>
                                <w:sdtPr>
                                  <w:alias w:val="Numeris"/>
                                  <w:tag w:val="nr_dce2ebfa40be44e488cde9100a3a99e1"/>
                                  <w:lock w:val="sdtLocked"/>
                                  <w:richText/>
                                </w:sdtPr>
                                <w:sdtContent>
                                  <w:r>
                                    <w:rPr>
                                      <w:rFonts w:eastAsia="Calibri"/>
                                      <w:szCs w:val="24"/>
                                    </w:rPr>
                                    <w:t>2.6</w:t>
                                  </w:r>
                                </w:sdtContent>
                              </w:sdt>
                              <w:r>
                                <w:rPr>
                                  <w:rFonts w:eastAsia="Calibri"/>
                                  <w:szCs w:val="24"/>
                                </w:rPr>
                                <w:t>. Lietuvos Respublikos vidaus reikalų ministerijos 2014–2020 metų Europos Sąjungos struktūrinių fondų investicijų veiksmų programos prioriteto įgyvendinimo priemonių įgyvendinimo planą, patvirtintą Lietuvos Respublikos vidaus reikalų ministro 2015 m. kovo 6 d. įsakymu Nr. 1V-164 „Dėl Lietuvos Respublikos vidaus reikalų ministerijos 2014–2020 metų Europos Sąjungos fondų investicijų veiksmų programos prioritetų įgyvendinimo priemonių įgyvendinimo veiksmų plano ir nacionalinių stebėsenos rodiklių skaičiavimo aprašo patvirtinimo“;</w:t>
                              </w:r>
                            </w:p>
                          </w:sdtContent>
                        </w:sdt>
                        <w:sdt>
                          <w:sdtPr>
                            <w:alias w:val="2.7 pp."/>
                            <w:tag w:val="part_aa7826620b034a64aeba99ee4278bac8"/>
                            <w:lock w:val="sdtLocked"/>
                            <w:richText/>
                          </w:sdtPr>
                          <w:sdtContent>
                            <w:p>
                              <w:pPr>
                                <w:spacing w:line="360" w:lineRule="auto"/>
                                <w:ind w:firstLine="851"/>
                                <w:jc w:val="both"/>
                                <w:rPr>
                                  <w:rFonts w:eastAsia="Calibri"/>
                                  <w:szCs w:val="24"/>
                                </w:rPr>
                              </w:pPr>
                              <w:sdt>
                                <w:sdtPr>
                                  <w:alias w:val="Numeris"/>
                                  <w:tag w:val="nr_aa7826620b034a64aeba99ee4278bac8"/>
                                  <w:lock w:val="sdtLocked"/>
                                  <w:richText/>
                                </w:sdtPr>
                                <w:sdtContent>
                                  <w:r>
                                    <w:rPr>
                                      <w:rFonts w:eastAsia="Calibri"/>
                                      <w:szCs w:val="24"/>
                                    </w:rPr>
                                    <w:t>2.7</w:t>
                                  </w:r>
                                </w:sdtContent>
                              </w:sdt>
                              <w:r>
                                <w:rPr>
                                  <w:rFonts w:eastAsia="Calibri"/>
                                  <w:szCs w:val="24"/>
                                </w:rPr>
                                <w:t xml:space="preserve">. </w:t>
                              </w:r>
                              <w:r>
                                <w:rPr>
                                  <w:rFonts w:eastAsia="Calibri"/>
                                  <w:color w:val="000000"/>
                                  <w:szCs w:val="24"/>
                                </w:rPr>
                                <w:t xml:space="preserve">Viešojo valdymo tobulinimo 2012–2020 metų programos įgyvendinimo 2013–2015 metų veiksmų planą, patvirtintą Lietuvos Respublikos vidaus reikalų ministro 2013 m. gegužės </w:t>
                              </w:r>
                              <w:r>
                                <w:rPr>
                                  <w:rFonts w:eastAsia="Calibri"/>
                                  <w:szCs w:val="24"/>
                                </w:rPr>
                                <w:t>20 d</w:t>
                              </w:r>
                              <w:r>
                                <w:rPr>
                                  <w:rFonts w:eastAsia="Calibri"/>
                                  <w:color w:val="000000"/>
                                  <w:szCs w:val="24"/>
                                </w:rPr>
                                <w:t>. įsakymu 1V-438 „Dėl Viešojo valdymo tobulinimo 2012–2020 metų programos įgyvendinimo 2013–2015 metų veiksmų plano patvirtinimo“ (toliau – 2013–2015 metų veiksmų planas) ir</w:t>
                              </w:r>
                              <w:r>
                                <w:rPr>
                                  <w:rFonts w:ascii="Calibri" w:eastAsia="Calibri" w:hAnsi="Calibri"/>
                                  <w:sz w:val="22"/>
                                  <w:szCs w:val="22"/>
                                </w:rPr>
                                <w:t xml:space="preserve"> </w:t>
                              </w:r>
                              <w:r>
                                <w:rPr>
                                  <w:rFonts w:eastAsia="Calibri"/>
                                  <w:color w:val="000000"/>
                                  <w:szCs w:val="24"/>
                                </w:rPr>
                                <w:t>Viešojo valdymo tobulinimo 2012–2020 metų programos įgyvendinimo 2016–2018 metų veiksmų planą, patvirtintą Lietuvos Respublikos vidaus reikalų ministro 2016 m. balandžio 29 d. įsakymu Nr. 1V-329 „Dėl Viešojo valdymo tobulinimo 2012–2020 metų programos įgyvendinimo 2016–2018 metų veiksmų plano patvirtinimo“ (toliau – 2016–2018 metų veiksmų planas)</w:t>
                              </w:r>
                            </w:p>
                          </w:sdtContent>
                        </w:sdt>
                        <w:sdt>
                          <w:sdtPr>
                            <w:alias w:val="2.8 pp."/>
                            <w:tag w:val="part_847c7c87fcd144ff9ca8b967f6dd7f5e"/>
                            <w:lock w:val="sdtLocked"/>
                            <w:richText/>
                          </w:sdtPr>
                          <w:sdtContent>
                            <w:p>
                              <w:pPr>
                                <w:suppressAutoHyphens/>
                                <w:spacing w:line="360" w:lineRule="auto"/>
                                <w:ind w:firstLine="720"/>
                                <w:jc w:val="both"/>
                                <w:textAlignment w:val="center"/>
                                <w:rPr>
                                  <w:color w:val="000000"/>
                                  <w:szCs w:val="24"/>
                                </w:rPr>
                              </w:pPr>
                              <w:sdt>
                                <w:sdtPr>
                                  <w:alias w:val="Numeris"/>
                                  <w:tag w:val="nr_847c7c87fcd144ff9ca8b967f6dd7f5e"/>
                                  <w:lock w:val="sdtLocked"/>
                                  <w:richText/>
                                </w:sdtPr>
                                <w:sdtContent>
                                  <w:r>
                                    <w:rPr>
                                      <w:color w:val="000000"/>
                                      <w:szCs w:val="24"/>
                                    </w:rPr>
                                    <w:t>2.8</w:t>
                                  </w:r>
                                </w:sdtContent>
                              </w:sdt>
                              <w:r>
                                <w:rPr>
                                  <w:color w:val="000000"/>
                                  <w:szCs w:val="24"/>
                                </w:rPr>
                                <w:t>. Rekomendacijas dėl projektų išlaidų atitikties Europos Sąjungos struktūrinių fondų reikalavimams, patvirtintas Žmogiškųjų išteklių plėtros veiksmų programos, Ekonomikos augimo veiksmų programos, Sanglaudos skatinimo veiksmų programos ir 2014–2020 metų Europos Sąjungos fondų investicijų veiksmų programos valdymo komitetų 2014 m. liepos 4 d. protokolu Nr. 34 (su vėlesniais pakeitimais) ir skelbiamas interneto svetainėje www.esinvesticijos.lt (toliau – Rekomendacijos dėl projektų išlaidų atitikties Europos Sąjungos struktūrinių fondų reikalavimams).“</w:t>
                              </w:r>
                            </w:p>
                          </w:sdtContent>
                        </w:sdt>
                      </w:sdtContent>
                    </w:sdt>
                  </w:sdtContent>
                </w:sdt>
              </w:sdtContent>
            </w:sdt>
            <w:sdt>
              <w:sdtPr>
                <w:alias w:val="2 p."/>
                <w:tag w:val="part_3785fc0c744042f3aabe84f2be98e9f7"/>
                <w:lock w:val="sdtLocked"/>
                <w:richText/>
              </w:sdtPr>
              <w:sdtContent>
                <w:p>
                  <w:pPr>
                    <w:suppressAutoHyphens/>
                    <w:spacing w:line="360" w:lineRule="auto"/>
                    <w:ind w:firstLine="720"/>
                    <w:jc w:val="both"/>
                    <w:textAlignment w:val="center"/>
                    <w:rPr>
                      <w:color w:val="000000"/>
                      <w:szCs w:val="24"/>
                    </w:rPr>
                  </w:pPr>
                  <w:sdt>
                    <w:sdtPr>
                      <w:alias w:val="Numeris"/>
                      <w:tag w:val="nr_3785fc0c744042f3aabe84f2be98e9f7"/>
                      <w:lock w:val="sdtLocked"/>
                      <w:richText/>
                    </w:sdtPr>
                    <w:sdtContent>
                      <w:r>
                        <w:rPr>
                          <w:color w:val="000000"/>
                          <w:szCs w:val="24"/>
                        </w:rPr>
                        <w:t>2</w:t>
                      </w:r>
                    </w:sdtContent>
                  </w:sdt>
                  <w:r>
                    <w:rPr>
                      <w:color w:val="000000"/>
                      <w:szCs w:val="24"/>
                    </w:rPr>
                    <w:t>. Pakeičiu 3 punktą ir jį išdėstau taip:</w:t>
                  </w:r>
                </w:p>
                <w:sdt>
                  <w:sdtPr>
                    <w:alias w:val="citata"/>
                    <w:tag w:val="part_ebffab834a544147ab5ed4329578e1ae"/>
                    <w:lock w:val="sdtLocked"/>
                    <w:richText/>
                  </w:sdtPr>
                  <w:sdtContent>
                    <w:sdt>
                      <w:sdtPr>
                        <w:alias w:val="3 p."/>
                        <w:tag w:val="part_81ed557181564ba2a3099869a95eb47f"/>
                        <w:lock w:val="sdtLocked"/>
                        <w:richText/>
                      </w:sdtPr>
                      <w:sdtContent>
                        <w:p>
                          <w:pPr>
                            <w:spacing w:line="360" w:lineRule="auto"/>
                            <w:ind w:firstLine="851"/>
                            <w:jc w:val="both"/>
                            <w:rPr>
                              <w:szCs w:val="24"/>
                            </w:rPr>
                          </w:pPr>
                          <w:r>
                            <w:rPr>
                              <w:szCs w:val="24"/>
                            </w:rPr>
                            <w:t>„</w:t>
                          </w:r>
                          <w:sdt>
                            <w:sdtPr>
                              <w:alias w:val="Numeris"/>
                              <w:tag w:val="nr_81ed557181564ba2a3099869a95eb47f"/>
                              <w:lock w:val="sdtLocked"/>
                              <w:richText/>
                            </w:sdtPr>
                            <w:sdtContent>
                              <w:r>
                                <w:rPr>
                                  <w:szCs w:val="24"/>
                                </w:rPr>
                                <w:t>3</w:t>
                              </w:r>
                            </w:sdtContent>
                          </w:sdt>
                          <w:r>
                            <w:rPr>
                              <w:szCs w:val="24"/>
                            </w:rPr>
                            <w:t>. Apraše vartojamos sąvokos suprantamos taip, kaip jos apibrėžtos Aprašo 2 punkte nurodytuose teisės aktuose, Atsakomybės ir funkcijų paskirstymo tarp institucijų, įgyvendinant 2014–2020 metų Europos Sąjungos fondų veiksmų programą, taisyklėse, patvirtintose Lietuvos Respublikos Vyriausybės 2014 m. birželio 4 d. nutarimu Nr. 528 „Dėl atsakomybės ir funkcijų paskirstymo tarp institucijų, įgyvendinant 2014–2020 metų Europos Sąjungos fondų investicijų veiksmų programą“.“</w:t>
                          </w:r>
                        </w:p>
                      </w:sdtContent>
                    </w:sdt>
                  </w:sdtContent>
                </w:sdt>
              </w:sdtContent>
            </w:sdt>
            <w:sdt>
              <w:sdtPr>
                <w:alias w:val="3 p."/>
                <w:tag w:val="part_55b8a9a82d634f129bced7a329ac3963"/>
                <w:lock w:val="sdtLocked"/>
                <w:richText/>
              </w:sdtPr>
              <w:sdtContent>
                <w:p>
                  <w:pPr>
                    <w:suppressAutoHyphens/>
                    <w:spacing w:line="360" w:lineRule="auto"/>
                    <w:ind w:firstLine="720"/>
                    <w:jc w:val="both"/>
                    <w:textAlignment w:val="center"/>
                    <w:rPr>
                      <w:color w:val="000000"/>
                      <w:szCs w:val="24"/>
                    </w:rPr>
                  </w:pPr>
                  <w:sdt>
                    <w:sdtPr>
                      <w:alias w:val="Numeris"/>
                      <w:tag w:val="nr_55b8a9a82d634f129bced7a329ac3963"/>
                      <w:lock w:val="sdtLocked"/>
                      <w:richText/>
                    </w:sdtPr>
                    <w:sdtContent>
                      <w:r>
                        <w:rPr>
                          <w:color w:val="000000"/>
                          <w:szCs w:val="24"/>
                        </w:rPr>
                        <w:t>3</w:t>
                      </w:r>
                    </w:sdtContent>
                  </w:sdt>
                  <w:r>
                    <w:rPr>
                      <w:color w:val="000000"/>
                      <w:szCs w:val="24"/>
                    </w:rPr>
                    <w:t>. Pakeičiu 7 punktą ir jį išdėstau taip:</w:t>
                  </w:r>
                </w:p>
                <w:sdt>
                  <w:sdtPr>
                    <w:alias w:val="citata"/>
                    <w:tag w:val="part_caf2d51653fe48ee90bb6d76712086b8"/>
                    <w:lock w:val="sdtLocked"/>
                    <w:richText/>
                  </w:sdtPr>
                  <w:sdtContent>
                    <w:sdt>
                      <w:sdtPr>
                        <w:alias w:val="7 p."/>
                        <w:tag w:val="part_59b3d8c3087749608effe237da40d3ea"/>
                        <w:lock w:val="sdtLocked"/>
                        <w:richText/>
                      </w:sdtPr>
                      <w:sdtContent>
                        <w:p>
                          <w:pPr>
                            <w:suppressAutoHyphens/>
                            <w:spacing w:line="360" w:lineRule="auto"/>
                            <w:ind w:firstLine="720"/>
                            <w:jc w:val="both"/>
                            <w:textAlignment w:val="center"/>
                            <w:rPr>
                              <w:color w:val="000000"/>
                              <w:szCs w:val="24"/>
                            </w:rPr>
                          </w:pPr>
                          <w:r>
                            <w:rPr>
                              <w:color w:val="000000"/>
                              <w:szCs w:val="24"/>
                            </w:rPr>
                            <w:t>„</w:t>
                          </w:r>
                          <w:sdt>
                            <w:sdtPr>
                              <w:alias w:val="Numeris"/>
                              <w:tag w:val="nr_59b3d8c3087749608effe237da40d3ea"/>
                              <w:lock w:val="sdtLocked"/>
                              <w:richText/>
                            </w:sdtPr>
                            <w:sdtContent>
                              <w:r>
                                <w:rPr>
                                  <w:color w:val="000000"/>
                                  <w:szCs w:val="24"/>
                                </w:rPr>
                                <w:t>7</w:t>
                              </w:r>
                            </w:sdtContent>
                          </w:sdt>
                          <w:r>
                            <w:rPr>
                              <w:color w:val="000000"/>
                              <w:szCs w:val="24"/>
                            </w:rPr>
                            <w:t>. Pagal Aprašą projektams įgyvendinti numatoma skirti iki 1 193 940 eurų (vieno milijono vieno šimto devyniasdešimt trijų tūkstančių devynių šimtų keturiasdešimties eurų), iš kurių iki 1 014 849 eurų (vieno milijono keturiolikos tūkstančių aštuonių šimtų keturiasdešimt devynių eurų) – ES struktūrinių fondų (Europos socialinio fondo) lėšos, iki 179 091 euro (vieno šimto septyniasdešimt devynių tūkstančių devyniasdešimt vieno euro) – Lietuvos Respublikos valstybės biudžeto lėšos.“</w:t>
                          </w:r>
                        </w:p>
                      </w:sdtContent>
                    </w:sdt>
                  </w:sdtContent>
                </w:sdt>
              </w:sdtContent>
            </w:sdt>
            <w:sdt>
              <w:sdtPr>
                <w:alias w:val="4 p."/>
                <w:tag w:val="part_1e8e9aa3097f427aababa8c474a82208"/>
                <w:lock w:val="sdtLocked"/>
                <w:richText/>
              </w:sdtPr>
              <w:sdtContent>
                <w:p>
                  <w:pPr>
                    <w:suppressAutoHyphens/>
                    <w:spacing w:line="360" w:lineRule="auto"/>
                    <w:ind w:firstLine="720"/>
                    <w:jc w:val="both"/>
                    <w:textAlignment w:val="center"/>
                    <w:rPr>
                      <w:color w:val="000000"/>
                      <w:szCs w:val="24"/>
                    </w:rPr>
                  </w:pPr>
                  <w:sdt>
                    <w:sdtPr>
                      <w:alias w:val="Numeris"/>
                      <w:tag w:val="nr_1e8e9aa3097f427aababa8c474a82208"/>
                      <w:lock w:val="sdtLocked"/>
                      <w:richText/>
                    </w:sdtPr>
                    <w:sdtContent>
                      <w:r>
                        <w:rPr>
                          <w:color w:val="000000"/>
                          <w:szCs w:val="24"/>
                        </w:rPr>
                        <w:t>4</w:t>
                      </w:r>
                    </w:sdtContent>
                  </w:sdt>
                  <w:r>
                    <w:rPr>
                      <w:color w:val="000000"/>
                      <w:szCs w:val="24"/>
                    </w:rPr>
                    <w:t>. Pakeičiu 10 punktą ir jį išdėstau taip:</w:t>
                  </w:r>
                </w:p>
                <w:sdt>
                  <w:sdtPr>
                    <w:alias w:val="citata"/>
                    <w:tag w:val="part_044339049c924e4e8cb712d10ef06e41"/>
                    <w:lock w:val="sdtLocked"/>
                    <w:richText/>
                  </w:sdtPr>
                  <w:sdtContent>
                    <w:sdt>
                      <w:sdtPr>
                        <w:alias w:val="10 p."/>
                        <w:tag w:val="part_357662cff83f427eb2e5d82b0b96a978"/>
                        <w:lock w:val="sdtLocked"/>
                        <w:richText/>
                      </w:sdtPr>
                      <w:sdtContent>
                        <w:p>
                          <w:pPr>
                            <w:spacing w:line="360" w:lineRule="auto"/>
                            <w:ind w:firstLine="851"/>
                            <w:jc w:val="both"/>
                            <w:rPr>
                              <w:szCs w:val="24"/>
                            </w:rPr>
                          </w:pPr>
                          <w:r>
                            <w:rPr>
                              <w:color w:val="000000"/>
                              <w:szCs w:val="24"/>
                            </w:rPr>
                            <w:t>„</w:t>
                          </w:r>
                          <w:sdt>
                            <w:sdtPr>
                              <w:alias w:val="Numeris"/>
                              <w:tag w:val="nr_357662cff83f427eb2e5d82b0b96a978"/>
                              <w:lock w:val="sdtLocked"/>
                              <w:richText/>
                            </w:sdtPr>
                            <w:sdtContent>
                              <w:r>
                                <w:rPr>
                                  <w:szCs w:val="24"/>
                                </w:rPr>
                                <w:t>10</w:t>
                              </w:r>
                            </w:sdtContent>
                          </w:sdt>
                          <w:r>
                            <w:rPr>
                              <w:szCs w:val="24"/>
                            </w:rPr>
                            <w:t>. Pagal Aprašą remiamos šios veiklos:</w:t>
                          </w:r>
                        </w:p>
                        <w:sdt>
                          <w:sdtPr>
                            <w:alias w:val="10.1 pp."/>
                            <w:tag w:val="part_49094da93c124eacba77af4022609e7e"/>
                            <w:lock w:val="sdtLocked"/>
                            <w:richText/>
                          </w:sdtPr>
                          <w:sdtContent>
                            <w:p>
                              <w:pPr>
                                <w:spacing w:line="360" w:lineRule="auto"/>
                                <w:ind w:firstLine="851"/>
                                <w:jc w:val="both"/>
                                <w:rPr>
                                  <w:szCs w:val="24"/>
                                </w:rPr>
                              </w:pPr>
                              <w:sdt>
                                <w:sdtPr>
                                  <w:alias w:val="Numeris"/>
                                  <w:tag w:val="nr_49094da93c124eacba77af4022609e7e"/>
                                  <w:lock w:val="sdtLocked"/>
                                  <w:richText/>
                                </w:sdtPr>
                                <w:sdtContent>
                                  <w:r>
                                    <w:rPr>
                                      <w:szCs w:val="24"/>
                                    </w:rPr>
                                    <w:t>10.1</w:t>
                                  </w:r>
                                </w:sdtContent>
                              </w:sdt>
                              <w:r>
                                <w:rPr>
                                  <w:szCs w:val="24"/>
                                </w:rPr>
                                <w:t>. metodinių dokumentų ir kitų metodinės pagalbos priemonių, reikalingų geresnio reglamentavimo priemonių taikymui viešajame valdyme, rengimas, kiek to reikia uždavinio tikslui siekti; uždavinio tikslas – pagerinti verslo reguliavimo aplinką;</w:t>
                              </w:r>
                            </w:p>
                          </w:sdtContent>
                        </w:sdt>
                        <w:sdt>
                          <w:sdtPr>
                            <w:alias w:val="10.2 pp."/>
                            <w:tag w:val="part_868dc97b025445f8ae67c71da7f4830d"/>
                            <w:lock w:val="sdtLocked"/>
                            <w:richText/>
                          </w:sdtPr>
                          <w:sdtContent>
                            <w:p>
                              <w:pPr>
                                <w:spacing w:line="360" w:lineRule="auto"/>
                                <w:ind w:firstLine="851"/>
                                <w:jc w:val="both"/>
                                <w:rPr>
                                  <w:szCs w:val="24"/>
                                </w:rPr>
                              </w:pPr>
                              <w:sdt>
                                <w:sdtPr>
                                  <w:alias w:val="Numeris"/>
                                  <w:tag w:val="nr_868dc97b025445f8ae67c71da7f4830d"/>
                                  <w:lock w:val="sdtLocked"/>
                                  <w:richText/>
                                </w:sdtPr>
                                <w:sdtContent>
                                  <w:r>
                                    <w:rPr>
                                      <w:szCs w:val="24"/>
                                    </w:rPr>
                                    <w:t>10.2</w:t>
                                  </w:r>
                                </w:sdtContent>
                              </w:sdt>
                              <w:r>
                                <w:rPr>
                                  <w:szCs w:val="24"/>
                                </w:rPr>
                                <w:t>.</w:t>
                              </w:r>
                              <w:r>
                                <w:rPr>
                                  <w:sz w:val="22"/>
                                  <w:szCs w:val="22"/>
                                </w:rPr>
                                <w:t xml:space="preserve"> </w:t>
                              </w:r>
                              <w:r>
                                <w:rPr>
                                  <w:szCs w:val="24"/>
                                </w:rPr>
                                <w:t>teisinio reglamentavimo mažinimas ir (ar) paprastinimas, teisės aktų kokybės didinimas, kiek to reikia uždavinio tikslui siekti: sektorinės ar kitos didelės apimties teisės aktų peržiūros, administracinės ir (ar) kitos reguliavimo naštos identifikavimas, vertinimas; pasiūlymų dėl teisinio reglamentavimo, reikalingo reguliavimo naštai mažinti ar kitaip teisinio reglamentavimo kokybei ir efektyvumui didinti, tobulinimo rengimas; uždavinio tikslas – pagerinti verslo reguliavimo aplinką;</w:t>
                              </w:r>
                            </w:p>
                          </w:sdtContent>
                        </w:sdt>
                        <w:sdt>
                          <w:sdtPr>
                            <w:alias w:val="10.3 pp."/>
                            <w:tag w:val="part_e22cc2f27e5c4736be03d5294304c79a"/>
                            <w:lock w:val="sdtLocked"/>
                            <w:richText/>
                          </w:sdtPr>
                          <w:sdtContent>
                            <w:p>
                              <w:pPr>
                                <w:spacing w:line="360" w:lineRule="auto"/>
                                <w:ind w:firstLine="851"/>
                                <w:jc w:val="both"/>
                                <w:rPr>
                                  <w:szCs w:val="24"/>
                                </w:rPr>
                              </w:pPr>
                              <w:sdt>
                                <w:sdtPr>
                                  <w:alias w:val="Numeris"/>
                                  <w:tag w:val="nr_e22cc2f27e5c4736be03d5294304c79a"/>
                                  <w:lock w:val="sdtLocked"/>
                                  <w:richText/>
                                </w:sdtPr>
                                <w:sdtContent>
                                  <w:r>
                                    <w:rPr>
                                      <w:szCs w:val="24"/>
                                    </w:rPr>
                                    <w:t>10.3</w:t>
                                  </w:r>
                                </w:sdtContent>
                              </w:sdt>
                              <w:r>
                                <w:rPr>
                                  <w:szCs w:val="24"/>
                                </w:rPr>
                                <w:t>. ūkio subjektams (verslui) skirtos informacijos apie ūkio subjektams (verslui) teikiamas paslaugas ir (ar) verslo sąlygas, ir (ar) jų teisinį reglamentavimą turinio gerinimas bei informacijos apie teisės aktų reikalavimus ūkio subjektams (verslui) sklaida;</w:t>
                              </w:r>
                            </w:p>
                          </w:sdtContent>
                        </w:sdt>
                        <w:sdt>
                          <w:sdtPr>
                            <w:alias w:val="10.4 pp."/>
                            <w:tag w:val="part_3730ab02dbd04eed95e3f12c15cb1e06"/>
                            <w:lock w:val="sdtLocked"/>
                            <w:richText/>
                          </w:sdtPr>
                          <w:sdtContent>
                            <w:p>
                              <w:pPr>
                                <w:spacing w:line="360" w:lineRule="auto"/>
                                <w:ind w:firstLine="851"/>
                                <w:jc w:val="both"/>
                                <w:rPr>
                                  <w:szCs w:val="24"/>
                                </w:rPr>
                              </w:pPr>
                              <w:sdt>
                                <w:sdtPr>
                                  <w:alias w:val="Numeris"/>
                                  <w:tag w:val="nr_3730ab02dbd04eed95e3f12c15cb1e06"/>
                                  <w:lock w:val="sdtLocked"/>
                                  <w:richText/>
                                </w:sdtPr>
                                <w:sdtContent>
                                  <w:r>
                                    <w:rPr>
                                      <w:szCs w:val="24"/>
                                    </w:rPr>
                                    <w:t>10.4</w:t>
                                  </w:r>
                                </w:sdtContent>
                              </w:sdt>
                              <w:r>
                                <w:rPr>
                                  <w:szCs w:val="24"/>
                                </w:rPr>
                                <w:t xml:space="preserve">. viešojo valdymo institucijų darbuotojų, t. y. </w:t>
                              </w:r>
                              <w:r>
                                <w:rPr>
                                  <w:rFonts w:ascii="TimesNewRoman0" w:hAnsi="TimesNewRoman0" w:cs="TimesNewRoman0"/>
                                  <w:szCs w:val="24"/>
                                </w:rPr>
                                <w:t>asmenų, dirbančių biudžetinėje įstaigoje, kurios savininkė yra valstybė ar savivaldybė, valstybės ar savivaldybės įmonėje ar viešojoje įstaigoje, kurios savininkė ar dalininkė yra valstybė ar savivaldybė, asociacijoje, akcinėje bendrovėje ar uždarojoje akcinėje bendrovėje, kurioje valstybei ar savivaldybei priklauso daugiau kaip 50 procentų balsų visuotiniame akcininkų susirinkime, teisės aktų įgaliotoje dalyvauti viešojo valdymo procesuose, (toliau – viešojo valdymo institucijų darbuotojai)</w:t>
                              </w:r>
                              <w:r>
                                <w:rPr>
                                  <w:szCs w:val="24"/>
                                </w:rPr>
                                <w:t xml:space="preserve"> kompetencijų, reikalingų geresnio reglamentavimo priemonių diegimui (taikymui) stiprinimas (mokymo programų rengimas, mokymai, keitimasis gerąja patirtimi), remiamas tiek, kiek to reikia Priemonės ir projekto tikslams pasiekti; mokymo programų rengimas remiamas tik tokiu atveju, kai tai reikalinga projekte numatytų mokymo veiklų vykdymui ir kai reikiamų mokymo programų nėra Valstybės tarnybos valdymo informacinės sistemos duomenų bazėje ir (ar) esamos mokymo programos neatitinka projekto tikslinės grupės poreikių</w:t>
                              </w:r>
                              <w:r>
                                <w:rPr>
                                  <w:szCs w:val="22"/>
                                </w:rPr>
                                <w:t>; šiame papunktyje nurodyta veikla</w:t>
                              </w:r>
                              <w:r>
                                <w:rPr>
                                  <w:sz w:val="22"/>
                                  <w:szCs w:val="22"/>
                                </w:rPr>
                                <w:t xml:space="preserve"> </w:t>
                              </w:r>
                              <w:r>
                                <w:rPr>
                                  <w:szCs w:val="22"/>
                                </w:rPr>
                                <w:t>atskirai nėra finansuojama, ji gali būti finansuojama tik kartu su kitomis Aprašo 10.1–10.3 papunkčiuose numatytomis veiklomis.</w:t>
                              </w:r>
                              <w:r>
                                <w:rPr>
                                  <w:color w:val="000000"/>
                                  <w:szCs w:val="24"/>
                                </w:rPr>
                                <w:t>“</w:t>
                              </w:r>
                            </w:p>
                          </w:sdtContent>
                        </w:sdt>
                      </w:sdtContent>
                    </w:sdt>
                  </w:sdtContent>
                </w:sdt>
              </w:sdtContent>
            </w:sdt>
            <w:sdt>
              <w:sdtPr>
                <w:alias w:val="5 p."/>
                <w:tag w:val="part_7691f181a0314b2690c294f6e777d2ea"/>
                <w:lock w:val="sdtLocked"/>
                <w:richText/>
              </w:sdtPr>
              <w:sdtContent>
                <w:p>
                  <w:pPr>
                    <w:suppressAutoHyphens/>
                    <w:spacing w:line="360" w:lineRule="auto"/>
                    <w:ind w:firstLine="720"/>
                    <w:jc w:val="both"/>
                    <w:textAlignment w:val="center"/>
                    <w:rPr>
                      <w:color w:val="000000"/>
                      <w:szCs w:val="24"/>
                    </w:rPr>
                  </w:pPr>
                  <w:sdt>
                    <w:sdtPr>
                      <w:alias w:val="Numeris"/>
                      <w:tag w:val="nr_7691f181a0314b2690c294f6e777d2ea"/>
                      <w:lock w:val="sdtLocked"/>
                      <w:richText/>
                    </w:sdtPr>
                    <w:sdtContent>
                      <w:r>
                        <w:rPr>
                          <w:color w:val="000000"/>
                          <w:szCs w:val="24"/>
                        </w:rPr>
                        <w:t>5</w:t>
                      </w:r>
                    </w:sdtContent>
                  </w:sdt>
                  <w:r>
                    <w:rPr>
                      <w:color w:val="000000"/>
                      <w:szCs w:val="24"/>
                    </w:rPr>
                    <w:t>. Pakeičiu 13 punktą ir jį išdėstau taip:</w:t>
                  </w:r>
                </w:p>
                <w:sdt>
                  <w:sdtPr>
                    <w:alias w:val="citata"/>
                    <w:tag w:val="part_963f4c4ed5c8455e9be616a5070264b9"/>
                    <w:lock w:val="sdtLocked"/>
                    <w:richText/>
                  </w:sdtPr>
                  <w:sdtContent>
                    <w:sdt>
                      <w:sdtPr>
                        <w:alias w:val="13 p."/>
                        <w:tag w:val="part_7b07dd7108f94f4ba60e2d17b0bd7f70"/>
                        <w:lock w:val="sdtLocked"/>
                        <w:richText/>
                      </w:sdtPr>
                      <w:sdtContent>
                        <w:p>
                          <w:pPr>
                            <w:spacing w:line="360" w:lineRule="auto"/>
                            <w:ind w:firstLine="851"/>
                            <w:jc w:val="both"/>
                            <w:rPr>
                              <w:b/>
                              <w:szCs w:val="24"/>
                            </w:rPr>
                          </w:pPr>
                          <w:r>
                            <w:rPr>
                              <w:szCs w:val="24"/>
                            </w:rPr>
                            <w:t>„</w:t>
                          </w:r>
                          <w:sdt>
                            <w:sdtPr>
                              <w:alias w:val="Numeris"/>
                              <w:tag w:val="nr_7b07dd7108f94f4ba60e2d17b0bd7f70"/>
                              <w:lock w:val="sdtLocked"/>
                              <w:richText/>
                            </w:sdtPr>
                            <w:sdtContent>
                              <w:r>
                                <w:rPr>
                                  <w:szCs w:val="24"/>
                                </w:rPr>
                                <w:t>13</w:t>
                              </w:r>
                            </w:sdtContent>
                          </w:sdt>
                          <w:r>
                            <w:rPr>
                              <w:szCs w:val="24"/>
                            </w:rPr>
                            <w:t>. Pagal Aprašą galimi pareiškėjai</w:t>
                          </w:r>
                          <w:r>
                            <w:rPr>
                              <w:b/>
                              <w:szCs w:val="24"/>
                            </w:rPr>
                            <w:t>:</w:t>
                          </w:r>
                        </w:p>
                        <w:sdt>
                          <w:sdtPr>
                            <w:alias w:val="13.1 pp."/>
                            <w:tag w:val="part_9eda6622fbd84a3a8157bb89cf3a3844"/>
                            <w:lock w:val="sdtLocked"/>
                            <w:richText/>
                          </w:sdtPr>
                          <w:sdtContent>
                            <w:p>
                              <w:pPr>
                                <w:spacing w:line="360" w:lineRule="auto"/>
                                <w:ind w:firstLine="851"/>
                                <w:jc w:val="both"/>
                                <w:rPr>
                                  <w:b/>
                                  <w:szCs w:val="24"/>
                                </w:rPr>
                              </w:pPr>
                              <w:sdt>
                                <w:sdtPr>
                                  <w:alias w:val="Numeris"/>
                                  <w:tag w:val="nr_9eda6622fbd84a3a8157bb89cf3a3844"/>
                                  <w:lock w:val="sdtLocked"/>
                                  <w:richText/>
                                </w:sdtPr>
                                <w:sdtContent>
                                  <w:r>
                                    <w:rPr>
                                      <w:szCs w:val="24"/>
                                    </w:rPr>
                                    <w:t>13.1</w:t>
                                  </w:r>
                                </w:sdtContent>
                              </w:sdt>
                              <w:r>
                                <w:rPr>
                                  <w:szCs w:val="24"/>
                                </w:rPr>
                                <w:t>.</w:t>
                              </w:r>
                              <w:r>
                                <w:rPr>
                                  <w:b/>
                                  <w:szCs w:val="24"/>
                                </w:rPr>
                                <w:t xml:space="preserve"> </w:t>
                              </w:r>
                              <w:r>
                                <w:rPr>
                                  <w:szCs w:val="24"/>
                                </w:rPr>
                                <w:t>valstybės institucijos ir įstaigos, kurios atitinka Aprašo 18 punkto reikalavimus projekto vykdytojui;</w:t>
                              </w:r>
                            </w:p>
                          </w:sdtContent>
                        </w:sdt>
                        <w:sdt>
                          <w:sdtPr>
                            <w:alias w:val="13.2 pp."/>
                            <w:tag w:val="part_72ffe0b86e634d79a4e8ff14c3758116"/>
                            <w:lock w:val="sdtLocked"/>
                            <w:richText/>
                          </w:sdtPr>
                          <w:sdtContent>
                            <w:p>
                              <w:pPr>
                                <w:spacing w:line="360" w:lineRule="auto"/>
                                <w:ind w:firstLine="851"/>
                                <w:jc w:val="both"/>
                                <w:rPr>
                                  <w:szCs w:val="24"/>
                                </w:rPr>
                              </w:pPr>
                              <w:sdt>
                                <w:sdtPr>
                                  <w:alias w:val="Numeris"/>
                                  <w:tag w:val="nr_72ffe0b86e634d79a4e8ff14c3758116"/>
                                  <w:lock w:val="sdtLocked"/>
                                  <w:richText/>
                                </w:sdtPr>
                                <w:sdtContent>
                                  <w:r>
                                    <w:rPr>
                                      <w:szCs w:val="24"/>
                                    </w:rPr>
                                    <w:t>13.2</w:t>
                                  </w:r>
                                </w:sdtContent>
                              </w:sdt>
                              <w:r>
                                <w:rPr>
                                  <w:szCs w:val="24"/>
                                </w:rPr>
                                <w:t>. viešojo valdymo institucijos, kurioms suteikti įgaliojimai gerinti verslo aplinką per paslaugų ir gaminių kontaktinį centrą ir, kurios atitinka Aprašo 18 punkto reikalavimus projektų vykdytojui.“</w:t>
                              </w:r>
                            </w:p>
                          </w:sdtContent>
                        </w:sdt>
                      </w:sdtContent>
                    </w:sdt>
                  </w:sdtContent>
                </w:sdt>
              </w:sdtContent>
            </w:sdt>
            <w:sdt>
              <w:sdtPr>
                <w:alias w:val="6 p."/>
                <w:tag w:val="part_9e524315a6834200a345c5826e6e4ad0"/>
                <w:lock w:val="sdtLocked"/>
                <w:richText/>
              </w:sdtPr>
              <w:sdtContent>
                <w:p>
                  <w:pPr>
                    <w:suppressAutoHyphens/>
                    <w:spacing w:line="360" w:lineRule="auto"/>
                    <w:ind w:firstLine="720"/>
                    <w:jc w:val="both"/>
                    <w:textAlignment w:val="center"/>
                    <w:rPr>
                      <w:color w:val="000000"/>
                      <w:szCs w:val="24"/>
                    </w:rPr>
                  </w:pPr>
                  <w:sdt>
                    <w:sdtPr>
                      <w:alias w:val="Numeris"/>
                      <w:tag w:val="nr_9e524315a6834200a345c5826e6e4ad0"/>
                      <w:lock w:val="sdtLocked"/>
                      <w:richText/>
                    </w:sdtPr>
                    <w:sdtContent>
                      <w:r>
                        <w:rPr>
                          <w:color w:val="000000"/>
                          <w:szCs w:val="24"/>
                        </w:rPr>
                        <w:t>6</w:t>
                      </w:r>
                    </w:sdtContent>
                  </w:sdt>
                  <w:r>
                    <w:rPr>
                      <w:color w:val="000000"/>
                      <w:szCs w:val="24"/>
                    </w:rPr>
                    <w:t>. Pakeičiu 18 punktą ir jį išdėstau taip:</w:t>
                  </w:r>
                </w:p>
                <w:sdt>
                  <w:sdtPr>
                    <w:alias w:val="citata"/>
                    <w:tag w:val="part_48b62a2968534c2aa5046742f0acf82f"/>
                    <w:lock w:val="sdtLocked"/>
                    <w:richText/>
                  </w:sdtPr>
                  <w:sdtContent>
                    <w:sdt>
                      <w:sdtPr>
                        <w:alias w:val="18 p."/>
                        <w:tag w:val="part_409447c7d2e141dbbdcbd1b963821474"/>
                        <w:lock w:val="sdtLocked"/>
                        <w:richText/>
                      </w:sdtPr>
                      <w:sdtContent>
                        <w:p>
                          <w:pPr>
                            <w:spacing w:line="360" w:lineRule="auto"/>
                            <w:ind w:firstLine="851"/>
                            <w:jc w:val="both"/>
                            <w:rPr>
                              <w:szCs w:val="24"/>
                            </w:rPr>
                          </w:pPr>
                          <w:r>
                            <w:rPr>
                              <w:szCs w:val="24"/>
                            </w:rPr>
                            <w:t>„</w:t>
                          </w:r>
                          <w:sdt>
                            <w:sdtPr>
                              <w:alias w:val="Numeris"/>
                              <w:tag w:val="nr_409447c7d2e141dbbdcbd1b963821474"/>
                              <w:lock w:val="sdtLocked"/>
                              <w:richText/>
                            </w:sdtPr>
                            <w:sdtContent>
                              <w:r>
                                <w:rPr>
                                  <w:szCs w:val="24"/>
                                </w:rPr>
                                <w:t>18</w:t>
                              </w:r>
                            </w:sdtContent>
                          </w:sdt>
                          <w:r>
                            <w:rPr>
                              <w:szCs w:val="24"/>
                            </w:rPr>
                            <w:t xml:space="preserve">. Projektai turi atitikti specialųjį projektų atrankos kriterijų,  t. y. projektai turi atitikti</w:t>
                          </w:r>
                          <w:r>
                            <w:rPr>
                              <w:b/>
                              <w:szCs w:val="24"/>
                            </w:rPr>
                            <w:t>:</w:t>
                          </w:r>
                          <w:r>
                            <w:rPr>
                              <w:szCs w:val="24"/>
                            </w:rPr>
                            <w:t xml:space="preserve"> </w:t>
                          </w:r>
                        </w:p>
                        <w:sdt>
                          <w:sdtPr>
                            <w:alias w:val="18.1 pp."/>
                            <w:tag w:val="part_e36a605f83b14eb88926683d500dc3a8"/>
                            <w:lock w:val="sdtLocked"/>
                            <w:richText/>
                          </w:sdtPr>
                          <w:sdtContent>
                            <w:p>
                              <w:pPr>
                                <w:spacing w:line="360" w:lineRule="auto"/>
                                <w:ind w:firstLine="851"/>
                                <w:jc w:val="both"/>
                                <w:rPr>
                                  <w:szCs w:val="24"/>
                                </w:rPr>
                              </w:pPr>
                              <w:sdt>
                                <w:sdtPr>
                                  <w:alias w:val="Numeris"/>
                                  <w:tag w:val="nr_e36a605f83b14eb88926683d500dc3a8"/>
                                  <w:lock w:val="sdtLocked"/>
                                  <w:richText/>
                                </w:sdtPr>
                                <w:sdtContent>
                                  <w:r>
                                    <w:rPr>
                                      <w:szCs w:val="24"/>
                                    </w:rPr>
                                    <w:t>18.1</w:t>
                                  </w:r>
                                </w:sdtContent>
                              </w:sdt>
                              <w:r>
                                <w:rPr>
                                  <w:szCs w:val="24"/>
                                </w:rPr>
                                <w:t>. 2013–2015 metų veiksmų plano 3 tikslo „Stiprinti strateginį mąstymą viešojo valdymo institucijose ir gerinti jų veiklos valdymą“ 3.1 uždavinio „Diegti į rezultatus orientuotą ir įrodymais grįstą valdymą“ priemonės 3.1.2. „Mažinti reglamentavimą ir gerinti teisės aktų kokybę“ 3.1.2.8 papunktyje nustatytą įgyvendinimo veiksmą. Laikoma, kad projektas atitinka šį specialųjį projektų atrankos kriterijų, jei projektas (projekto tikslas, projekto pareiškėjas, projektui prašoma skirti lėšų suma ir finansavimo šaltinis) atitinka 2013–2015 veiksmų plano 3.1.2.8. įgyvendinimo veiksme pateiktą informaciją apie projekto tikslą, įgyvendinančią instituciją, lėšų sumą (laikoma, kad šį reikalavimą atitinka,</w:t>
                              </w:r>
                              <w:r>
                                <w:rPr>
                                  <w:rFonts w:eastAsia="Calibri"/>
                                  <w:szCs w:val="24"/>
                                </w:rPr>
                                <w:t xml:space="preserve"> jeigu projektui prašoma skirti lėšų suma neviršija 2013–2015 metų veiksmų plane konkrečiam veiksmui įgyvendinti numatytos lėšų sumos) ir</w:t>
                              </w:r>
                              <w:r>
                                <w:rPr>
                                  <w:szCs w:val="24"/>
                                </w:rPr>
                                <w:t xml:space="preserve"> finansavimo šaltinį;</w:t>
                              </w:r>
                            </w:p>
                          </w:sdtContent>
                        </w:sdt>
                        <w:sdt>
                          <w:sdtPr>
                            <w:alias w:val="18.2 pp."/>
                            <w:tag w:val="part_c5731161d69840ec8ac26308f364baa4"/>
                            <w:lock w:val="sdtLocked"/>
                            <w:richText/>
                          </w:sdtPr>
                          <w:sdtContent>
                            <w:p>
                              <w:pPr>
                                <w:spacing w:line="360" w:lineRule="auto"/>
                                <w:ind w:firstLine="851"/>
                                <w:jc w:val="both"/>
                                <w:rPr>
                                  <w:color w:val="000000"/>
                                  <w:szCs w:val="24"/>
                                </w:rPr>
                              </w:pPr>
                              <w:sdt>
                                <w:sdtPr>
                                  <w:alias w:val="Numeris"/>
                                  <w:tag w:val="nr_c5731161d69840ec8ac26308f364baa4"/>
                                  <w:lock w:val="sdtLocked"/>
                                  <w:richText/>
                                </w:sdtPr>
                                <w:sdtContent>
                                  <w:r>
                                    <w:rPr>
                                      <w:szCs w:val="24"/>
                                    </w:rPr>
                                    <w:t>18.2</w:t>
                                  </w:r>
                                </w:sdtContent>
                              </w:sdt>
                              <w:r>
                                <w:rPr>
                                  <w:szCs w:val="24"/>
                                </w:rPr>
                                <w:t xml:space="preserve">. </w:t>
                              </w:r>
                              <w:r>
                                <w:rPr>
                                  <w:rFonts w:eastAsia="Calibri"/>
                                  <w:szCs w:val="24"/>
                                </w:rPr>
                                <w:t>arba bent vieną iš 2016–2018 metų veiksmų plano</w:t>
                              </w:r>
                              <w:r>
                                <w:rPr>
                                  <w:szCs w:val="24"/>
                                </w:rPr>
                                <w:t xml:space="preserve"> </w:t>
                              </w:r>
                              <w:r>
                                <w:rPr>
                                  <w:color w:val="000000"/>
                                  <w:szCs w:val="24"/>
                                </w:rPr>
                                <w:t>3 tikslo „Stiprinti strateginį mąstymą viešojo valdymo institucijose ir gerinti jų veiklos valdymą“ 3.1 uždavinio „Diegti į rezultatus orientuotą ir įrodymais grįstą valdymą“ 3.1.2 priemonės „Mažinti reglamentavimą ir gerinti teisės aktų kokybę“ arba 3.1.4 priemonės „Gerinti viešojo valdymo institucijų veiklos organizavimą – diegti projektinį ir procesų valdymą“ įgyvendinimo veiksmų.</w:t>
                              </w:r>
                              <w:r>
                                <w:rPr>
                                  <w:rFonts w:eastAsia="Calibri"/>
                                  <w:szCs w:val="24"/>
                                </w:rPr>
                                <w:t xml:space="preserve"> Laikoma, kad projektas atitinka šį specialiųjų projektų atrankos kriterijų, jei projektas (projekto tikslas, projekto pareiškėjas, projektui prašoma skirti lėšų suma ir finansavimo šaltinis) atitinka bent vieno iš 3.1.2 priemonės „Mažinti reglamentavimą ir gerinti teisės aktų kokybę“ arba 3.1.4 priemonės „Gerinti viešojo valdymo institucijų veiklos organizavimą – diegti projektinį ir procesų valdymą“</w:t>
                              </w:r>
                              <w:r>
                                <w:rPr>
                                  <w:szCs w:val="24"/>
                                </w:rPr>
                                <w:t xml:space="preserve"> </w:t>
                              </w:r>
                              <w:r>
                                <w:rPr>
                                  <w:color w:val="000000"/>
                                  <w:szCs w:val="24"/>
                                </w:rPr>
                                <w:t xml:space="preserve">įgyvendinimo veiksmų pateiktą informaciją apie projekto tikslą, įgyvendinančią instituciją, lėšų sumą, reikalingą projekto vykdymui (laikoma, kad šį reikalavimą atitinka, jeigu projektui prašoma skirti lėšų suma neviršija 2016–2018 metų veiksmų plane konkrečiam veiksmui įgyvendinti numatytos lėšų sumos), ir finansavimo šaltinį „2014–2020 m. Europos Sąjungos fondų investicijų veiksmų programos prioriteto „Visuomenės poreikius atitinkantis ir pažangus viešasis valdymas“ priemonei 10.1.4-ESFA-V-921 „Geresnio reglamentavimo diegimas ir verslo priežiūros sistemos tobulinimas“ skirtos lėšos“. </w:t>
                              </w:r>
                            </w:p>
                          </w:sdtContent>
                        </w:sdt>
                      </w:sdtContent>
                    </w:sdt>
                    <w:sdt>
                      <w:sdtPr>
                        <w:alias w:val="7 p."/>
                        <w:tag w:val="part_68fefb49124a44bd84380126e36becef"/>
                        <w:lock w:val="sdtLocked"/>
                        <w:richText/>
                      </w:sdtPr>
                      <w:sdtContent>
                        <w:p>
                          <w:pPr>
                            <w:spacing w:line="360" w:lineRule="auto"/>
                            <w:ind w:firstLine="851"/>
                            <w:jc w:val="both"/>
                            <w:rPr>
                              <w:color w:val="000000"/>
                              <w:szCs w:val="24"/>
                            </w:rPr>
                          </w:pPr>
                          <w:sdt>
                            <w:sdtPr>
                              <w:alias w:val="Numeris"/>
                              <w:tag w:val="nr_68fefb49124a44bd84380126e36becef"/>
                              <w:lock w:val="sdtLocked"/>
                              <w:richText/>
                            </w:sdtPr>
                            <w:sdtContent>
                              <w:r>
                                <w:rPr>
                                  <w:color w:val="000000"/>
                                  <w:szCs w:val="24"/>
                                </w:rPr>
                                <w:t>7</w:t>
                              </w:r>
                            </w:sdtContent>
                          </w:sdt>
                          <w:r>
                            <w:rPr>
                              <w:color w:val="000000"/>
                              <w:szCs w:val="24"/>
                            </w:rPr>
                            <w:t>. Pakeičiu 24 punktą ir jį išdėstau taip:</w:t>
                          </w:r>
                        </w:p>
                        <w:p>
                          <w:pPr>
                            <w:spacing w:line="360" w:lineRule="auto"/>
                            <w:ind w:firstLine="851"/>
                            <w:jc w:val="both"/>
                            <w:rPr>
                              <w:color w:val="000000"/>
                              <w:szCs w:val="24"/>
                            </w:rPr>
                          </w:pPr>
                          <w:r>
                            <w:rPr>
                              <w:color w:val="000000"/>
                              <w:szCs w:val="24"/>
                            </w:rPr>
                            <w:t xml:space="preserve">„24. Jeigu projekto įgyvendinimo metu numatoma vykdyti veiklas, atitinkančias Aprašo    10.4 papunktyje numatytas veiklas, projektu privalomai turi būti siekiama produkto stebėsenos rodiklio „Viešojo valdymo institucijų darbuotojai, kurie dalyvavo pagal veiksmų programą ESF lėšomis vykdytose veiklose, skirtose stiprinti geresnio reglamentavimo diegimui ar ūkio subjektų veiklos priežiūros efektyvumo didinimui reikalingas kompetencijas“ (rodiklio kodas – P.S.419).“</w:t>
                          </w:r>
                        </w:p>
                      </w:sdtContent>
                    </w:sdt>
                  </w:sdtContent>
                </w:sdt>
              </w:sdtContent>
            </w:sdt>
            <w:sdt>
              <w:sdtPr>
                <w:alias w:val="8 p."/>
                <w:tag w:val="part_bd64f53ec3a54624ad7b8ffe14b53684"/>
                <w:lock w:val="sdtLocked"/>
                <w:richText/>
              </w:sdtPr>
              <w:sdtContent>
                <w:p>
                  <w:pPr>
                    <w:spacing w:line="360" w:lineRule="auto"/>
                    <w:ind w:firstLine="851"/>
                    <w:jc w:val="both"/>
                    <w:rPr>
                      <w:color w:val="000000"/>
                      <w:szCs w:val="24"/>
                    </w:rPr>
                  </w:pPr>
                  <w:sdt>
                    <w:sdtPr>
                      <w:alias w:val="Numeris"/>
                      <w:tag w:val="nr_bd64f53ec3a54624ad7b8ffe14b53684"/>
                      <w:lock w:val="sdtLocked"/>
                      <w:richText/>
                    </w:sdtPr>
                    <w:sdtContent>
                      <w:r>
                        <w:rPr>
                          <w:color w:val="000000"/>
                          <w:szCs w:val="24"/>
                        </w:rPr>
                        <w:t>8</w:t>
                      </w:r>
                    </w:sdtContent>
                  </w:sdt>
                  <w:r>
                    <w:rPr>
                      <w:color w:val="000000"/>
                      <w:szCs w:val="24"/>
                    </w:rPr>
                    <w:t>. Pakeičiu 26 punktą ir jį išdėstau taip:</w:t>
                  </w:r>
                </w:p>
                <w:sdt>
                  <w:sdtPr>
                    <w:alias w:val="citata"/>
                    <w:tag w:val="part_571c343526d44e73bf4ac18504671dcd"/>
                    <w:lock w:val="sdtLocked"/>
                    <w:richText/>
                  </w:sdtPr>
                  <w:sdtContent>
                    <w:sdt>
                      <w:sdtPr>
                        <w:alias w:val="26 p."/>
                        <w:tag w:val="part_d38bd6259e0340bcab652bea97393e5c"/>
                        <w:lock w:val="sdtLocked"/>
                        <w:richText/>
                      </w:sdtPr>
                      <w:sdtContent>
                        <w:p>
                          <w:pPr>
                            <w:spacing w:line="360" w:lineRule="auto"/>
                            <w:ind w:firstLine="851"/>
                            <w:jc w:val="both"/>
                            <w:rPr>
                              <w:color w:val="000000"/>
                              <w:szCs w:val="24"/>
                            </w:rPr>
                          </w:pPr>
                          <w:r>
                            <w:rPr>
                              <w:color w:val="000000"/>
                              <w:szCs w:val="24"/>
                            </w:rPr>
                            <w:t>„</w:t>
                          </w:r>
                          <w:sdt>
                            <w:sdtPr>
                              <w:alias w:val="Numeris"/>
                              <w:tag w:val="nr_d38bd6259e0340bcab652bea97393e5c"/>
                              <w:lock w:val="sdtLocked"/>
                              <w:richText/>
                            </w:sdtPr>
                            <w:sdtContent>
                              <w:r>
                                <w:rPr>
                                  <w:color w:val="000000"/>
                                  <w:szCs w:val="24"/>
                                </w:rPr>
                                <w:t>26</w:t>
                              </w:r>
                            </w:sdtContent>
                          </w:sdt>
                          <w:r>
                            <w:rPr>
                              <w:color w:val="000000"/>
                              <w:szCs w:val="24"/>
                            </w:rPr>
                            <w:t>. Apraše nurodyti Priemonės įgyvendinimo stebėsenos rodiklių skaičiavimo aprašai nustatyti Veiksmų programos stebėsenos rodiklių skaičiavimo apraše ir skelbiami ES struktūrinių fondų interneto svetainėje www.esinvesticijos.lt adresu http://www.esinvesticijos.lt/lt/dokumentai/stebesenos-rodikliu-skaiciavimo-aprasai.“</w:t>
                          </w:r>
                        </w:p>
                      </w:sdtContent>
                    </w:sdt>
                  </w:sdtContent>
                </w:sdt>
              </w:sdtContent>
            </w:sdt>
            <w:sdt>
              <w:sdtPr>
                <w:alias w:val="9 p."/>
                <w:tag w:val="part_662d6a967e0e4b01a207ffc9e61a277e"/>
                <w:lock w:val="sdtLocked"/>
                <w:richText/>
              </w:sdtPr>
              <w:sdtContent>
                <w:p>
                  <w:pPr>
                    <w:spacing w:line="360" w:lineRule="auto"/>
                    <w:ind w:firstLine="851"/>
                    <w:jc w:val="both"/>
                    <w:rPr>
                      <w:color w:val="000000"/>
                      <w:szCs w:val="24"/>
                    </w:rPr>
                  </w:pPr>
                  <w:sdt>
                    <w:sdtPr>
                      <w:alias w:val="Numeris"/>
                      <w:tag w:val="nr_662d6a967e0e4b01a207ffc9e61a277e"/>
                      <w:lock w:val="sdtLocked"/>
                      <w:richText/>
                    </w:sdtPr>
                    <w:sdtContent>
                      <w:r>
                        <w:rPr>
                          <w:color w:val="000000"/>
                          <w:szCs w:val="24"/>
                        </w:rPr>
                        <w:t>9</w:t>
                      </w:r>
                    </w:sdtContent>
                  </w:sdt>
                  <w:r>
                    <w:rPr>
                      <w:color w:val="000000"/>
                      <w:szCs w:val="24"/>
                    </w:rPr>
                    <w:t>. Pakeičiu 30 punktą ir jį išdėstau taip:</w:t>
                  </w:r>
                </w:p>
                <w:sdt>
                  <w:sdtPr>
                    <w:alias w:val="citata"/>
                    <w:tag w:val="part_ee950d80a9f44746b474f4fc9d4978e2"/>
                    <w:lock w:val="sdtLocked"/>
                    <w:richText/>
                  </w:sdtPr>
                  <w:sdtContent>
                    <w:sdt>
                      <w:sdtPr>
                        <w:alias w:val="30 p."/>
                        <w:tag w:val="part_f3c1ee95b22f4258b600838ee912c91b"/>
                        <w:lock w:val="sdtLocked"/>
                        <w:richText/>
                      </w:sdtPr>
                      <w:sdtContent>
                        <w:p>
                          <w:pPr>
                            <w:spacing w:line="360" w:lineRule="auto"/>
                            <w:ind w:firstLine="851"/>
                            <w:jc w:val="both"/>
                            <w:rPr>
                              <w:szCs w:val="24"/>
                            </w:rPr>
                          </w:pPr>
                          <w:r>
                            <w:rPr>
                              <w:color w:val="000000"/>
                              <w:szCs w:val="24"/>
                            </w:rPr>
                            <w:t>„</w:t>
                          </w:r>
                          <w:sdt>
                            <w:sdtPr>
                              <w:alias w:val="Numeris"/>
                              <w:tag w:val="nr_f3c1ee95b22f4258b600838ee912c91b"/>
                              <w:lock w:val="sdtLocked"/>
                              <w:richText/>
                            </w:sdtPr>
                            <w:sdtContent>
                              <w:r>
                                <w:rPr>
                                  <w:color w:val="000000"/>
                                  <w:szCs w:val="24"/>
                                </w:rPr>
                                <w:t>30</w:t>
                              </w:r>
                            </w:sdtContent>
                          </w:sdt>
                          <w:r>
                            <w:rPr>
                              <w:color w:val="000000"/>
                              <w:szCs w:val="24"/>
                            </w:rPr>
                            <w:t xml:space="preserve">. </w:t>
                          </w:r>
                          <w:r>
                            <w:rPr>
                              <w:szCs w:val="24"/>
                            </w:rPr>
                            <w:t>Projekte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principų įgyvendinimui.“.</w:t>
                          </w:r>
                        </w:p>
                      </w:sdtContent>
                    </w:sdt>
                  </w:sdtContent>
                </w:sdt>
              </w:sdtContent>
            </w:sdt>
            <w:sdt>
              <w:sdtPr>
                <w:alias w:val="10 p."/>
                <w:tag w:val="part_2e894f8478e747d7a83b19dce46420ec"/>
                <w:lock w:val="sdtLocked"/>
                <w:richText/>
              </w:sdtPr>
              <w:sdtContent>
                <w:p>
                  <w:pPr>
                    <w:spacing w:line="360" w:lineRule="auto"/>
                    <w:ind w:firstLine="851"/>
                    <w:jc w:val="both"/>
                    <w:rPr>
                      <w:szCs w:val="24"/>
                    </w:rPr>
                  </w:pPr>
                  <w:sdt>
                    <w:sdtPr>
                      <w:alias w:val="Numeris"/>
                      <w:tag w:val="nr_2e894f8478e747d7a83b19dce46420ec"/>
                      <w:lock w:val="sdtLocked"/>
                      <w:richText/>
                    </w:sdtPr>
                    <w:sdtContent>
                      <w:r>
                        <w:rPr>
                          <w:szCs w:val="24"/>
                        </w:rPr>
                        <w:t>10</w:t>
                      </w:r>
                    </w:sdtContent>
                  </w:sdt>
                  <w:r>
                    <w:rPr>
                      <w:szCs w:val="24"/>
                    </w:rPr>
                    <w:t>. Pakeičiu 37 punktą ir jį išdėstau taip:</w:t>
                  </w:r>
                </w:p>
                <w:sdt>
                  <w:sdtPr>
                    <w:alias w:val="citata"/>
                    <w:tag w:val="part_f8449fa9fe694f6dac3df833bc39d8fb"/>
                    <w:lock w:val="sdtLocked"/>
                    <w:richText/>
                  </w:sdtPr>
                  <w:sdtContent>
                    <w:sdt>
                      <w:sdtPr>
                        <w:alias w:val="37 p."/>
                        <w:tag w:val="part_f9b768d7aa14452a8604eb18e700c0ee"/>
                        <w:lock w:val="sdtLocked"/>
                        <w:richText/>
                      </w:sdtPr>
                      <w:sdtContent>
                        <w:p>
                          <w:pPr>
                            <w:spacing w:line="360" w:lineRule="auto"/>
                            <w:ind w:firstLine="851"/>
                            <w:jc w:val="both"/>
                            <w:rPr>
                              <w:szCs w:val="24"/>
                              <w:lang w:eastAsia="lt-LT"/>
                            </w:rPr>
                          </w:pPr>
                          <w:r>
                            <w:rPr>
                              <w:szCs w:val="24"/>
                              <w:lang w:eastAsia="lt-LT"/>
                            </w:rPr>
                            <w:t>„</w:t>
                          </w:r>
                          <w:sdt>
                            <w:sdtPr>
                              <w:alias w:val="Numeris"/>
                              <w:tag w:val="nr_f9b768d7aa14452a8604eb18e700c0ee"/>
                              <w:lock w:val="sdtLocked"/>
                              <w:richText/>
                            </w:sdtPr>
                            <w:sdtContent>
                              <w:r>
                                <w:rPr>
                                  <w:szCs w:val="24"/>
                                  <w:lang w:eastAsia="lt-LT"/>
                                </w:rPr>
                                <w:t>37</w:t>
                              </w:r>
                            </w:sdtContent>
                          </w:sdt>
                          <w:r>
                            <w:rPr>
                              <w:szCs w:val="24"/>
                              <w:lang w:eastAsia="lt-LT"/>
                            </w:rPr>
                            <w:t>. Pareiškėjas ir (arba) partneris savo iniciatyva ir savo ir (arba) kitų šaltinių lėšomis gali prisidėti prie projekto įgyvendinimo. Aprašo 10.4 papunktyje nurodytą veiklą apimančio projekto vykdytojas ir (arba) partneris prie projekto įgyvendinimo turi prisidėti paraiškoje numatytų Aprašo 10.4 papunktyje nurodytos veiklos dalyvių viešojo valdymo institucijų darbuotojų (išskyrus iš ES struktūrinės, kitos ES finansinės paramos ir tarptautinės finansinės paramos darbo užmokestį ar jo dalį gaunančius darbuotojus) darbo užmokesčiu</w:t>
                          </w:r>
                          <w:r>
                            <w:rPr>
                              <w:b/>
                              <w:szCs w:val="24"/>
                              <w:lang w:eastAsia="lt-LT"/>
                            </w:rPr>
                            <w:t xml:space="preserve">, </w:t>
                          </w:r>
                          <w:r>
                            <w:rPr>
                              <w:szCs w:val="24"/>
                              <w:lang w:eastAsia="lt-LT"/>
                            </w:rPr>
                            <w:t xml:space="preserve">bet ne daugiau kaip 15 proc. visų tinkamų finansuoti projekto išlaidų. </w:t>
                          </w:r>
                          <w:r>
                            <w:rPr>
                              <w:sz w:val="22"/>
                              <w:szCs w:val="22"/>
                            </w:rPr>
                            <w:t xml:space="preserve"> </w:t>
                          </w:r>
                          <w:r>
                            <w:rPr>
                              <w:szCs w:val="24"/>
                              <w:lang w:eastAsia="lt-LT"/>
                            </w:rPr>
                            <w:t>Projekto įgyvendinimo metu padidėjus Aprašo 10.4 papunktyje nurodytą veiklą atitinkančios projekto veiklos apimčiai (t. y. padidėjus dalyvių skaičiui, mokymų trukmei, mokymų skaičiui ir (ar) pan.), paraiškoje nustatyta dalyvių darbo užmokesčio išlaidų suma nėra keičiama.“</w:t>
                          </w:r>
                        </w:p>
                      </w:sdtContent>
                    </w:sdt>
                  </w:sdtContent>
                </w:sdt>
              </w:sdtContent>
            </w:sdt>
            <w:sdt>
              <w:sdtPr>
                <w:alias w:val="11 p."/>
                <w:tag w:val="part_b3a4eca8b1bc49bf92398b608b500fc4"/>
                <w:lock w:val="sdtLocked"/>
                <w:richText/>
              </w:sdtPr>
              <w:sdtContent>
                <w:p>
                  <w:pPr>
                    <w:spacing w:line="360" w:lineRule="auto"/>
                    <w:ind w:firstLine="851"/>
                    <w:jc w:val="both"/>
                    <w:rPr>
                      <w:szCs w:val="24"/>
                      <w:lang w:eastAsia="lt-LT"/>
                    </w:rPr>
                  </w:pPr>
                  <w:sdt>
                    <w:sdtPr>
                      <w:alias w:val="Numeris"/>
                      <w:tag w:val="nr_b3a4eca8b1bc49bf92398b608b500fc4"/>
                      <w:lock w:val="sdtLocked"/>
                      <w:richText/>
                    </w:sdtPr>
                    <w:sdtContent>
                      <w:r>
                        <w:rPr>
                          <w:szCs w:val="24"/>
                          <w:lang w:eastAsia="lt-LT"/>
                        </w:rPr>
                        <w:t>11</w:t>
                      </w:r>
                    </w:sdtContent>
                  </w:sdt>
                  <w:r>
                    <w:rPr>
                      <w:szCs w:val="24"/>
                      <w:lang w:eastAsia="lt-LT"/>
                    </w:rPr>
                    <w:t xml:space="preserve">. Pripažįstu 39.1 papunktį netekusiu galios. </w:t>
                  </w:r>
                </w:p>
              </w:sdtContent>
            </w:sdt>
            <w:sdt>
              <w:sdtPr>
                <w:alias w:val="12 p."/>
                <w:tag w:val="part_ba1c6249d84a4a5c88bf69df2ccf8746"/>
                <w:lock w:val="sdtLocked"/>
                <w:richText/>
              </w:sdtPr>
              <w:sdtContent>
                <w:p>
                  <w:pPr>
                    <w:spacing w:line="360" w:lineRule="auto"/>
                    <w:ind w:firstLine="851"/>
                    <w:jc w:val="both"/>
                    <w:rPr>
                      <w:szCs w:val="24"/>
                    </w:rPr>
                  </w:pPr>
                  <w:sdt>
                    <w:sdtPr>
                      <w:alias w:val="Numeris"/>
                      <w:tag w:val="nr_ba1c6249d84a4a5c88bf69df2ccf8746"/>
                      <w:lock w:val="sdtLocked"/>
                      <w:richText/>
                    </w:sdtPr>
                    <w:sdtContent>
                      <w:r>
                        <w:rPr>
                          <w:color w:val="000000"/>
                          <w:szCs w:val="24"/>
                        </w:rPr>
                        <w:t>12</w:t>
                      </w:r>
                    </w:sdtContent>
                  </w:sdt>
                  <w:r>
                    <w:rPr>
                      <w:color w:val="000000"/>
                      <w:szCs w:val="24"/>
                    </w:rPr>
                    <w:t>. Pakeičiu 39.2.1 papunktį ir jį išdėstau taip:</w:t>
                  </w:r>
                </w:p>
                <w:sdt>
                  <w:sdtPr>
                    <w:alias w:val="citata"/>
                    <w:tag w:val="part_0ff23d0904cd456d9e1ca2b4eb9775c7"/>
                    <w:lock w:val="sdtLocked"/>
                    <w:richText/>
                  </w:sdtPr>
                  <w:sdtContent>
                    <w:sdt>
                      <w:sdtPr>
                        <w:alias w:val="39.2.1 pp."/>
                        <w:tag w:val="part_33e93ef6d2624e2ab8fed70fbe673651"/>
                        <w:lock w:val="sdtLocked"/>
                        <w:richText/>
                      </w:sdtPr>
                      <w:sdtContent>
                        <w:p>
                          <w:pPr>
                            <w:suppressAutoHyphens/>
                            <w:spacing w:line="360" w:lineRule="auto"/>
                            <w:ind w:firstLine="720"/>
                            <w:jc w:val="both"/>
                            <w:textAlignment w:val="center"/>
                            <w:rPr>
                              <w:color w:val="000000"/>
                              <w:szCs w:val="24"/>
                            </w:rPr>
                          </w:pPr>
                          <w:r>
                            <w:rPr>
                              <w:color w:val="000000"/>
                              <w:szCs w:val="24"/>
                            </w:rPr>
                            <w:t>„</w:t>
                          </w:r>
                          <w:sdt>
                            <w:sdtPr>
                              <w:alias w:val="Numeris"/>
                              <w:tag w:val="nr_33e93ef6d2624e2ab8fed70fbe673651"/>
                              <w:lock w:val="sdtLocked"/>
                              <w:richText/>
                            </w:sdtPr>
                            <w:sdtContent>
                              <w:r>
                                <w:rPr>
                                  <w:color w:val="000000"/>
                                  <w:szCs w:val="24"/>
                                </w:rPr>
                                <w:t>39.2.1</w:t>
                              </w:r>
                            </w:sdtContent>
                          </w:sdt>
                          <w:r>
                            <w:rPr>
                              <w:color w:val="000000"/>
                              <w:szCs w:val="24"/>
                            </w:rPr>
                            <w:t>.</w:t>
                          </w:r>
                          <w:r>
                            <w:rPr>
                              <w:sz w:val="22"/>
                              <w:szCs w:val="22"/>
                            </w:rPr>
                            <w:t xml:space="preserve"> </w:t>
                          </w:r>
                          <w:r>
                            <w:rPr>
                              <w:color w:val="000000"/>
                              <w:szCs w:val="24"/>
                            </w:rPr>
                            <w:t>projekto veikloms vykdyti reikalingų baldų, kompiuterinės ir biuro įrangos įsigijimo išlaidos (įskaitant jų transportavimo, projektavimo, sumontavimo, vietos (aikštelės) paruošimo, instaliavimo, paruošimo naudoti, išbandymo, apmokymo naudotis, saugos instruktažo, techninės priežiūros ir susijusias išlaidas). Baldų, kompiuterinės ir kitos biuro įrangos įsigijimo išlaidos gali sudaryti ne daugiau kaip 10 proc. visų tinkamų finansuoti projekto išlaidų;“</w:t>
                          </w:r>
                        </w:p>
                      </w:sdtContent>
                    </w:sdt>
                  </w:sdtContent>
                </w:sdt>
              </w:sdtContent>
            </w:sdt>
            <w:sdt>
              <w:sdtPr>
                <w:alias w:val="13 p."/>
                <w:tag w:val="part_41f50b7c5c4f4dbab230730b7ae9ecdc"/>
                <w:lock w:val="sdtLocked"/>
                <w:richText/>
              </w:sdtPr>
              <w:sdtContent>
                <w:p>
                  <w:pPr>
                    <w:suppressAutoHyphens/>
                    <w:spacing w:line="360" w:lineRule="auto"/>
                    <w:ind w:firstLine="720"/>
                    <w:jc w:val="both"/>
                    <w:textAlignment w:val="center"/>
                    <w:rPr>
                      <w:color w:val="000000"/>
                      <w:szCs w:val="24"/>
                    </w:rPr>
                  </w:pPr>
                  <w:sdt>
                    <w:sdtPr>
                      <w:alias w:val="Numeris"/>
                      <w:tag w:val="nr_41f50b7c5c4f4dbab230730b7ae9ecdc"/>
                      <w:lock w:val="sdtLocked"/>
                      <w:richText/>
                    </w:sdtPr>
                    <w:sdtContent>
                      <w:r>
                        <w:rPr>
                          <w:color w:val="000000"/>
                          <w:szCs w:val="24"/>
                        </w:rPr>
                        <w:t>13</w:t>
                      </w:r>
                    </w:sdtContent>
                  </w:sdt>
                  <w:r>
                    <w:rPr>
                      <w:color w:val="000000"/>
                      <w:szCs w:val="24"/>
                    </w:rPr>
                    <w:t>. Pakeičiu 39.3.1 papunktį ir jį išdėstau taip:</w:t>
                  </w:r>
                </w:p>
                <w:sdt>
                  <w:sdtPr>
                    <w:alias w:val="citata"/>
                    <w:tag w:val="part_69a546b894444d94aadccff959af05dd"/>
                    <w:lock w:val="sdtLocked"/>
                    <w:richText/>
                  </w:sdtPr>
                  <w:sdtContent>
                    <w:sdt>
                      <w:sdtPr>
                        <w:alias w:val="39.3.1 pp."/>
                        <w:tag w:val="part_fd8c70b8827e42bfa787e6f6b0eacbc4"/>
                        <w:lock w:val="sdtLocked"/>
                        <w:richText/>
                      </w:sdtPr>
                      <w:sdtContent>
                        <w:p>
                          <w:pPr>
                            <w:suppressAutoHyphens/>
                            <w:spacing w:line="360" w:lineRule="auto"/>
                            <w:ind w:firstLine="720"/>
                            <w:jc w:val="both"/>
                            <w:textAlignment w:val="center"/>
                            <w:rPr>
                              <w:szCs w:val="24"/>
                              <w:lang w:eastAsia="lt-LT"/>
                            </w:rPr>
                          </w:pPr>
                          <w:r>
                            <w:rPr>
                              <w:color w:val="000000"/>
                              <w:szCs w:val="24"/>
                            </w:rPr>
                            <w:t>„</w:t>
                          </w:r>
                          <w:sdt>
                            <w:sdtPr>
                              <w:alias w:val="Numeris"/>
                              <w:tag w:val="nr_fd8c70b8827e42bfa787e6f6b0eacbc4"/>
                              <w:lock w:val="sdtLocked"/>
                              <w:richText/>
                            </w:sdtPr>
                            <w:sdtContent>
                              <w:r>
                                <w:rPr>
                                  <w:color w:val="000000"/>
                                  <w:szCs w:val="24"/>
                                </w:rPr>
                                <w:t>39.3.1</w:t>
                              </w:r>
                            </w:sdtContent>
                          </w:sdt>
                          <w:r>
                            <w:rPr>
                              <w:color w:val="000000"/>
                              <w:szCs w:val="24"/>
                            </w:rPr>
                            <w:t>. projekto veiklas vykdančių projekto vykdytojo ir partnerių darbuotojų (toliau – projektą vykdantis personalas) darbo užmokesčio ir susijusių darbdavio įsipareigojimų išlaidos;</w:t>
                          </w:r>
                          <w:r>
                            <w:rPr>
                              <w:b/>
                              <w:color w:val="000000"/>
                              <w:szCs w:val="24"/>
                            </w:rPr>
                            <w:t xml:space="preserve"> </w:t>
                          </w:r>
                          <w:r>
                            <w:rPr>
                              <w:szCs w:val="24"/>
                              <w:lang w:eastAsia="lt-LT"/>
                            </w:rPr>
                            <w:t>šiame papunktyje nurodytų asmenų darbo užmokesčio už kasmetines atostogas ir (ar) kompensacijų už nepanaudotas kasmetines atostogas išlaidos finansuojamos pagal kasmetinių atostogų išmokų fiksuotąsias normas, nustatytas Kasmetinių atostogų išmokų fiksuotųjų normų nustatymo tyrimo ataskaitoje, kuri skelbiama interneto svetainėje www.esinvesticijos.lt (</w:t>
                          </w:r>
                          <w:r>
                            <w:rPr>
                              <w:color w:val="0563C1"/>
                              <w:szCs w:val="24"/>
                              <w:u w:val="single"/>
                              <w:lang w:eastAsia="lt-LT"/>
                            </w:rPr>
                            <w:t>http://www.esinvesticijos.lt/lt/dokumentai/kasmetiniu-atostogu-ismoku-fiksuotuju-normu-nustatymo-tyrimo-ataskaita)</w:t>
                          </w:r>
                          <w:r>
                            <w:rPr>
                              <w:szCs w:val="24"/>
                              <w:lang w:eastAsia="lt-LT"/>
                            </w:rPr>
                            <w:t>;“.</w:t>
                          </w:r>
                        </w:p>
                      </w:sdtContent>
                    </w:sdt>
                  </w:sdtContent>
                </w:sdt>
              </w:sdtContent>
            </w:sdt>
            <w:sdt>
              <w:sdtPr>
                <w:alias w:val="14 p."/>
                <w:tag w:val="part_9328d93dbfb849a9b75556fd7071d135"/>
                <w:lock w:val="sdtLocked"/>
                <w:richText/>
              </w:sdtPr>
              <w:sdtContent>
                <w:p>
                  <w:pPr>
                    <w:spacing w:line="360" w:lineRule="auto"/>
                    <w:ind w:firstLine="851"/>
                    <w:jc w:val="both"/>
                    <w:rPr>
                      <w:szCs w:val="24"/>
                    </w:rPr>
                  </w:pPr>
                  <w:sdt>
                    <w:sdtPr>
                      <w:alias w:val="Numeris"/>
                      <w:tag w:val="nr_9328d93dbfb849a9b75556fd7071d135"/>
                      <w:lock w:val="sdtLocked"/>
                      <w:richText/>
                    </w:sdtPr>
                    <w:sdtContent>
                      <w:r>
                        <w:rPr>
                          <w:szCs w:val="24"/>
                          <w:lang w:eastAsia="lt-LT"/>
                        </w:rPr>
                        <w:t>14</w:t>
                      </w:r>
                    </w:sdtContent>
                  </w:sdt>
                  <w:r>
                    <w:rPr>
                      <w:szCs w:val="24"/>
                      <w:lang w:eastAsia="lt-LT"/>
                    </w:rPr>
                    <w:t>.</w:t>
                  </w:r>
                  <w:r>
                    <w:rPr>
                      <w:szCs w:val="24"/>
                    </w:rPr>
                    <w:t xml:space="preserve"> Pakeičiu 39.3.3 papunktį ir jį išdėstau taip:</w:t>
                  </w:r>
                </w:p>
                <w:sdt>
                  <w:sdtPr>
                    <w:alias w:val="citata"/>
                    <w:tag w:val="part_c56849055d1e4467be9f178e93636c94"/>
                    <w:lock w:val="sdtLocked"/>
                    <w:richText/>
                  </w:sdtPr>
                  <w:sdtContent>
                    <w:sdt>
                      <w:sdtPr>
                        <w:alias w:val="39.3.3 pp."/>
                        <w:tag w:val="part_305fa5de124245cd8521d046bc76984d"/>
                        <w:lock w:val="sdtLocked"/>
                        <w:richText/>
                      </w:sdtPr>
                      <w:sdtContent>
                        <w:p>
                          <w:pPr>
                            <w:suppressAutoHyphens/>
                            <w:spacing w:line="360" w:lineRule="auto"/>
                            <w:ind w:firstLine="844"/>
                            <w:jc w:val="both"/>
                            <w:textAlignment w:val="center"/>
                            <w:rPr>
                              <w:color w:val="000000"/>
                              <w:szCs w:val="24"/>
                            </w:rPr>
                          </w:pPr>
                          <w:r>
                            <w:rPr>
                              <w:szCs w:val="24"/>
                            </w:rPr>
                            <w:t>„</w:t>
                          </w:r>
                          <w:sdt>
                            <w:sdtPr>
                              <w:alias w:val="Numeris"/>
                              <w:tag w:val="nr_305fa5de124245cd8521d046bc76984d"/>
                              <w:lock w:val="sdtLocked"/>
                              <w:richText/>
                            </w:sdtPr>
                            <w:sdtContent>
                              <w:r>
                                <w:rPr>
                                  <w:szCs w:val="24"/>
                                </w:rPr>
                                <w:t>39.3.3</w:t>
                              </w:r>
                            </w:sdtContent>
                          </w:sdt>
                          <w:r>
                            <w:rPr>
                              <w:szCs w:val="24"/>
                            </w:rPr>
                            <w:t>. galimybių studijų, leidinių rengimo, tyrimų, vertinimų, metodinės pagalbos priemonių, viešųjų konsultacijų su visuomene vykdymo, mokymų, renginių organizavimo ir vykdymo, renginių dalyvių maitinimo, leidybos ir panašios išlaidos;</w:t>
                          </w:r>
                          <w:r>
                            <w:rPr>
                              <w:color w:val="000000"/>
                              <w:szCs w:val="24"/>
                            </w:rPr>
                            <w:t xml:space="preserve"> renginių organizavimo ir renginių dalyvių maitinimo išlaidos finansuojamos pagal fiksuotuosius įkainius, kaip nurodyta Aprašo </w:t>
                          </w:r>
                          <w:r>
                            <w:rPr>
                              <w:color w:val="000000"/>
                              <w:szCs w:val="24"/>
                              <w:lang w:eastAsia="lt-LT"/>
                            </w:rPr>
                            <w:t xml:space="preserve">44¹, 44, 45, 46 ir 47 </w:t>
                          </w:r>
                          <w:r>
                            <w:rPr>
                              <w:color w:val="000000"/>
                              <w:szCs w:val="24"/>
                            </w:rPr>
                            <w:t>punktuose;“</w:t>
                          </w:r>
                        </w:p>
                      </w:sdtContent>
                    </w:sdt>
                  </w:sdtContent>
                </w:sdt>
              </w:sdtContent>
            </w:sdt>
            <w:sdt>
              <w:sdtPr>
                <w:alias w:val="15 p."/>
                <w:tag w:val="part_fce6e256c9964638b59ea98e469c7b6d"/>
                <w:lock w:val="sdtLocked"/>
                <w:richText/>
              </w:sdtPr>
              <w:sdtContent>
                <w:p>
                  <w:pPr>
                    <w:suppressAutoHyphens/>
                    <w:spacing w:line="360" w:lineRule="auto"/>
                    <w:ind w:firstLine="720"/>
                    <w:jc w:val="both"/>
                    <w:textAlignment w:val="center"/>
                    <w:rPr>
                      <w:color w:val="000000"/>
                      <w:szCs w:val="24"/>
                    </w:rPr>
                  </w:pPr>
                  <w:sdt>
                    <w:sdtPr>
                      <w:alias w:val="Numeris"/>
                      <w:tag w:val="nr_fce6e256c9964638b59ea98e469c7b6d"/>
                      <w:lock w:val="sdtLocked"/>
                      <w:richText/>
                    </w:sdtPr>
                    <w:sdtContent>
                      <w:r>
                        <w:rPr>
                          <w:color w:val="000000"/>
                          <w:szCs w:val="24"/>
                        </w:rPr>
                        <w:t>15</w:t>
                      </w:r>
                    </w:sdtContent>
                  </w:sdt>
                  <w:r>
                    <w:rPr>
                      <w:color w:val="000000"/>
                      <w:szCs w:val="24"/>
                    </w:rPr>
                    <w:t>. Papildau nauju 39.3.10 papunkčiu:</w:t>
                  </w:r>
                </w:p>
                <w:sdt>
                  <w:sdtPr>
                    <w:alias w:val="citata"/>
                    <w:tag w:val="part_a17d1f58c3814d119a83eb6751ce0da0"/>
                    <w:lock w:val="sdtLocked"/>
                    <w:richText/>
                  </w:sdtPr>
                  <w:sdtContent>
                    <w:sdt>
                      <w:sdtPr>
                        <w:alias w:val="39.3.10 pp."/>
                        <w:tag w:val="part_e43ba51115794fe39876d50e5240e606"/>
                        <w:lock w:val="sdtLocked"/>
                        <w:richText/>
                      </w:sdtPr>
                      <w:sdtContent>
                        <w:p>
                          <w:pPr>
                            <w:suppressAutoHyphens/>
                            <w:spacing w:line="360" w:lineRule="auto"/>
                            <w:ind w:firstLine="720"/>
                            <w:jc w:val="both"/>
                            <w:textAlignment w:val="center"/>
                            <w:rPr>
                              <w:color w:val="000000"/>
                              <w:szCs w:val="24"/>
                              <w:highlight w:val="yellow"/>
                            </w:rPr>
                          </w:pPr>
                          <w:r>
                            <w:rPr>
                              <w:color w:val="000000"/>
                              <w:szCs w:val="24"/>
                            </w:rPr>
                            <w:t>„</w:t>
                          </w:r>
                          <w:sdt>
                            <w:sdtPr>
                              <w:alias w:val="Numeris"/>
                              <w:tag w:val="nr_e43ba51115794fe39876d50e5240e606"/>
                              <w:lock w:val="sdtLocked"/>
                              <w:richText/>
                            </w:sdtPr>
                            <w:sdtContent>
                              <w:r>
                                <w:rPr>
                                  <w:color w:val="000000"/>
                                  <w:szCs w:val="24"/>
                                </w:rPr>
                                <w:t>39.3.10</w:t>
                              </w:r>
                            </w:sdtContent>
                          </w:sdt>
                          <w:r>
                            <w:rPr>
                              <w:color w:val="000000"/>
                              <w:szCs w:val="24"/>
                            </w:rPr>
                            <w:t>. projekto veikloms vykdyti reikalingos biuro, kompiuterinės ir programinės įrangos nuomos išlaidos;“.</w:t>
                          </w:r>
                        </w:p>
                      </w:sdtContent>
                    </w:sdt>
                  </w:sdtContent>
                </w:sdt>
              </w:sdtContent>
            </w:sdt>
            <w:sdt>
              <w:sdtPr>
                <w:alias w:val="16 p."/>
                <w:tag w:val="part_f81fe5c2e7bf4fd1be9b1878596c2acd"/>
                <w:lock w:val="sdtLocked"/>
                <w:richText/>
              </w:sdtPr>
              <w:sdtContent>
                <w:p>
                  <w:pPr>
                    <w:suppressAutoHyphens/>
                    <w:spacing w:line="360" w:lineRule="auto"/>
                    <w:ind w:firstLine="720"/>
                    <w:jc w:val="both"/>
                    <w:textAlignment w:val="center"/>
                    <w:rPr>
                      <w:color w:val="000000"/>
                      <w:szCs w:val="24"/>
                    </w:rPr>
                  </w:pPr>
                  <w:sdt>
                    <w:sdtPr>
                      <w:alias w:val="Numeris"/>
                      <w:tag w:val="nr_f81fe5c2e7bf4fd1be9b1878596c2acd"/>
                      <w:lock w:val="sdtLocked"/>
                      <w:richText/>
                    </w:sdtPr>
                    <w:sdtContent>
                      <w:r>
                        <w:rPr>
                          <w:color w:val="000000"/>
                          <w:szCs w:val="24"/>
                        </w:rPr>
                        <w:t>16</w:t>
                      </w:r>
                    </w:sdtContent>
                  </w:sdt>
                  <w:r>
                    <w:rPr>
                      <w:color w:val="000000"/>
                      <w:szCs w:val="24"/>
                    </w:rPr>
                    <w:t>. Buvusį 39.3.10 papunktį laikau 39.3.11 papunkčiu.</w:t>
                  </w:r>
                </w:p>
                <w:sdt>
                  <w:sdtPr>
                    <w:alias w:val="39.3.11 pp."/>
                    <w:tag w:val="part_c9de3ab914df4276868dee39584b193f"/>
                    <w:lock w:val="sdtLocked"/>
                    <w:richText/>
                  </w:sdtPr>
                  <w:sdtContent>
                    <w:p>
                      <w:pPr>
                        <w:suppressAutoHyphens/>
                        <w:spacing w:line="360" w:lineRule="auto"/>
                        <w:ind w:firstLine="720"/>
                        <w:jc w:val="both"/>
                        <w:textAlignment w:val="center"/>
                        <w:rPr>
                          <w:color w:val="000000"/>
                          <w:szCs w:val="24"/>
                        </w:rPr>
                      </w:pPr>
                      <w:r>
                        <w:rPr>
                          <w:color w:val="000000"/>
                          <w:szCs w:val="24"/>
                        </w:rPr>
                        <w:t>„</w:t>
                      </w:r>
                      <w:sdt>
                        <w:sdtPr>
                          <w:alias w:val="Numeris"/>
                          <w:tag w:val="nr_c9de3ab914df4276868dee39584b193f"/>
                          <w:lock w:val="sdtLocked"/>
                          <w:richText/>
                        </w:sdtPr>
                        <w:sdtContent>
                          <w:r>
                            <w:rPr>
                              <w:color w:val="000000"/>
                              <w:szCs w:val="24"/>
                            </w:rPr>
                            <w:t>39.3.11</w:t>
                          </w:r>
                        </w:sdtContent>
                      </w:sdt>
                      <w:r>
                        <w:rPr>
                          <w:color w:val="000000"/>
                          <w:szCs w:val="24"/>
                        </w:rPr>
                        <w:t>. kitos projekto veikloms įvykdyti būtinos ir pagrįstos išlaidos“.</w:t>
                      </w:r>
                    </w:p>
                  </w:sdtContent>
                </w:sdt>
              </w:sdtContent>
            </w:sdt>
            <w:sdt>
              <w:sdtPr>
                <w:alias w:val="17 p."/>
                <w:tag w:val="part_93ee8db7151246d8b57d3dc66eb3db34"/>
                <w:lock w:val="sdtLocked"/>
                <w:richText/>
              </w:sdtPr>
              <w:sdtContent>
                <w:p>
                  <w:pPr>
                    <w:suppressAutoHyphens/>
                    <w:spacing w:line="360" w:lineRule="auto"/>
                    <w:ind w:firstLine="720"/>
                    <w:jc w:val="both"/>
                    <w:textAlignment w:val="center"/>
                    <w:rPr>
                      <w:color w:val="000000"/>
                      <w:szCs w:val="24"/>
                    </w:rPr>
                  </w:pPr>
                  <w:sdt>
                    <w:sdtPr>
                      <w:alias w:val="Numeris"/>
                      <w:tag w:val="nr_93ee8db7151246d8b57d3dc66eb3db34"/>
                      <w:lock w:val="sdtLocked"/>
                      <w:richText/>
                    </w:sdtPr>
                    <w:sdtContent>
                      <w:r>
                        <w:rPr>
                          <w:color w:val="000000"/>
                          <w:szCs w:val="24"/>
                        </w:rPr>
                        <w:t>17</w:t>
                      </w:r>
                    </w:sdtContent>
                  </w:sdt>
                  <w:r>
                    <w:rPr>
                      <w:color w:val="000000"/>
                      <w:szCs w:val="24"/>
                    </w:rPr>
                    <w:t>. Pakeičiu 39.4 papunktį ir jį išdėstau taip:</w:t>
                  </w:r>
                </w:p>
                <w:sdt>
                  <w:sdtPr>
                    <w:alias w:val="citata"/>
                    <w:tag w:val="part_f4b30825995a474ab53d81e52bd8dbbc"/>
                    <w:lock w:val="sdtLocked"/>
                    <w:richText/>
                  </w:sdtPr>
                  <w:sdtContent>
                    <w:sdt>
                      <w:sdtPr>
                        <w:alias w:val="39.4 pp."/>
                        <w:tag w:val="part_00a78ddbeb6a47a8b77cf4a8636cedc2"/>
                        <w:lock w:val="sdtLocked"/>
                        <w:richText/>
                      </w:sdtPr>
                      <w:sdtContent>
                        <w:p>
                          <w:pPr>
                            <w:suppressAutoHyphens/>
                            <w:spacing w:line="360" w:lineRule="auto"/>
                            <w:ind w:firstLine="720"/>
                            <w:jc w:val="both"/>
                            <w:textAlignment w:val="center"/>
                            <w:rPr>
                              <w:color w:val="000000"/>
                              <w:szCs w:val="24"/>
                              <w:lang w:eastAsia="lt-LT"/>
                            </w:rPr>
                          </w:pPr>
                          <w:r>
                            <w:rPr>
                              <w:color w:val="000000"/>
                              <w:szCs w:val="24"/>
                            </w:rPr>
                            <w:t>„</w:t>
                          </w:r>
                          <w:sdt>
                            <w:sdtPr>
                              <w:alias w:val="Numeris"/>
                              <w:tag w:val="nr_00a78ddbeb6a47a8b77cf4a8636cedc2"/>
                              <w:lock w:val="sdtLocked"/>
                              <w:richText/>
                            </w:sdtPr>
                            <w:sdtContent>
                              <w:r>
                                <w:rPr>
                                  <w:color w:val="000000"/>
                                  <w:szCs w:val="24"/>
                                </w:rPr>
                                <w:t>39.4</w:t>
                              </w:r>
                            </w:sdtContent>
                          </w:sdt>
                          <w:r>
                            <w:rPr>
                              <w:color w:val="000000"/>
                              <w:szCs w:val="24"/>
                            </w:rPr>
                            <w:t>. šeštoji išlaidų kategorija „Informavimas apie projektą“, į kurią gali būti įtraukiamos: privalomų viešinimo priemonių, nurodytų Projektų taisyklių 450.2 ir 450.6 papunkčiuose, rengimo išlaidos, su projekto pristatymu susijusios reprezentacinės išlaidos (išskyrus išlaidas alkoholiui ir tabakui) ir išlaidos kitiems informavimo apie projektą veiksmams (įskaitant susijusias projektą vykdančio personalo darbo užmokesčio ir susijusių darbdavio įsipareigojimų, taip pat atlygio projektą vykdantiems fiziniams asmenims pagal paslaugų, autorines ar kitas sutartis ir projektą vykdančių asmenų ir projekto veiklose dalyvaujančių asmenų komandiruočių, kelionių, dalyvavimo renginiuose, renginių organizavimo ir renginių dalyvių maitinimo ir pan. išlaidas); su informavimu apie projektą susijusios projektą vykdančio personalo ir projekto dalyvių komandiruočių išlaidos apmokamos taikant fiksuotuosius įkainius, kaip nurodyta Aprašo 44, 45, 46 ir 47 punktuose;</w:t>
                          </w:r>
                          <w:r>
                            <w:rPr>
                              <w:color w:val="000000"/>
                              <w:szCs w:val="24"/>
                              <w:lang w:eastAsia="lt-LT"/>
                            </w:rPr>
                            <w:t xml:space="preserve"> su informavimu apie projektą susijusios renginių organizavimo ir renginių dalyvių maitinimo išlaidos apmokamos taikant fiksuotuosius įkainius, kaip nurodyta Aprašo 44¹, 44, 45, 46 ir 47 punktuose; </w:t>
                          </w:r>
                          <w:r>
                            <w:rPr>
                              <w:color w:val="000000"/>
                              <w:szCs w:val="24"/>
                            </w:rPr>
                            <w:t>išlaidos informavimui apie projektą gali sudaryti ne daugiau kaip 3 proc. visų tinkamų finansuoti projekto išlaidų;“</w:t>
                          </w:r>
                        </w:p>
                      </w:sdtContent>
                    </w:sdt>
                  </w:sdtContent>
                </w:sdt>
              </w:sdtContent>
            </w:sdt>
            <w:sdt>
              <w:sdtPr>
                <w:alias w:val="18 p."/>
                <w:tag w:val="part_e09c8dd257434ad995159cb710a084ca"/>
                <w:lock w:val="sdtLocked"/>
                <w:richText/>
              </w:sdtPr>
              <w:sdtContent>
                <w:p>
                  <w:pPr>
                    <w:suppressAutoHyphens/>
                    <w:spacing w:line="360" w:lineRule="auto"/>
                    <w:ind w:firstLine="720"/>
                    <w:jc w:val="both"/>
                    <w:textAlignment w:val="center"/>
                    <w:rPr>
                      <w:color w:val="000000"/>
                      <w:szCs w:val="24"/>
                    </w:rPr>
                  </w:pPr>
                  <w:sdt>
                    <w:sdtPr>
                      <w:alias w:val="Numeris"/>
                      <w:tag w:val="nr_e09c8dd257434ad995159cb710a084ca"/>
                      <w:lock w:val="sdtLocked"/>
                      <w:richText/>
                    </w:sdtPr>
                    <w:sdtContent>
                      <w:r>
                        <w:rPr>
                          <w:color w:val="000000"/>
                          <w:szCs w:val="24"/>
                        </w:rPr>
                        <w:t>18</w:t>
                      </w:r>
                    </w:sdtContent>
                  </w:sdt>
                  <w:r>
                    <w:rPr>
                      <w:color w:val="000000"/>
                      <w:szCs w:val="24"/>
                    </w:rPr>
                    <w:t>. papildau 44¹ punktu:</w:t>
                  </w:r>
                </w:p>
                <w:sdt>
                  <w:sdtPr>
                    <w:alias w:val="citata"/>
                    <w:tag w:val="part_9cb1bfcc193e488fa87b0f5bbb201587"/>
                    <w:lock w:val="sdtLocked"/>
                    <w:richText/>
                  </w:sdtPr>
                  <w:sdtContent>
                    <w:sdt>
                      <w:sdtPr>
                        <w:alias w:val="pastraipa"/>
                        <w:tag w:val="part_ebb59540793944358b7084ad204a68d0"/>
                        <w:lock w:val="sdtLocked"/>
                        <w:richText/>
                      </w:sdtPr>
                      <w:sdtContent>
                        <w:p>
                          <w:pPr>
                            <w:suppressAutoHyphens/>
                            <w:spacing w:line="360" w:lineRule="auto"/>
                            <w:ind w:firstLine="720"/>
                            <w:jc w:val="both"/>
                            <w:textAlignment w:val="center"/>
                            <w:rPr>
                              <w:color w:val="000000"/>
                              <w:szCs w:val="24"/>
                            </w:rPr>
                          </w:pPr>
                          <w:r>
                            <w:rPr>
                              <w:color w:val="000000"/>
                              <w:szCs w:val="24"/>
                            </w:rPr>
                            <w:t>„44¹. Aprašo 39.3.3 ir 39.4 papunkčiuose numatytos renginių organizavimo ir renginių dalyvių maitinimo išlaidos finansuojamos pagal fiksuotuosius įkainius, nustatytus Renginio organizavimo fiksuotojo įkainio nustatymo tyrimo ataskaitoje, kuri skelbiama ES struktūrinių fondų svetainėje www.esinvesticijos.lt (http://www.esinvesticijos.lt/lt/dokumentai/supaprastinto-islaidu-apmokejimo-tyrimai).“</w:t>
                          </w:r>
                        </w:p>
                        <w:p>
                          <w:pPr>
                            <w:suppressAutoHyphens/>
                            <w:spacing w:line="360" w:lineRule="auto"/>
                            <w:jc w:val="both"/>
                            <w:textAlignment w:val="center"/>
                            <w:rPr>
                              <w:color w:val="000000"/>
                              <w:szCs w:val="24"/>
                            </w:rPr>
                          </w:pPr>
                        </w:p>
                        <w:p>
                          <w:pPr>
                            <w:suppressAutoHyphens/>
                            <w:spacing w:line="360" w:lineRule="auto"/>
                            <w:ind w:firstLine="720"/>
                            <w:jc w:val="both"/>
                            <w:textAlignment w:val="center"/>
                            <w:rPr>
                              <w:color w:val="000000"/>
                              <w:szCs w:val="24"/>
                            </w:rPr>
                          </w:pPr>
                        </w:p>
                        <w:p>
                          <w:pPr>
                            <w:suppressAutoHyphens/>
                            <w:spacing w:line="360" w:lineRule="auto"/>
                            <w:jc w:val="both"/>
                            <w:textAlignment w:val="center"/>
                            <w:rPr>
                              <w:color w:val="000000"/>
                              <w:szCs w:val="24"/>
                            </w:rPr>
                          </w:pPr>
                        </w:p>
                      </w:sdtContent>
                    </w:sdt>
                  </w:sdtContent>
                </w:sdt>
              </w:sdtContent>
            </w:sdt>
          </w:sdtContent>
        </w:sdt>
        <w:sdt>
          <w:sdtPr>
            <w:alias w:val="signatura"/>
            <w:tag w:val="part_581e099a65d647889fc8bbd4fee23746"/>
            <w:lock w:val="sdtLocked"/>
            <w:richText/>
          </w:sdtPr>
          <w:sdtContent>
            <w:p>
              <w:pPr>
                <w:suppressAutoHyphens/>
                <w:spacing w:line="360" w:lineRule="auto"/>
                <w:jc w:val="both"/>
                <w:textAlignment w:val="center"/>
                <w:rPr>
                  <w:color w:val="000000"/>
                  <w:szCs w:val="24"/>
                </w:rPr>
              </w:pPr>
              <w:r>
                <w:rPr>
                  <w:color w:val="000000"/>
                  <w:szCs w:val="24"/>
                </w:rPr>
                <w:t xml:space="preserve">Vidaus reikalų ministras                                                                                      Tomas Žilinskas                       </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NewRoman0">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D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oleObject" Target="embeddings/oleObject1.bin"/>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341c4c90bb64cca95c90bdb57dbcf43" PartId="fd3074e477a841b4bd11d63041c22148">
    <Part Type="skirsnis" Title="PROJEKTŲ FINANSAVIMO SĄLYGŲ APRAŠO NR. 1 PATVIRTINIMO“ PAKEITIMO" DocPartId="8f0a91e3e6c449e19b247efa58117701" PartId="2ae8e730634147868ae3b4192f9677b3">
      <Part Type="punktas" Nr="1" Abbr="1 p." DocPartId="b44e1303b73443bcb0eefdd7b7a3c853" PartId="d5690af6b6164cf8b5022607a0506e9d">
        <Part Type="citata" DocPartId="90f540a4e57343c1be048c7d794f6094" PartId="fe8252bfdf4d45ed88d2a2540040acec">
          <Part Type="punktas" Nr="2" Abbr="2 p." DocPartId="6c69e89585d14454a827cf9d95296480" PartId="6b4dd0e4139e4415a14de0bd66485057">
            <Part Type="papunktis" Nr="2.1" Abbr="2.1 pp." DocPartId="f7bd47318e5f4b9aa2d0120c6d73ea78" PartId="1155255f1f2e4c72b9b19b5a7d3d3195"/>
            <Part Type="papunktis" Nr="2.2" Abbr="2.2 pp." DocPartId="eb0a0ad71637455baea74481efa47737" PartId="fb5cd0069e354947b9f6557d0c8116ea"/>
            <Part Type="papunktis" Nr="2.3" Abbr="2.3 pp." DocPartId="9cdf8718b9fc4a0d921b9258235751be" PartId="8d84540b4e4243febf5c2852d8e8f2a2"/>
            <Part Type="papunktis" Nr="2.4" Abbr="2.4 pp." DocPartId="38eea32cf0d64c49b96ab1af64dd649c" PartId="6b1e5136970c466d9cdfc4b9ef865cfd"/>
            <Part Type="papunktis" Nr="2.5" Abbr="2.5 pp." DocPartId="37c38d6a4b854574962d49d46967726e" PartId="2740a1627909493b852035302f231955"/>
            <Part Type="papunktis" Nr="2.6" Abbr="2.6 pp." DocPartId="7b204c64e4cd4700a969d85f620a21ff" PartId="dce2ebfa40be44e488cde9100a3a99e1"/>
            <Part Type="papunktis" Nr="2.7" Abbr="2.7 pp." DocPartId="2e736deac0164b55931e28bb1102b0de" PartId="aa7826620b034a64aeba99ee4278bac8"/>
            <Part Type="papunktis" Nr="2.8" Abbr="2.8 pp." DocPartId="90f801294bbb43bc87a196fc70208820" PartId="847c7c87fcd144ff9ca8b967f6dd7f5e"/>
          </Part>
        </Part>
      </Part>
      <Part Type="punktas" Nr="2" Abbr="2 p." DocPartId="cb27cef08bb944aaad6d4156b742509d" PartId="3785fc0c744042f3aabe84f2be98e9f7">
        <Part Type="citata" DocPartId="2ae5b662480f46869951b95131eb16cc" PartId="ebffab834a544147ab5ed4329578e1ae">
          <Part Type="punktas" Nr="3" Abbr="3 p." DocPartId="8fe40567c26d453b84305c28ee8c49bf" PartId="81ed557181564ba2a3099869a95eb47f"/>
        </Part>
      </Part>
      <Part Type="punktas" Nr="3" Abbr="3 p." DocPartId="9c61f67384964b8ba0a32e188bbed989" PartId="55b8a9a82d634f129bced7a329ac3963">
        <Part Type="citata" DocPartId="36b0da2fc553447690f0569483e38355" PartId="caf2d51653fe48ee90bb6d76712086b8">
          <Part Type="punktas" Nr="7" Abbr="7 p." DocPartId="4f34748e641447d98043f074fb1a1dda" PartId="59b3d8c3087749608effe237da40d3ea"/>
        </Part>
      </Part>
      <Part Type="punktas" Nr="4" Abbr="4 p." DocPartId="6b944f61ef084c4aa87d553b5691b050" PartId="1e8e9aa3097f427aababa8c474a82208">
        <Part Type="citata" DocPartId="ba7732fee2514149b6f412a132b20a93" PartId="044339049c924e4e8cb712d10ef06e41">
          <Part Type="punktas" Nr="10" Abbr="10 p." DocPartId="aba64c262ebb43f0a64931280e90826a" PartId="357662cff83f427eb2e5d82b0b96a978">
            <Part Type="papunktis" Nr="10.1" Abbr="10.1 pp." DocPartId="1142821bd84a47219c7ab951b4a8614f" PartId="49094da93c124eacba77af4022609e7e"/>
            <Part Type="papunktis" Nr="10.2" Abbr="10.2 pp." DocPartId="f029171ba32840d9bf88353e5989d796" PartId="868dc97b025445f8ae67c71da7f4830d"/>
            <Part Type="papunktis" Nr="10.3" Abbr="10.3 pp." DocPartId="a25b095358794e3db4a17e0437392ac3" PartId="e22cc2f27e5c4736be03d5294304c79a"/>
            <Part Type="papunktis" Nr="10.4" Abbr="10.4 pp." DocPartId="6a06c863b9f14770ac0aad4be3e605b8" PartId="3730ab02dbd04eed95e3f12c15cb1e06"/>
          </Part>
        </Part>
      </Part>
      <Part Type="punktas" Nr="5" Abbr="5 p." DocPartId="e7492fcf272c475e9fb12284331a0047" PartId="7691f181a0314b2690c294f6e777d2ea">
        <Part Type="citata" DocPartId="a4fa826183c644da91f8b9303a042e3f" PartId="963f4c4ed5c8455e9be616a5070264b9">
          <Part Type="punktas" Nr="13" Abbr="13 p." DocPartId="c6cf0b543e1946009ab3f433fa2fd5bc" PartId="7b07dd7108f94f4ba60e2d17b0bd7f70">
            <Part Type="papunktis" Nr="13.1" Abbr="13.1 pp." DocPartId="b1f75a0e954b41d5bf1b98d13dec093a" PartId="9eda6622fbd84a3a8157bb89cf3a3844"/>
            <Part Type="papunktis" Nr="13.2" Abbr="13.2 pp." DocPartId="33a98ea123b44bd7afa83e27cf066c97" PartId="72ffe0b86e634d79a4e8ff14c3758116"/>
          </Part>
        </Part>
      </Part>
      <Part Type="punktas" Nr="6" Abbr="6 p." DocPartId="2d71cf9334e44ae085fdba3d7f7718d5" PartId="9e524315a6834200a345c5826e6e4ad0">
        <Part Type="citata" DocPartId="da2f4166eed446f7bf55c0dfd4b5a907" PartId="48b62a2968534c2aa5046742f0acf82f">
          <Part Type="punktas" Nr="18" Abbr="18 p." DocPartId="0f818b820b324af9bb91bf443a29b530" PartId="409447c7d2e141dbbdcbd1b963821474">
            <Part Type="papunktis" Nr="18.1" Abbr="18.1 pp." DocPartId="c3d0e52b66b64e2c8927f843acde013c" PartId="e36a605f83b14eb88926683d500dc3a8"/>
            <Part Type="papunktis" Nr="18.2" Abbr="18.2 pp." DocPartId="d8c933aed7994578bf964381b6555231" PartId="c5731161d69840ec8ac26308f364baa4"/>
          </Part>
          <Part Type="punktas" Nr="7" Abbr="7 p." Notes="Numeris ne iš eilės. Trūksta dalių? [DocDalys]" DocPartId="93668b7536064a9b925604d4678197ab" PartId="68fefb49124a44bd84380126e36becef"/>
        </Part>
      </Part>
      <Part Type="punktas" Nr="8" Abbr="8 p." Notes="Numeris ne iš eilės. Trūksta dalių? [DocDalys]" DocPartId="13f7ef455da64577a627548d23719303" PartId="bd64f53ec3a54624ad7b8ffe14b53684">
        <Part Type="citata" DocPartId="49cdfc0af25b4454a07cce09f6e1e419" PartId="571c343526d44e73bf4ac18504671dcd">
          <Part Type="punktas" Nr="26" Abbr="26 p." DocPartId="fc7372b1b493440688fc805e79d7476f" PartId="d38bd6259e0340bcab652bea97393e5c"/>
        </Part>
      </Part>
      <Part Type="punktas" Nr="9" Abbr="9 p." DocPartId="ebe70f0c77df426789b19e62ac729ba1" PartId="662d6a967e0e4b01a207ffc9e61a277e">
        <Part Type="citata" DocPartId="0e0ac65947b943ae9c10806028abada3" PartId="ee950d80a9f44746b474f4fc9d4978e2">
          <Part Type="punktas" Nr="30" Abbr="30 p." DocPartId="91252fb359754146b7979d67e9e68fc2" PartId="f3c1ee95b22f4258b600838ee912c91b"/>
        </Part>
      </Part>
      <Part Type="punktas" Nr="10" Abbr="10 p." DocPartId="f8c9a27bf39347699bbfac2bc033ba10" PartId="2e894f8478e747d7a83b19dce46420ec">
        <Part Type="citata" DocPartId="5566957258334684aa9acdcc8ad6ada9" PartId="f8449fa9fe694f6dac3df833bc39d8fb">
          <Part Type="punktas" Nr="37" Abbr="37 p." DocPartId="860a925fb93a4ba482dc1f6aa6464edc" PartId="f9b768d7aa14452a8604eb18e700c0ee"/>
        </Part>
      </Part>
      <Part Type="punktas" Nr="11" Abbr="11 p." DocPartId="639c693f98794ae691a9ecdcf772a060" PartId="b3a4eca8b1bc49bf92398b608b500fc4"/>
      <Part Type="punktas" Nr="12" Abbr="12 p." DocPartId="d66968d6743d464d938e7c3b8076cfbc" PartId="ba1c6249d84a4a5c88bf69df2ccf8746">
        <Part Type="citata" DocPartId="0018561be8614f99980a14de65829c6e" PartId="0ff23d0904cd456d9e1ca2b4eb9775c7">
          <Part Type="papunktis" Nr="39.2.1" Abbr="39.2.1 pp." DocPartId="9881134a6c1c42438ac912a5176ada62" PartId="33e93ef6d2624e2ab8fed70fbe673651"/>
        </Part>
      </Part>
      <Part Type="punktas" Nr="13" Abbr="13 p." DocPartId="67a881ff6c074f85b9dab5d3acbda23f" PartId="41f50b7c5c4f4dbab230730b7ae9ecdc">
        <Part Type="citata" DocPartId="bb732e100b514e7a8358f624a1188a0b" PartId="69a546b894444d94aadccff959af05dd">
          <Part Type="papunktis" Nr="39.3.1" Abbr="39.3.1 pp." DocPartId="04fa17c3031e4a7f9fe2e90f5e17374e" PartId="fd8c70b8827e42bfa787e6f6b0eacbc4"/>
        </Part>
      </Part>
      <Part Type="punktas" Nr="14" Abbr="14 p." DocPartId="abb9f502c25e4d589adbf79a3a495484" PartId="9328d93dbfb849a9b75556fd7071d135">
        <Part Type="citata" DocPartId="5c797c9e54da4c2b964ab4e190756d46" PartId="c56849055d1e4467be9f178e93636c94">
          <Part Type="papunktis" Nr="39.3.3" Abbr="39.3.3 pp." DocPartId="686f7717fae5427cb829c4e9eed76878" PartId="305fa5de124245cd8521d046bc76984d"/>
        </Part>
      </Part>
      <Part Type="punktas" Nr="15" Abbr="15 p." DocPartId="f111f13d085440cea5910cd15990b7e3" PartId="fce6e256c9964638b59ea98e469c7b6d">
        <Part Type="citata" DocPartId="504ceccc76364d208d646c5c8e157e78" PartId="a17d1f58c3814d119a83eb6751ce0da0">
          <Part Type="papunktis" Nr="39.3.10" Abbr="39.3.10 pp." DocPartId="a25159b4a81544b793d33199e4714246" PartId="e43ba51115794fe39876d50e5240e606"/>
        </Part>
      </Part>
      <Part Type="punktas" Nr="16" Abbr="16 p." DocPartId="8a3fae0996344bebad1a7c43f86e9ec9" PartId="f81fe5c2e7bf4fd1be9b1878596c2acd">
        <Part Type="papunktis" Nr="39.3.11" Abbr="39.3.11 pp." Notes="Numeris ne iš eilės. Trūksta dalių? [DocDalys]" DocPartId="ff85409220424d919ec23bc22f31e414" PartId="c9de3ab914df4276868dee39584b193f"/>
      </Part>
      <Part Type="punktas" Nr="17" Abbr="17 p." DocPartId="7baf84c44cdf4e8ab2fae4f3c405f4e9" PartId="93ee8db7151246d8b57d3dc66eb3db34">
        <Part Type="citata" DocPartId="72bbecb249594d808f834e6c8c5b18ae" PartId="f4b30825995a474ab53d81e52bd8dbbc">
          <Part Type="papunktis" Nr="39.4" Abbr="39.4 pp." DocPartId="01f78d8f25734540a31fa40ec01eaca9" PartId="00a78ddbeb6a47a8b77cf4a8636cedc2"/>
        </Part>
      </Part>
      <Part Type="punktas" Nr="18" Abbr="18 p." DocPartId="0d87ecc1d4a346a6aea7405b71c1465e" PartId="e09c8dd257434ad995159cb710a084ca">
        <Part Type="citata" DocPartId="259a26baf4a741e1b4b1a2f981ac6510" PartId="9cb1bfcc193e488fa87b0f5bbb201587">
          <Part Type="pastraipa" DocPartId="36770be86f914b8cac79a1c65f954825" PartId="ebb59540793944358b7084ad204a68d0"/>
        </Part>
      </Part>
    </Part>
    <Part Type="signatura" DocPartId="84fd5ef093374cdcabc692876b2fb215" PartId="581e099a65d647889fc8bbd4fee23746"/>
  </Part>
</Parts>
</file>

<file path=customXml/itemProps1.xml><?xml version="1.0" encoding="utf-8"?>
<ds:datastoreItem xmlns:ds="http://schemas.openxmlformats.org/officeDocument/2006/customXml" ds:itemID="{FC408B91-5EEC-4ACB-B70C-FDAD5085B64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2022</Words>
  <Characters>14601</Characters>
  <Application>Microsoft Office Word</Application>
  <DocSecurity>4</DocSecurity>
  <Lines>221</Lines>
  <Paragraphs>69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16554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2016-08-08T08:14:00Z</dcterms:created>
  <dc:creator>Edita Mickutė</dc:creator>
  <lastModifiedBy>CLUSadmin</lastModifiedBy>
  <lastPrinted>2016-06-06T07:49:00Z</lastPrinted>
  <dcterms:modified xsi:type="dcterms:W3CDTF">2016-08-08T08:14:00Z</dcterms:modified>
  <revision>2</revision>
</coreProperties>
</file>