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58ff4db12624b42abaf0fbd40409754"/>
        <w:lock w:val="sdtLocked"/>
        <w:richText/>
      </w:sdtPr>
      <w:sdtContent>
        <w:p>
          <w:pPr>
            <w:shd w:val="clear" w:color="auto" w:fill="FFFFFF"/>
            <w:ind w:left="6480" w:firstLine="1296"/>
            <w:rPr>
              <w:rFonts w:eastAsia="Calibri"/>
              <w:b/>
              <w:position w:val="6"/>
              <w:szCs w:val="24"/>
              <w14:cntxtAlts/>
            </w:rPr>
          </w:pPr>
          <w:r>
            <w:rPr>
              <w:rFonts w:eastAsia="Calibri"/>
              <w:b/>
              <w:position w:val="6"/>
              <w:szCs w:val="24"/>
              <w14:cntxtAlts/>
            </w:rPr>
            <w:t>Projektas</w:t>
          </w:r>
        </w:p>
        <w:p>
          <w:pPr>
            <w:shd w:val="clear" w:color="auto" w:fill="FFFFFF"/>
            <w:ind w:left="6480" w:firstLine="1296"/>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 xml:space="preserve">2025 m.                            d. Nr. T-</w:t>
          </w:r>
        </w:p>
        <w:p>
          <w:pPr>
            <w:shd w:val="clear" w:color="auto" w:fill="FFFFFF"/>
            <w:jc w:val="center"/>
            <w:rPr>
              <w:position w:val="6"/>
              <w:szCs w:val="24"/>
              <w:lang w:eastAsia="lt-LT"/>
              <w14:cntxtAlts/>
            </w:rPr>
          </w:pPr>
          <w:r>
            <w:rPr>
              <w:position w:val="6"/>
              <w:szCs w:val="24"/>
              <w:lang w:eastAsia="lt-LT"/>
              <w14:cntxtAlts/>
            </w:rPr>
            <w:t xml:space="preserve">Radviliškis </w:t>
          </w:r>
        </w:p>
        <w:p>
          <w:pPr>
            <w:jc w:val="both"/>
            <w:rPr>
              <w:szCs w:val="24"/>
            </w:rPr>
          </w:pPr>
        </w:p>
        <w:sdt>
          <w:sdtPr>
            <w:alias w:val="preambule"/>
            <w:tag w:val="part_d398bb717fde4bc89474b7792dc0537b"/>
            <w:lock w:val="sdtLocked"/>
            <w:richText/>
          </w:sdtPr>
          <w:sdtContent>
            <w:p>
              <w:pPr>
                <w:ind w:firstLine="709"/>
                <w:jc w:val="both"/>
                <w:rPr>
                  <w:szCs w:val="24"/>
                </w:rPr>
              </w:pPr>
              <w:r>
                <w:rPr>
                  <w:szCs w:val="24"/>
                </w:rPr>
                <w:t>Vadovaudamasi Lietuvos Respublikos vietos savivaldos įstatymo 15 straipsnio 2 dalies 12 punktu, 66 straipsnio 2 dalimi, Lietuvos Respublikos biudžeto sandaros įstatymo 16 straipsnio 1 dalimi, 22 straipsnio 3 dalimi,</w:t>
              </w:r>
              <w:r>
                <w:rPr>
                  <w:sz w:val="22"/>
                  <w:szCs w:val="22"/>
                </w:rPr>
                <w:t xml:space="preserve"> </w:t>
              </w:r>
              <w:r>
                <w:rPr>
                  <w:szCs w:val="24"/>
                </w:rPr>
                <w:t xml:space="preserve">Asmens su negalia teisių apsaugos agentūros prie Lietuvos Respublikos socialinės apsaugos ir darbo ministerijos direktoriaus 2025 m. spalio 21 d. įsakymu Nr. V-155 „Dėl Asmens su negalia teisių apsaugos agentūros prie Lietuvos Respublikos socialinės apsaugos ir darbo ministerijos direktoriaus 2024 m. gruodžio 30 d. įsakymu Nr. V-260 „Dėl Lietuvos Respublikos valstybės biudžeto dotacijų savivaldybių administracijoms, atliekančioms asmenų su negalia reikalų koordinavimo funkciją, skyrimo 2025 metams“ pakeitimo“, Lietuvos Respublikos socialinės apsaugos ir darbo ministro 2025 m. spalio 20 d. įsakymu Nr. A1-578 „Dėl Lietuvos Respublikos socialinės apsaugos ir darbo ministro 2024 m. gruodžio 27 d. įsakymo Nr. A1-941 „Dėl Lietuvos Respublikos valstybės biudžeto specialių tikslinių dotacijų savivaldybių biudžetams socialinėms išmokoms ir kompensacijoms skaičiuoti ir mokėti, skirtų paramai mirties atveju užtikrinti, ir specialių tikslinių dotacijų savivaldybių biudžetams socialinei paramai mokiniams teikti 2025 metais paskirstymo savivaldybių administracijoms bei jų panaudojimo 2025 metais tikslo stebėsenos rodiklių siektinų reikšmių patvirtinimo“ pakeitimo“, Lietuvos Respublikos socialinės apsaugos ir darbo ministro 2025 m. lapkričio 10 d. įsakymu Nr. A1-629 „Dėl valstybės vardu pasiskolintų lėšų paskirstymo savivaldybių administracijoms išlaidoms, patirtoms 2025 metų III ketvirtį teikiant  socialinę pašalpą, būsto šildymo išlaidų, geriamojo vandens išlaidų ir karšto vandens išlaidų kompensacijas, skiriamas vadovaujantis Lietuvos Respublikos piniginės socialinės paramos nepasiturintiems gyventojams įstatymu, užsieniečiams, pasitraukusiems iš Ukrainos dėl Rusijos Federacijos karinių veiksmų Ukrainoje, padengti“, Lietuvos Respublikos socialinės apsaugos ir darbo ministro 2025 m. lapkričio 10 d. įsakymu Nr. A1-628 „Dėl valstybės vardu pasiskolintų lėšų paskirstymo savivaldybių administracijoms išlaidoms, patirtoms 2025 metų III ketvirtį mokant laidojimo pašalpą pagal Lietuvos Respublikos paramos mirties atveju įstatymą ir teikiant socialinę paramą mokiniams pagal Lietuvos Respublikos socialinės paramos mokiniams įstatymą užsieniečiams, pasitraukusiems iš Ukrainos dėl Rusijos Federacijos karinių veiksmų Ukrainoje, padengti“, Lietuvos Respublikos švietimo, mokslo ir sporto ministro 2025 m. spalio 27 d. įsakymu Nr. V-1096 „Dėl švietimo, mokslo ir sporto ministro 2025 m. sausio 15 d. įsakymo Nr. V-33 „Dėl specialios tikslinės dotacijos ugdymo reikmėms finansuoti 2025 metais paskirstymo pagal savivaldybes patvirtinimo“ pakeitimo“, į gautus prašymus ir į</w:t>
              </w:r>
              <w:r>
                <w:rPr>
                  <w:sz w:val="22"/>
                  <w:szCs w:val="22"/>
                </w:rPr>
                <w:t xml:space="preserve"> </w:t>
              </w:r>
              <w:r>
                <w:rPr>
                  <w:szCs w:val="24"/>
                </w:rPr>
                <w:t>Radviliškio rajono savivaldybės</w:t>
              </w:r>
              <w:r>
                <w:rPr>
                  <w:sz w:val="22"/>
                  <w:szCs w:val="22"/>
                </w:rPr>
                <w:t xml:space="preserve"> </w:t>
              </w:r>
              <w:r>
                <w:rPr>
                  <w:szCs w:val="24"/>
                </w:rPr>
                <w:t xml:space="preserve">mero 2025 m. lapkričio 11 d. potvarkį Nr. M-548 (2.5 E) „Dėl Radviliškio rajono savivaldybės tarybos 2025 m. vasario 13 d. sprendimo Nr. T-557 „Dėl Radviliškio rajono savivaldybės 2025–2027 metų biudžeto patvirtinimo“ pakeitimo“, Radviliškio rajono savivaldybės taryba </w:t>
              </w:r>
              <w:r>
                <w:rPr>
                  <w:spacing w:val="50"/>
                  <w:szCs w:val="24"/>
                </w:rPr>
                <w:t>nusprendži</w:t>
              </w:r>
              <w:r>
                <w:rPr>
                  <w:szCs w:val="24"/>
                </w:rPr>
                <w:t xml:space="preserve">a: </w:t>
              </w:r>
            </w:p>
          </w:sdtContent>
        </w:sdt>
        <w:sdt>
          <w:sdtPr>
            <w:alias w:val="1 p."/>
            <w:tag w:val="part_690c88ce5a8f406e8479d9bc867f71b2"/>
            <w:lock w:val="sdtLocked"/>
            <w:richText/>
          </w:sdtPr>
          <w:sdtContent>
            <w:p>
              <w:pPr>
                <w:ind w:firstLine="709"/>
                <w:jc w:val="both"/>
                <w:rPr>
                  <w:szCs w:val="24"/>
                </w:rPr>
              </w:pPr>
              <w:sdt>
                <w:sdtPr>
                  <w:alias w:val="Numeris"/>
                  <w:tag w:val="nr_690c88ce5a8f406e8479d9bc867f71b2"/>
                  <w:lock w:val="sdtLocked"/>
                  <w:richText/>
                </w:sdtPr>
                <w:sdtContent>
                  <w:r>
                    <w:rPr>
                      <w:szCs w:val="24"/>
                    </w:rPr>
                    <w:t>1</w:t>
                  </w:r>
                </w:sdtContent>
              </w:sdt>
              <w:r>
                <w:rPr>
                  <w:szCs w:val="24"/>
                </w:rPr>
                <w:t>. Pakeisti Radviliškio rajono savivaldybės tarybos 2025 m. vasario 13 d. sprendimo Nr. T-557 „Dėl Radviliškio rajono savivaldybės 2025–2027 metų biudžeto patvirtinimo“ (toliau – Sprendimas):</w:t>
              </w:r>
            </w:p>
            <w:sdt>
              <w:sdtPr>
                <w:alias w:val="1.1 pp."/>
                <w:tag w:val="part_5638f4f17eba4af884ca8a56b0a7978b"/>
                <w:lock w:val="sdtLocked"/>
                <w:richText/>
              </w:sdtPr>
              <w:sdtContent>
                <w:p>
                  <w:pPr>
                    <w:ind w:firstLine="709"/>
                    <w:jc w:val="both"/>
                    <w:rPr>
                      <w:szCs w:val="24"/>
                    </w:rPr>
                  </w:pPr>
                  <w:sdt>
                    <w:sdtPr>
                      <w:alias w:val="Numeris"/>
                      <w:tag w:val="nr_5638f4f17eba4af884ca8a56b0a7978b"/>
                      <w:lock w:val="sdtLocked"/>
                      <w:richText/>
                    </w:sdtPr>
                    <w:sdtContent>
                      <w:r>
                        <w:rPr>
                          <w:szCs w:val="24"/>
                        </w:rPr>
                        <w:t>1.1</w:t>
                      </w:r>
                    </w:sdtContent>
                  </w:sdt>
                  <w:r>
                    <w:rPr>
                      <w:szCs w:val="24"/>
                    </w:rPr>
                    <w:t>. Pakeisti 1.1 papunktį ir išdėstyti jį taip:</w:t>
                  </w:r>
                </w:p>
                <w:sdt>
                  <w:sdtPr>
                    <w:alias w:val="citata"/>
                    <w:tag w:val="part_8e9417850f3f4a7abf11589fecb42144"/>
                    <w:lock w:val="sdtLocked"/>
                    <w:richText/>
                  </w:sdtPr>
                  <w:sdtContent>
                    <w:sdt>
                      <w:sdtPr>
                        <w:alias w:val="1.1 pp."/>
                        <w:tag w:val="part_90f30df8b90a47f4b377ca23a5e53f92"/>
                        <w:lock w:val="sdtLocked"/>
                        <w:richText/>
                      </w:sdtPr>
                      <w:sdtContent>
                        <w:p>
                          <w:pPr>
                            <w:ind w:firstLine="709"/>
                            <w:jc w:val="both"/>
                            <w:rPr>
                              <w:szCs w:val="24"/>
                            </w:rPr>
                          </w:pPr>
                          <w:r>
                            <w:rPr>
                              <w:szCs w:val="24"/>
                            </w:rPr>
                            <w:t>„</w:t>
                          </w:r>
                          <w:sdt>
                            <w:sdtPr>
                              <w:alias w:val="Numeris"/>
                              <w:tag w:val="nr_90f30df8b90a47f4b377ca23a5e53f92"/>
                              <w:lock w:val="sdtLocked"/>
                              <w:richText/>
                            </w:sdtPr>
                            <w:sdtContent>
                              <w:r>
                                <w:rPr>
                                  <w:szCs w:val="24"/>
                                </w:rPr>
                                <w:t>1.1</w:t>
                              </w:r>
                            </w:sdtContent>
                          </w:sdt>
                          <w:r>
                            <w:rPr>
                              <w:szCs w:val="24"/>
                            </w:rPr>
                            <w:t>. pajamas – 87 811 328,04 Eur, iš jų lėšų likučiai iš 2024 metų – 3 996 483,22 Eur. (1 priedas);“</w:t>
                          </w:r>
                        </w:p>
                      </w:sdtContent>
                    </w:sdt>
                  </w:sdtContent>
                </w:sdt>
              </w:sdtContent>
            </w:sdt>
            <w:sdt>
              <w:sdtPr>
                <w:alias w:val="1.2 pp."/>
                <w:tag w:val="part_82089ca1dca1411abb3d49f4bc95a94a"/>
                <w:lock w:val="sdtLocked"/>
                <w:richText/>
              </w:sdtPr>
              <w:sdtContent>
                <w:p>
                  <w:pPr>
                    <w:ind w:firstLine="709"/>
                    <w:jc w:val="both"/>
                    <w:rPr>
                      <w:szCs w:val="24"/>
                    </w:rPr>
                  </w:pPr>
                  <w:sdt>
                    <w:sdtPr>
                      <w:alias w:val="Numeris"/>
                      <w:tag w:val="nr_82089ca1dca1411abb3d49f4bc95a94a"/>
                      <w:lock w:val="sdtLocked"/>
                      <w:richText/>
                    </w:sdtPr>
                    <w:sdtContent>
                      <w:r>
                        <w:rPr>
                          <w:szCs w:val="24"/>
                        </w:rPr>
                        <w:t>1.2</w:t>
                      </w:r>
                    </w:sdtContent>
                  </w:sdt>
                  <w:r>
                    <w:rPr>
                      <w:szCs w:val="24"/>
                    </w:rPr>
                    <w:t>. Pakeisti 1.2 papunktį ir išdėstyti jį taip:</w:t>
                  </w:r>
                </w:p>
                <w:sdt>
                  <w:sdtPr>
                    <w:alias w:val="citata"/>
                    <w:tag w:val="part_e833db2527cf4e7aab1d6ead49dcd409"/>
                    <w:lock w:val="sdtLocked"/>
                    <w:richText/>
                  </w:sdtPr>
                  <w:sdtContent>
                    <w:sdt>
                      <w:sdtPr>
                        <w:alias w:val="1.2 pp."/>
                        <w:tag w:val="part_0ae006c1e8f244e2aca2ed73ea23b371"/>
                        <w:lock w:val="sdtLocked"/>
                        <w:richText/>
                      </w:sdtPr>
                      <w:sdtContent>
                        <w:p>
                          <w:pPr>
                            <w:ind w:firstLine="709"/>
                            <w:jc w:val="both"/>
                            <w:rPr>
                              <w:szCs w:val="24"/>
                            </w:rPr>
                          </w:pPr>
                          <w:r>
                            <w:rPr>
                              <w:szCs w:val="24"/>
                            </w:rPr>
                            <w:t>„</w:t>
                          </w:r>
                          <w:sdt>
                            <w:sdtPr>
                              <w:alias w:val="Numeris"/>
                              <w:tag w:val="nr_0ae006c1e8f244e2aca2ed73ea23b371"/>
                              <w:lock w:val="sdtLocked"/>
                              <w:richText/>
                            </w:sdtPr>
                            <w:sdtContent>
                              <w:r>
                                <w:rPr>
                                  <w:szCs w:val="24"/>
                                </w:rPr>
                                <w:t>1.2</w:t>
                              </w:r>
                            </w:sdtContent>
                          </w:sdt>
                          <w:r>
                            <w:rPr>
                              <w:szCs w:val="24"/>
                            </w:rPr>
                            <w:t xml:space="preserve">. asignavimus pagal programas,  asignavimų valdytojus ir lėšų šaltinius – 87 811 328,04 Eur (2, 3 priedai), iš jų“.</w:t>
                          </w:r>
                        </w:p>
                      </w:sdtContent>
                    </w:sdt>
                  </w:sdtContent>
                </w:sdt>
              </w:sdtContent>
            </w:sdt>
            <w:sdt>
              <w:sdtPr>
                <w:alias w:val="1.3 pp."/>
                <w:tag w:val="part_b27df2947b334defbf4fd2dfe09e17af"/>
                <w:lock w:val="sdtLocked"/>
                <w:richText/>
              </w:sdtPr>
              <w:sdtContent>
                <w:p>
                  <w:pPr>
                    <w:ind w:firstLine="709"/>
                    <w:jc w:val="both"/>
                    <w:rPr>
                      <w:szCs w:val="24"/>
                    </w:rPr>
                  </w:pPr>
                  <w:sdt>
                    <w:sdtPr>
                      <w:alias w:val="Numeris"/>
                      <w:tag w:val="nr_b27df2947b334defbf4fd2dfe09e17af"/>
                      <w:lock w:val="sdtLocked"/>
                      <w:richText/>
                    </w:sdtPr>
                    <w:sdtContent>
                      <w:r>
                        <w:rPr>
                          <w:szCs w:val="24"/>
                        </w:rPr>
                        <w:t>1.3</w:t>
                      </w:r>
                    </w:sdtContent>
                  </w:sdt>
                  <w:r>
                    <w:rPr>
                      <w:szCs w:val="24"/>
                    </w:rPr>
                    <w:t>. Pakeisti Sprendimo 2.1 priedą, patvirtintą 1.2.1 papunkčiu, ir išdėstyti jį nauja redakcija (pridedama).</w:t>
                  </w:r>
                </w:p>
                <w:p>
                  <w:pPr>
                    <w:jc w:val="both"/>
                    <w:rPr>
                      <w:szCs w:val="24"/>
                    </w:rPr>
                  </w:pPr>
                </w:p>
                <w:p>
                  <w:pPr>
                    <w:jc w:val="both"/>
                    <w:rPr>
                      <w:szCs w:val="24"/>
                    </w:rPr>
                  </w:pPr>
                </w:p>
                <w:p>
                  <w:pPr>
                    <w:jc w:val="both"/>
                    <w:rPr>
                      <w:szCs w:val="24"/>
                    </w:rPr>
                  </w:pPr>
                </w:p>
                <w:p>
                  <w:pPr>
                    <w:jc w:val="both"/>
                    <w:rPr>
                      <w:szCs w:val="24"/>
                    </w:rPr>
                  </w:pPr>
                  <w:r>
                    <w:rPr>
                      <w:szCs w:val="24"/>
                    </w:rPr>
                    <w:t>Savivaldybės meras</w:t>
                    <w:tab/>
                    <w:tab/>
                    <w:tab/>
                    <w:tab/>
                    <w:br w:type="page"/>
                  </w:r>
                </w:p>
              </w:sdtContent>
            </w:sdt>
          </w:sdtContent>
        </w:sdt>
        <w:sdt>
          <w:sdtPr>
            <w:alias w:val="skirsnis"/>
            <w:tag w:val="part_3fa8034f3410417da66c556f71d1c67f"/>
            <w:lock w:val="sdtLocked"/>
            <w:richText/>
          </w:sdtPr>
          <w:sdtContent>
            <w:sdt>
              <w:sdtPr>
                <w:alias w:val="Pavadinimas"/>
                <w:tag w:val="title_3fa8034f3410417da66c556f71d1c67f"/>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 xml:space="preserve">2025 m. lapkričio 14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ad3a0cb923f14a2cb11700588ff66448"/>
                <w:lock w:val="sdtLocked"/>
                <w:richText/>
              </w:sdtPr>
              <w:sdtContent>
                <w:p>
                  <w:pPr>
                    <w:spacing w:line="254" w:lineRule="auto"/>
                    <w:ind w:firstLine="720"/>
                    <w:jc w:val="both"/>
                    <w:rPr>
                      <w:b/>
                      <w:szCs w:val="24"/>
                    </w:rPr>
                  </w:pPr>
                  <w:sdt>
                    <w:sdtPr>
                      <w:alias w:val="Numeris"/>
                      <w:tag w:val="nr_ad3a0cb923f14a2cb11700588ff66448"/>
                      <w:lock w:val="sdtLocked"/>
                      <w:richText/>
                    </w:sdtPr>
                    <w:sdtContent>
                      <w:r>
                        <w:rPr>
                          <w:b/>
                          <w:szCs w:val="24"/>
                        </w:rPr>
                        <w:t>1</w:t>
                      </w:r>
                    </w:sdtContent>
                  </w:sdt>
                  <w:r>
                    <w:rPr>
                      <w:b/>
                      <w:szCs w:val="24"/>
                    </w:rPr>
                    <w:t xml:space="preserve">. Projekto rengimą paskatinusios priežastys, parengto projekto tikslai ir uždaviniai. </w:t>
                  </w:r>
                </w:p>
                <w:p>
                  <w:pPr>
                    <w:spacing w:line="254" w:lineRule="auto"/>
                    <w:ind w:firstLine="709"/>
                    <w:jc w:val="both"/>
                    <w:rPr>
                      <w:szCs w:val="24"/>
                    </w:rPr>
                  </w:pPr>
                  <w:r>
                    <w:rPr>
                      <w:szCs w:val="24"/>
                      <w:lang w:eastAsia="lt-LT"/>
                    </w:rPr>
                    <w:t>Patikslinti Radviliškio rajono savivaldybės 2025 metų biudžetą savivaldybei skirtomis tikslinėmis valstybės biudžeto dotacijomis ir kitomis lėšomis bei patikslinti patvirtintus savivaldybės biudžeto asignavimus.</w:t>
                  </w:r>
                  <w:r>
                    <w:rPr>
                      <w:sz w:val="22"/>
                      <w:szCs w:val="22"/>
                    </w:rPr>
                    <w:t xml:space="preserve"> </w:t>
                  </w:r>
                  <w:r>
                    <w:rPr>
                      <w:szCs w:val="24"/>
                    </w:rPr>
                    <w:t xml:space="preserve">Savivaldybės biudžeto asignavimai tikslinami, atsižvelgiant į 2025  m. rugsėjo 1 d. VšĮ „Radviliškio ligoninė“ prašymą „Dėl lėšų skyrimo ligoninės virtuvės remonto darbų“,  2025 m. spalio 9 d. Radviliškio socialinių paslaugų centro prašymą „Dėl papildomo finansavimo skyrimo“ ir 2025 m. lapkričio 10 d. „Dėl spec. lėšų padidinimo“, 2025 m.  lapkričio 5 d. Radviliškio plaukimo baseino prašymą „Dėl</w:t>
                  </w:r>
                  <w:r>
                    <w:rPr>
                      <w:sz w:val="22"/>
                      <w:szCs w:val="22"/>
                    </w:rPr>
                    <w:t xml:space="preserve"> </w:t>
                  </w:r>
                  <w:r>
                    <w:rPr>
                      <w:szCs w:val="24"/>
                    </w:rPr>
                    <w:t>spec. lėšų padidinimo“, 2025 m. lapkričio 11 d. V. Kudirkos progimnazijos prašymą „Dėl spec. lėšų padidinimo“,</w:t>
                  </w:r>
                  <w:r>
                    <w:rPr>
                      <w:sz w:val="22"/>
                      <w:szCs w:val="22"/>
                    </w:rPr>
                    <w:t xml:space="preserve"> </w:t>
                  </w:r>
                  <w:r>
                    <w:rPr>
                      <w:szCs w:val="24"/>
                    </w:rPr>
                    <w:t>2025 m. lapkričio 12 d. Gražinos pagrindinės mokyklos prašymą „Dėl spec. lėšų padidinimo“ ir „Dėl papildomų lėšų skyrimo“,</w:t>
                  </w:r>
                  <w:r>
                    <w:rPr>
                      <w:sz w:val="22"/>
                      <w:szCs w:val="22"/>
                    </w:rPr>
                    <w:t xml:space="preserve"> </w:t>
                  </w:r>
                  <w:r>
                    <w:rPr>
                      <w:szCs w:val="24"/>
                    </w:rPr>
                    <w:t>2025 m. lapkričio 12 d. Radviliškio kultūros centro prašymą „Dėl spec. lėšų padidinimo“,</w:t>
                  </w:r>
                  <w:r>
                    <w:rPr>
                      <w:sz w:val="22"/>
                      <w:szCs w:val="22"/>
                    </w:rPr>
                    <w:t xml:space="preserve"> </w:t>
                  </w:r>
                  <w:r>
                    <w:rPr>
                      <w:szCs w:val="24"/>
                    </w:rPr>
                    <w:t>2025 m. lapkričio 11 d. Radviliškio rajono savivaldybės švietimo ir sporto paslaugų centro prašymą „Dėl spec. lėšų padidinimo“, 2025 m. lapkričio 11 d. Šeduvos gimnazijos prašymą „Dėl papildomų lėšų skyrimo“,</w:t>
                  </w:r>
                  <w:r>
                    <w:rPr>
                      <w:sz w:val="22"/>
                      <w:szCs w:val="22"/>
                    </w:rPr>
                    <w:t xml:space="preserve"> </w:t>
                  </w:r>
                  <w:r>
                    <w:rPr>
                      <w:szCs w:val="24"/>
                    </w:rPr>
                    <w:t>2025 m. lapkričio 12 d. Radviliškio lopšelio-darželio „Eglutė“ prašymą „Dėl spec. lėšų padidinimo“.</w:t>
                  </w:r>
                </w:p>
                <w:p>
                  <w:pPr>
                    <w:rPr>
                      <w:sz w:val="14"/>
                      <w:szCs w:val="14"/>
                    </w:rPr>
                  </w:pPr>
                </w:p>
                <w:p>
                  <w:pPr>
                    <w:spacing w:line="254" w:lineRule="auto"/>
                    <w:ind w:firstLine="709"/>
                    <w:jc w:val="both"/>
                    <w:rPr>
                      <w:szCs w:val="24"/>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p>
                  <w:pPr>
                    <w:rPr>
                      <w:sz w:val="14"/>
                      <w:szCs w:val="14"/>
                    </w:rPr>
                  </w:pPr>
                </w:p>
              </w:sdtContent>
            </w:sdt>
            <w:sdt>
              <w:sdtPr>
                <w:alias w:val="2 p."/>
                <w:tag w:val="part_3fb3ce3ce7e640ca8e7702262fc1e158"/>
                <w:lock w:val="sdtLocked"/>
                <w:richText/>
              </w:sdtPr>
              <w:sdtContent>
                <w:p>
                  <w:pPr>
                    <w:ind w:firstLine="709"/>
                    <w:jc w:val="both"/>
                    <w:rPr>
                      <w:b/>
                      <w:szCs w:val="24"/>
                      <w:shd w:val="clear" w:color="auto" w:fill="FFFFFF"/>
                    </w:rPr>
                  </w:pPr>
                  <w:sdt>
                    <w:sdtPr>
                      <w:alias w:val="Numeris"/>
                      <w:tag w:val="nr_3fb3ce3ce7e640ca8e7702262fc1e158"/>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Projekto iniciatorius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61c971734c8949d090dab73d7c9b6071"/>
                <w:lock w:val="sdtLocked"/>
                <w:richText/>
              </w:sdtPr>
              <w:sdtContent>
                <w:p>
                  <w:pPr>
                    <w:tabs>
                      <w:tab w:val="left" w:pos="7513"/>
                    </w:tabs>
                    <w:spacing w:line="254" w:lineRule="auto"/>
                    <w:ind w:firstLine="709"/>
                    <w:rPr>
                      <w:b/>
                      <w:szCs w:val="24"/>
                      <w:shd w:val="clear" w:color="auto" w:fill="FFFFFF"/>
                    </w:rPr>
                  </w:pPr>
                  <w:sdt>
                    <w:sdtPr>
                      <w:alias w:val="Numeris"/>
                      <w:tag w:val="nr_61c971734c8949d090dab73d7c9b6071"/>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 xml:space="preserve">Lietuvos Respublikos biudžeto sandaros įstatymo 16 straipsnio 1 dalis numato, kad biudžetus tvirtina savivaldybių taryba,  22 straipsnio 3 dalis, kad savivaldybės meras organizuoja biudžeto vykdymą, Lietuvos Respublikos 2025–2027 metų biudžeto patvirtinimo įstatymo 4 straipsnio 4 dalis numato, kad Savivaldybių tarybos, atsižvelgdamos į gautas valstybės biudžeto dotacijas, atitinkamai patikslina savo patvirtintus biudžetus.</w:t>
                  </w:r>
                </w:p>
              </w:sdtContent>
            </w:sdt>
            <w:sdt>
              <w:sdtPr>
                <w:alias w:val="4 p."/>
                <w:tag w:val="part_7b854c9b30e640d483ac109ad09fa817"/>
                <w:lock w:val="sdtLocked"/>
                <w:richText/>
              </w:sdtPr>
              <w:sdtContent>
                <w:p>
                  <w:pPr>
                    <w:tabs>
                      <w:tab w:val="left" w:pos="7513"/>
                    </w:tabs>
                    <w:spacing w:line="254" w:lineRule="auto"/>
                    <w:ind w:firstLine="709"/>
                    <w:jc w:val="both"/>
                    <w:rPr>
                      <w:bCs/>
                      <w:szCs w:val="24"/>
                      <w:shd w:val="clear" w:color="auto" w:fill="FFFFFF"/>
                    </w:rPr>
                  </w:pPr>
                  <w:sdt>
                    <w:sdtPr>
                      <w:alias w:val="Numeris"/>
                      <w:tag w:val="nr_7b854c9b30e640d483ac109ad09fa817"/>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 xml:space="preserve">Pakeitus ir patikslinus 2025 m. Savivaldybės biudžetą, sprendimas atitiks galiojančius teisės aktus. Priimtas sprendimo  projektas įtakos kriminogeninei situacijai ir korupcijai neturės.</w:t>
                  </w:r>
                </w:p>
              </w:sdtContent>
            </w:sdt>
            <w:sdt>
              <w:sdtPr>
                <w:alias w:val="5 p."/>
                <w:tag w:val="part_e964228dfab440809505bd2061af950e"/>
                <w:lock w:val="sdtLocked"/>
                <w:richText/>
              </w:sdtPr>
              <w:sdtContent>
                <w:p>
                  <w:pPr>
                    <w:tabs>
                      <w:tab w:val="left" w:pos="0"/>
                    </w:tabs>
                    <w:spacing w:line="254" w:lineRule="auto"/>
                    <w:ind w:firstLine="709"/>
                    <w:jc w:val="both"/>
                    <w:rPr>
                      <w:b/>
                      <w:szCs w:val="24"/>
                      <w:shd w:val="clear" w:color="auto" w:fill="FFFFFF"/>
                    </w:rPr>
                  </w:pPr>
                  <w:sdt>
                    <w:sdtPr>
                      <w:alias w:val="Numeris"/>
                      <w:tag w:val="nr_e964228dfab440809505bd2061af950e"/>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c93ab44d09fb4b79b4f929d0d1dd8559"/>
                <w:lock w:val="sdtLocked"/>
                <w:richText/>
              </w:sdtPr>
              <w:sdtContent>
                <w:p>
                  <w:pPr>
                    <w:spacing w:line="254" w:lineRule="auto"/>
                    <w:ind w:firstLine="709"/>
                    <w:jc w:val="both"/>
                    <w:rPr>
                      <w:b/>
                      <w:bCs/>
                      <w:szCs w:val="24"/>
                    </w:rPr>
                  </w:pPr>
                  <w:sdt>
                    <w:sdtPr>
                      <w:alias w:val="Numeris"/>
                      <w:tag w:val="nr_c93ab44d09fb4b79b4f929d0d1dd8559"/>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dalinai pakeistas Radviliškio rajono savivaldybės tarybos </w:t>
                  </w:r>
                  <w:r>
                    <w:rPr>
                      <w:szCs w:val="24"/>
                      <w:lang w:eastAsia="lt-LT"/>
                    </w:rPr>
                    <w:t>2025 m. vasario 13 d. sprendimas Nr. T-557 „Dėl Radviliškio rajono savivaldybės 2025-2027 metų biudžeto patvirtinimo“</w:t>
                  </w:r>
                </w:p>
              </w:sdtContent>
            </w:sdt>
            <w:sdt>
              <w:sdtPr>
                <w:alias w:val="7 p."/>
                <w:tag w:val="part_45cde58aa96a47d4ad6c2e4a8849d761"/>
                <w:lock w:val="sdtLocked"/>
                <w:richText/>
              </w:sdtPr>
              <w:sdtContent>
                <w:p>
                  <w:pPr>
                    <w:tabs>
                      <w:tab w:val="left" w:pos="0"/>
                    </w:tabs>
                    <w:spacing w:line="254" w:lineRule="auto"/>
                    <w:ind w:firstLine="709"/>
                    <w:jc w:val="both"/>
                    <w:rPr>
                      <w:b/>
                      <w:szCs w:val="24"/>
                      <w:shd w:val="clear" w:color="auto" w:fill="FFFFFF"/>
                    </w:rPr>
                  </w:pPr>
                  <w:sdt>
                    <w:sdtPr>
                      <w:alias w:val="Numeris"/>
                      <w:tag w:val="nr_45cde58aa96a47d4ad6c2e4a8849d761"/>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e2692046ff634ab69ada23ed787df98c"/>
                <w:lock w:val="sdtLocked"/>
                <w:richText/>
              </w:sdtPr>
              <w:sdtContent>
                <w:p>
                  <w:pPr>
                    <w:tabs>
                      <w:tab w:val="left" w:pos="0"/>
                    </w:tabs>
                    <w:spacing w:line="254" w:lineRule="auto"/>
                    <w:ind w:firstLine="709"/>
                    <w:jc w:val="both"/>
                    <w:rPr>
                      <w:b/>
                      <w:szCs w:val="24"/>
                      <w:shd w:val="clear" w:color="auto" w:fill="FFFFFF"/>
                    </w:rPr>
                  </w:pPr>
                  <w:sdt>
                    <w:sdtPr>
                      <w:alias w:val="Numeris"/>
                      <w:tag w:val="nr_e2692046ff634ab69ada23ed787df98c"/>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Cs/>
                      <w:szCs w:val="24"/>
                      <w:shd w:val="clear" w:color="auto" w:fill="FFFFFF"/>
                    </w:rPr>
                  </w:pPr>
                  <w:r>
                    <w:rPr>
                      <w:bCs/>
                      <w:szCs w:val="24"/>
                      <w:shd w:val="clear" w:color="auto" w:fill="FFFFFF"/>
                    </w:rPr>
                    <w:t xml:space="preserve">Sprendimo projektas suderintas su  juristu, kalbininku,</w:t>
                  </w:r>
                  <w:r>
                    <w:rPr>
                      <w:sz w:val="22"/>
                      <w:szCs w:val="22"/>
                    </w:rPr>
                    <w:t xml:space="preserve"> </w:t>
                  </w:r>
                  <w:r>
                    <w:rPr>
                      <w:bCs/>
                      <w:szCs w:val="24"/>
                      <w:shd w:val="clear" w:color="auto" w:fill="FFFFFF"/>
                    </w:rPr>
                    <w:t>administracijos direktoriumi, vicemerais ir meru.</w:t>
                  </w:r>
                </w:p>
              </w:sdtContent>
            </w:sdt>
            <w:sdt>
              <w:sdtPr>
                <w:alias w:val="9 p."/>
                <w:tag w:val="part_46b23304ecb04fcca1e970ee55340f19"/>
                <w:lock w:val="sdtLocked"/>
                <w:richText/>
              </w:sdtPr>
              <w:sdtContent>
                <w:p>
                  <w:pPr>
                    <w:tabs>
                      <w:tab w:val="left" w:pos="0"/>
                    </w:tabs>
                    <w:spacing w:line="254" w:lineRule="auto"/>
                    <w:ind w:firstLine="709"/>
                    <w:jc w:val="both"/>
                    <w:rPr>
                      <w:b/>
                      <w:szCs w:val="24"/>
                      <w:shd w:val="clear" w:color="auto" w:fill="FFFFFF"/>
                    </w:rPr>
                  </w:pPr>
                  <w:sdt>
                    <w:sdtPr>
                      <w:alias w:val="Numeris"/>
                      <w:tag w:val="nr_46b23304ecb04fcca1e970ee55340f19"/>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09"/>
                    <w:rPr>
                      <w:szCs w:val="24"/>
                      <w:shd w:val="clear" w:color="auto" w:fill="FFFFFF"/>
                    </w:rPr>
                  </w:pPr>
                  <w:r>
                    <w:rPr>
                      <w:szCs w:val="24"/>
                      <w:shd w:val="clear" w:color="auto" w:fill="FFFFFF"/>
                    </w:rPr>
                    <w:t>Rezultatai nenumatomi.</w:t>
                  </w:r>
                </w:p>
              </w:sdtContent>
            </w:sdt>
            <w:sdt>
              <w:sdtPr>
                <w:alias w:val="10 p."/>
                <w:tag w:val="part_cc7ae0a2a33a4295829f1ec01238fa80"/>
                <w:lock w:val="sdtLocked"/>
                <w:richText/>
              </w:sdtPr>
              <w:sdtContent>
                <w:p>
                  <w:pPr>
                    <w:tabs>
                      <w:tab w:val="left" w:pos="0"/>
                    </w:tabs>
                    <w:spacing w:line="254" w:lineRule="auto"/>
                    <w:ind w:firstLine="709"/>
                    <w:jc w:val="both"/>
                    <w:rPr>
                      <w:b/>
                      <w:szCs w:val="24"/>
                      <w:shd w:val="clear" w:color="auto" w:fill="FFFFFF"/>
                    </w:rPr>
                  </w:pPr>
                  <w:sdt>
                    <w:sdtPr>
                      <w:alias w:val="Numeris"/>
                      <w:tag w:val="nr_cc7ae0a2a33a4295829f1ec01238fa80"/>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66"/>
                    <w:jc w:val="both"/>
                    <w:rPr>
                      <w:bCs/>
                      <w:szCs w:val="24"/>
                      <w:shd w:val="clear" w:color="auto" w:fill="FFFFFF"/>
                    </w:rPr>
                  </w:pPr>
                  <w:r>
                    <w:rPr>
                      <w:bCs/>
                      <w:szCs w:val="24"/>
                      <w:shd w:val="clear" w:color="auto" w:fill="FFFFFF"/>
                    </w:rPr>
                    <w:t>Teisės akto projektas antikorupciniam vertinimui neteikiamas.</w:t>
                  </w:r>
                </w:p>
              </w:sdtContent>
            </w:sdt>
            <w:sdt>
              <w:sdtPr>
                <w:alias w:val="11 p."/>
                <w:tag w:val="part_f8b7fc9f8b2d470587f9e60f582cd91b"/>
                <w:lock w:val="sdtLocked"/>
                <w:richText/>
              </w:sdtPr>
              <w:sdtContent>
                <w:p>
                  <w:pPr>
                    <w:tabs>
                      <w:tab w:val="left" w:pos="0"/>
                    </w:tabs>
                    <w:spacing w:line="254" w:lineRule="auto"/>
                    <w:ind w:firstLine="709"/>
                    <w:jc w:val="both"/>
                    <w:rPr>
                      <w:b/>
                      <w:szCs w:val="24"/>
                      <w:shd w:val="clear" w:color="auto" w:fill="FFFFFF"/>
                    </w:rPr>
                  </w:pPr>
                  <w:sdt>
                    <w:sdtPr>
                      <w:alias w:val="Numeris"/>
                      <w:tag w:val="nr_f8b7fc9f8b2d470587f9e60f582cd91b"/>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586496067a5d48989d8e50ca179e4ffc"/>
                <w:lock w:val="sdtLocked"/>
                <w:richText/>
              </w:sdtPr>
              <w:sdtContent>
                <w:p>
                  <w:pPr>
                    <w:tabs>
                      <w:tab w:val="left" w:pos="0"/>
                    </w:tabs>
                    <w:spacing w:line="254" w:lineRule="auto"/>
                    <w:ind w:firstLine="771"/>
                    <w:jc w:val="both"/>
                    <w:rPr>
                      <w:b/>
                      <w:szCs w:val="24"/>
                      <w:shd w:val="clear" w:color="auto" w:fill="FFFFFF"/>
                    </w:rPr>
                  </w:pPr>
                  <w:sdt>
                    <w:sdtPr>
                      <w:alias w:val="Numeris"/>
                      <w:tag w:val="nr_586496067a5d48989d8e50ca179e4ffc"/>
                      <w:lock w:val="sdtLocked"/>
                      <w:richText/>
                    </w:sdtPr>
                    <w:sdtContent>
                      <w:r>
                        <w:rPr>
                          <w:b/>
                          <w:szCs w:val="24"/>
                          <w:shd w:val="clear" w:color="auto" w:fill="FFFFFF"/>
                        </w:rPr>
                        <w:t>1</w:t>
                      </w:r>
                    </w:sdtContent>
                  </w:sdt>
                  <w:r>
                    <w:rPr>
                      <w:b/>
                      <w:szCs w:val="24"/>
                      <w:shd w:val="clear" w:color="auto" w:fill="FFFFFF"/>
                    </w:rPr>
                    <w:t xml:space="preserve">. Didinamos  Radviliškio rajono savivaldybės 2025 metų biudžeto pajamos 439 165,00 Eur, iš jų:</w:t>
                  </w:r>
                </w:p>
                <w:sdt>
                  <w:sdtPr>
                    <w:alias w:val="1.1 pp."/>
                    <w:tag w:val="part_0b1ae43e17e2459f9c5dfa49c5424c1d"/>
                    <w:lock w:val="sdtLocked"/>
                    <w:richText/>
                  </w:sdtPr>
                  <w:sdtContent>
                    <w:p>
                      <w:pPr>
                        <w:spacing w:line="254" w:lineRule="auto"/>
                        <w:ind w:firstLine="709"/>
                        <w:jc w:val="both"/>
                        <w:rPr>
                          <w:szCs w:val="24"/>
                        </w:rPr>
                      </w:pPr>
                      <w:sdt>
                        <w:sdtPr>
                          <w:alias w:val="Numeris"/>
                          <w:tag w:val="nr_0b1ae43e17e2459f9c5dfa49c5424c1d"/>
                          <w:lock w:val="sdtLocked"/>
                          <w:richText/>
                        </w:sdtPr>
                        <w:sdtContent>
                          <w:r>
                            <w:rPr>
                              <w:szCs w:val="24"/>
                            </w:rPr>
                            <w:t>1.1</w:t>
                          </w:r>
                        </w:sdtContent>
                      </w:sdt>
                      <w:r>
                        <w:rPr>
                          <w:szCs w:val="24"/>
                        </w:rPr>
                        <w:t>. Valstybės biudžeto lėšos, skirtos socialinei paramai teikti, kuri skiriama vadovaujantis Lietuvos Respublikos piniginės socialinės paramos nepasiturintiems gyventojams įstatymu (Ukraina) – 23 039,00 Eur (VB);</w:t>
                      </w:r>
                    </w:p>
                  </w:sdtContent>
                </w:sdt>
                <w:sdt>
                  <w:sdtPr>
                    <w:alias w:val="1.2 pp."/>
                    <w:tag w:val="part_9e8396f1c43140598e50223c4987a3e3"/>
                    <w:lock w:val="sdtLocked"/>
                    <w:richText/>
                  </w:sdtPr>
                  <w:sdtContent>
                    <w:p>
                      <w:pPr>
                        <w:spacing w:line="254" w:lineRule="auto"/>
                        <w:ind w:firstLine="709"/>
                        <w:jc w:val="both"/>
                        <w:rPr>
                          <w:szCs w:val="24"/>
                        </w:rPr>
                      </w:pPr>
                      <w:sdt>
                        <w:sdtPr>
                          <w:alias w:val="Numeris"/>
                          <w:tag w:val="nr_9e8396f1c43140598e50223c4987a3e3"/>
                          <w:lock w:val="sdtLocked"/>
                          <w:richText/>
                        </w:sdtPr>
                        <w:sdtContent>
                          <w:r>
                            <w:rPr>
                              <w:szCs w:val="24"/>
                            </w:rPr>
                            <w:t>1.2</w:t>
                          </w:r>
                        </w:sdtContent>
                      </w:sdt>
                      <w:r>
                        <w:rPr>
                          <w:szCs w:val="24"/>
                        </w:rPr>
                        <w:t>.</w:t>
                      </w:r>
                      <w:r>
                        <w:rPr>
                          <w:sz w:val="22"/>
                          <w:szCs w:val="22"/>
                        </w:rPr>
                        <w:t xml:space="preserve"> </w:t>
                      </w:r>
                      <w:r>
                        <w:rPr>
                          <w:szCs w:val="24"/>
                        </w:rPr>
                        <w:t>Valstybės biudžeto lėšos, skirtos teikti socialinę paramą mokiniams pagal Lietuvos Respublikos socialinės paramos mokiniams įstatymą (Ukraina) – 3 050,00 Eur (VB);</w:t>
                      </w:r>
                    </w:p>
                  </w:sdtContent>
                </w:sdt>
                <w:sdt>
                  <w:sdtPr>
                    <w:alias w:val="1.3 pp."/>
                    <w:tag w:val="part_a83bebf9cc684748adf5d0d3ca7980cc"/>
                    <w:lock w:val="sdtLocked"/>
                    <w:richText/>
                  </w:sdtPr>
                  <w:sdtContent>
                    <w:p>
                      <w:pPr>
                        <w:spacing w:line="254" w:lineRule="auto"/>
                        <w:ind w:firstLine="709"/>
                        <w:jc w:val="both"/>
                        <w:rPr>
                          <w:szCs w:val="24"/>
                        </w:rPr>
                      </w:pPr>
                      <w:sdt>
                        <w:sdtPr>
                          <w:alias w:val="Numeris"/>
                          <w:tag w:val="nr_a83bebf9cc684748adf5d0d3ca7980cc"/>
                          <w:lock w:val="sdtLocked"/>
                          <w:richText/>
                        </w:sdtPr>
                        <w:sdtContent>
                          <w:r>
                            <w:rPr>
                              <w:szCs w:val="24"/>
                            </w:rPr>
                            <w:t>1.3</w:t>
                          </w:r>
                        </w:sdtContent>
                      </w:sdt>
                      <w:r>
                        <w:rPr>
                          <w:szCs w:val="24"/>
                        </w:rPr>
                        <w:t>.</w:t>
                      </w:r>
                      <w:r>
                        <w:rPr>
                          <w:sz w:val="22"/>
                          <w:szCs w:val="22"/>
                        </w:rPr>
                        <w:t xml:space="preserve"> </w:t>
                      </w:r>
                      <w:r>
                        <w:rPr>
                          <w:szCs w:val="24"/>
                        </w:rPr>
                        <w:t>Valstybės biudžeto lėšos, skirtos</w:t>
                      </w:r>
                      <w:r>
                        <w:rPr>
                          <w:sz w:val="22"/>
                          <w:szCs w:val="22"/>
                        </w:rPr>
                        <w:t xml:space="preserve"> </w:t>
                      </w:r>
                      <w:r>
                        <w:rPr>
                          <w:szCs w:val="24"/>
                        </w:rPr>
                        <w:t>laidojimo pašalpos mokėjimui pagal Lietuvos Respublikos paramos mirties atveju įstatymą (Ukraina) – 576,00 Eur (VB);</w:t>
                      </w:r>
                    </w:p>
                  </w:sdtContent>
                </w:sdt>
                <w:sdt>
                  <w:sdtPr>
                    <w:alias w:val="1.4 pp."/>
                    <w:tag w:val="part_c4d785c079e34a778c2819d4ea31d7e6"/>
                    <w:lock w:val="sdtLocked"/>
                    <w:richText/>
                  </w:sdtPr>
                  <w:sdtContent>
                    <w:p>
                      <w:pPr>
                        <w:spacing w:line="254" w:lineRule="auto"/>
                        <w:ind w:firstLine="709"/>
                        <w:jc w:val="both"/>
                        <w:rPr>
                          <w:szCs w:val="24"/>
                        </w:rPr>
                      </w:pPr>
                      <w:sdt>
                        <w:sdtPr>
                          <w:alias w:val="Numeris"/>
                          <w:tag w:val="nr_c4d785c079e34a778c2819d4ea31d7e6"/>
                          <w:lock w:val="sdtLocked"/>
                          <w:richText/>
                        </w:sdtPr>
                        <w:sdtContent>
                          <w:r>
                            <w:rPr>
                              <w:szCs w:val="24"/>
                            </w:rPr>
                            <w:t>1.4</w:t>
                          </w:r>
                        </w:sdtContent>
                      </w:sdt>
                      <w:r>
                        <w:rPr>
                          <w:szCs w:val="24"/>
                        </w:rPr>
                        <w:t>.</w:t>
                      </w:r>
                      <w:r>
                        <w:rPr>
                          <w:sz w:val="22"/>
                          <w:szCs w:val="22"/>
                        </w:rPr>
                        <w:t xml:space="preserve"> </w:t>
                      </w:r>
                      <w:r>
                        <w:rPr>
                          <w:szCs w:val="24"/>
                        </w:rPr>
                        <w:t>Valstybės biudžeto specialios tikslinės dotacijos, skirtos ugdymo reikmėms finansuoti – 183 300,00 Eur (VB);</w:t>
                      </w:r>
                    </w:p>
                  </w:sdtContent>
                </w:sdt>
                <w:sdt>
                  <w:sdtPr>
                    <w:alias w:val="1.5 pp."/>
                    <w:tag w:val="part_96b11a745a6c42c2bff0cfebeaca4fce"/>
                    <w:lock w:val="sdtLocked"/>
                    <w:richText/>
                  </w:sdtPr>
                  <w:sdtContent>
                    <w:p>
                      <w:pPr>
                        <w:spacing w:line="254" w:lineRule="auto"/>
                        <w:ind w:firstLine="709"/>
                        <w:jc w:val="both"/>
                        <w:rPr>
                          <w:szCs w:val="24"/>
                        </w:rPr>
                      </w:pPr>
                      <w:sdt>
                        <w:sdtPr>
                          <w:alias w:val="Numeris"/>
                          <w:tag w:val="nr_96b11a745a6c42c2bff0cfebeaca4fce"/>
                          <w:lock w:val="sdtLocked"/>
                          <w:richText/>
                        </w:sdtPr>
                        <w:sdtContent>
                          <w:r>
                            <w:rPr>
                              <w:szCs w:val="24"/>
                            </w:rPr>
                            <w:t>1.5</w:t>
                          </w:r>
                        </w:sdtContent>
                      </w:sdt>
                      <w:r>
                        <w:rPr>
                          <w:szCs w:val="24"/>
                        </w:rPr>
                        <w:t>. Valstybės biudžeto lėšos, skirtos mokinių, atvykusių į Lietuvos Respubliką iš Ukrainos ugdymo pagal ikimokyklinio, priešmokyklinio ir bendrojo ugdymo programas, reikmėms finansuoti – 21 200,00 Eur (VB);</w:t>
                      </w:r>
                    </w:p>
                  </w:sdtContent>
                </w:sdt>
                <w:sdt>
                  <w:sdtPr>
                    <w:alias w:val="1.6 pp."/>
                    <w:tag w:val="part_8a5ad4814f3b4afcb68d63f97d310da2"/>
                    <w:lock w:val="sdtLocked"/>
                    <w:richText/>
                  </w:sdtPr>
                  <w:sdtContent>
                    <w:p>
                      <w:pPr>
                        <w:spacing w:line="254" w:lineRule="auto"/>
                        <w:ind w:firstLine="709"/>
                        <w:jc w:val="both"/>
                        <w:rPr>
                          <w:szCs w:val="24"/>
                        </w:rPr>
                      </w:pPr>
                      <w:sdt>
                        <w:sdtPr>
                          <w:alias w:val="Numeris"/>
                          <w:tag w:val="nr_8a5ad4814f3b4afcb68d63f97d310da2"/>
                          <w:lock w:val="sdtLocked"/>
                          <w:richText/>
                        </w:sdtPr>
                        <w:sdtContent>
                          <w:r>
                            <w:rPr>
                              <w:szCs w:val="24"/>
                            </w:rPr>
                            <w:t>1.6</w:t>
                          </w:r>
                        </w:sdtContent>
                      </w:sdt>
                      <w:r>
                        <w:rPr>
                          <w:szCs w:val="24"/>
                        </w:rPr>
                        <w:t>. Pajamos biudžetinių įstaigų už teikiamas paslaugas – 118 000,00 Eur (SB SP);</w:t>
                      </w:r>
                    </w:p>
                  </w:sdtContent>
                </w:sdt>
                <w:sdt>
                  <w:sdtPr>
                    <w:alias w:val="1.7 pp."/>
                    <w:tag w:val="part_b2a4003d7a9f49d183ec53ca2021594b"/>
                    <w:lock w:val="sdtLocked"/>
                    <w:richText/>
                  </w:sdtPr>
                  <w:sdtContent>
                    <w:p>
                      <w:pPr>
                        <w:spacing w:line="254" w:lineRule="auto"/>
                        <w:ind w:firstLine="709"/>
                        <w:jc w:val="both"/>
                        <w:rPr>
                          <w:szCs w:val="24"/>
                        </w:rPr>
                      </w:pPr>
                      <w:sdt>
                        <w:sdtPr>
                          <w:alias w:val="Numeris"/>
                          <w:tag w:val="nr_b2a4003d7a9f49d183ec53ca2021594b"/>
                          <w:lock w:val="sdtLocked"/>
                          <w:richText/>
                        </w:sdtPr>
                        <w:sdtContent>
                          <w:r>
                            <w:rPr>
                              <w:szCs w:val="24"/>
                            </w:rPr>
                            <w:t>1.7</w:t>
                          </w:r>
                        </w:sdtContent>
                      </w:sdt>
                      <w:r>
                        <w:rPr>
                          <w:szCs w:val="24"/>
                        </w:rPr>
                        <w:t>.</w:t>
                      </w:r>
                      <w:r>
                        <w:rPr>
                          <w:sz w:val="22"/>
                          <w:szCs w:val="22"/>
                        </w:rPr>
                        <w:t xml:space="preserve"> </w:t>
                      </w:r>
                      <w:r>
                        <w:rPr>
                          <w:szCs w:val="24"/>
                        </w:rPr>
                        <w:t>Gyventojų pajamų mokestis – 90 000,00 Eur (SB);</w:t>
                      </w:r>
                    </w:p>
                    <w:p>
                      <w:pPr>
                        <w:spacing w:line="254" w:lineRule="auto"/>
                        <w:ind w:firstLine="709"/>
                        <w:jc w:val="both"/>
                        <w:rPr>
                          <w:b/>
                          <w:szCs w:val="24"/>
                          <w:shd w:val="clear" w:color="auto" w:fill="FFFFFF"/>
                        </w:rPr>
                      </w:pPr>
                    </w:p>
                  </w:sdtContent>
                </w:sdt>
              </w:sdtContent>
            </w:sdt>
            <w:sdt>
              <w:sdtPr>
                <w:alias w:val="2 p."/>
                <w:tag w:val="part_bab78cf141e7432582a10c0f8ef90639"/>
                <w:lock w:val="sdtLocked"/>
                <w:richText/>
              </w:sdtPr>
              <w:sdtContent>
                <w:p>
                  <w:pPr>
                    <w:spacing w:line="254" w:lineRule="auto"/>
                    <w:ind w:firstLine="709"/>
                    <w:jc w:val="both"/>
                    <w:rPr>
                      <w:b/>
                      <w:szCs w:val="24"/>
                      <w:shd w:val="clear" w:color="auto" w:fill="FFFFFF"/>
                    </w:rPr>
                  </w:pPr>
                  <w:sdt>
                    <w:sdtPr>
                      <w:alias w:val="Numeris"/>
                      <w:tag w:val="nr_bab78cf141e7432582a10c0f8ef90639"/>
                      <w:lock w:val="sdtLocked"/>
                      <w:richText/>
                    </w:sdtPr>
                    <w:sdtContent>
                      <w:r>
                        <w:rPr>
                          <w:b/>
                          <w:szCs w:val="24"/>
                          <w:shd w:val="clear" w:color="auto" w:fill="FFFFFF"/>
                        </w:rPr>
                        <w:t>2</w:t>
                      </w:r>
                    </w:sdtContent>
                  </w:sdt>
                  <w:r>
                    <w:rPr>
                      <w:b/>
                      <w:szCs w:val="24"/>
                      <w:shd w:val="clear" w:color="auto" w:fill="FFFFFF"/>
                    </w:rPr>
                    <w:t>.</w:t>
                  </w:r>
                  <w:r>
                    <w:rPr>
                      <w:bCs/>
                      <w:szCs w:val="24"/>
                      <w:shd w:val="clear" w:color="auto" w:fill="FFFFFF"/>
                    </w:rPr>
                    <w:t xml:space="preserve"> </w:t>
                  </w:r>
                  <w:r>
                    <w:rPr>
                      <w:b/>
                      <w:szCs w:val="24"/>
                      <w:shd w:val="clear" w:color="auto" w:fill="FFFFFF"/>
                    </w:rPr>
                    <w:t>Sumažinti</w:t>
                  </w:r>
                  <w:r>
                    <w:rPr>
                      <w:sz w:val="22"/>
                      <w:szCs w:val="22"/>
                    </w:rPr>
                    <w:t xml:space="preserve"> </w:t>
                  </w:r>
                  <w:r>
                    <w:rPr>
                      <w:b/>
                      <w:szCs w:val="24"/>
                      <w:shd w:val="clear" w:color="auto" w:fill="FFFFFF"/>
                    </w:rPr>
                    <w:t xml:space="preserve">Radviliškio rajono savivaldybės 2025 metų biudžeto pajamas 58 319,00  Eur, iš jų:</w:t>
                  </w:r>
                </w:p>
                <w:sdt>
                  <w:sdtPr>
                    <w:alias w:val="2.1 pp."/>
                    <w:tag w:val="part_0763cb8d60534cfb833a8aec45c24938"/>
                    <w:lock w:val="sdtLocked"/>
                    <w:richText/>
                  </w:sdtPr>
                  <w:sdtContent>
                    <w:p>
                      <w:pPr>
                        <w:spacing w:line="254" w:lineRule="auto"/>
                        <w:ind w:firstLine="709"/>
                        <w:jc w:val="both"/>
                        <w:rPr>
                          <w:bCs/>
                          <w:szCs w:val="24"/>
                          <w:shd w:val="clear" w:color="auto" w:fill="FFFFFF"/>
                        </w:rPr>
                      </w:pPr>
                      <w:sdt>
                        <w:sdtPr>
                          <w:alias w:val="Numeris"/>
                          <w:tag w:val="nr_0763cb8d60534cfb833a8aec45c24938"/>
                          <w:lock w:val="sdtLocked"/>
                          <w:richText/>
                        </w:sdtPr>
                        <w:sdtContent>
                          <w:r>
                            <w:rPr>
                              <w:bCs/>
                              <w:szCs w:val="24"/>
                              <w:shd w:val="clear" w:color="auto" w:fill="FFFFFF"/>
                            </w:rPr>
                            <w:t>2.1</w:t>
                          </w:r>
                        </w:sdtContent>
                      </w:sdt>
                      <w:r>
                        <w:rPr>
                          <w:bCs/>
                          <w:szCs w:val="24"/>
                          <w:shd w:val="clear" w:color="auto" w:fill="FFFFFF"/>
                        </w:rPr>
                        <w:t>. Valstybės biudžeto lėšas, skirtas</w:t>
                      </w:r>
                      <w:r>
                        <w:rPr>
                          <w:szCs w:val="24"/>
                        </w:rPr>
                        <w:t xml:space="preserve"> asmenų su negalia reikalų koordinavimo funkcijai atlikti</w:t>
                      </w:r>
                      <w:r>
                        <w:rPr>
                          <w:bCs/>
                          <w:szCs w:val="24"/>
                          <w:shd w:val="clear" w:color="auto" w:fill="FFFFFF"/>
                        </w:rPr>
                        <w:t xml:space="preserve"> – 7 219,00 Eur (VB);</w:t>
                      </w:r>
                    </w:p>
                  </w:sdtContent>
                </w:sdt>
                <w:sdt>
                  <w:sdtPr>
                    <w:alias w:val="2.2 pp."/>
                    <w:tag w:val="part_78f49571fc404c14a4315d91063523d1"/>
                    <w:lock w:val="sdtLocked"/>
                    <w:richText/>
                  </w:sdtPr>
                  <w:sdtContent>
                    <w:p>
                      <w:pPr>
                        <w:spacing w:line="254" w:lineRule="auto"/>
                        <w:ind w:firstLine="709"/>
                        <w:jc w:val="both"/>
                        <w:rPr>
                          <w:bCs/>
                          <w:szCs w:val="24"/>
                          <w:shd w:val="clear" w:color="auto" w:fill="FFFFFF"/>
                        </w:rPr>
                      </w:pPr>
                      <w:sdt>
                        <w:sdtPr>
                          <w:alias w:val="Numeris"/>
                          <w:tag w:val="nr_78f49571fc404c14a4315d91063523d1"/>
                          <w:lock w:val="sdtLocked"/>
                          <w:richText/>
                        </w:sdtPr>
                        <w:sdtContent>
                          <w:r>
                            <w:rPr>
                              <w:bCs/>
                              <w:szCs w:val="24"/>
                              <w:shd w:val="clear" w:color="auto" w:fill="FFFFFF"/>
                            </w:rPr>
                            <w:t>2.2</w:t>
                          </w:r>
                        </w:sdtContent>
                      </w:sdt>
                      <w:r>
                        <w:rPr>
                          <w:bCs/>
                          <w:szCs w:val="24"/>
                          <w:shd w:val="clear" w:color="auto" w:fill="FFFFFF"/>
                        </w:rPr>
                        <w:t>.</w:t>
                      </w:r>
                      <w:r>
                        <w:rPr>
                          <w:sz w:val="22"/>
                          <w:szCs w:val="22"/>
                        </w:rPr>
                        <w:t xml:space="preserve"> </w:t>
                      </w:r>
                      <w:r>
                        <w:rPr>
                          <w:bCs/>
                          <w:szCs w:val="24"/>
                          <w:shd w:val="clear" w:color="auto" w:fill="FFFFFF"/>
                        </w:rPr>
                        <w:t>Valstybės biudžeto lėšas, skirtos teikti socialinę paramą mokiniams pagal Lietuvos Respublikos socialinės paramos mokiniams įstatymą – 51 100,00 Eur (VB);</w:t>
                      </w:r>
                    </w:p>
                    <w:p>
                      <w:pPr>
                        <w:spacing w:line="254" w:lineRule="auto"/>
                        <w:ind w:firstLine="709"/>
                        <w:jc w:val="both"/>
                        <w:rPr>
                          <w:bCs/>
                          <w:szCs w:val="24"/>
                          <w:shd w:val="clear" w:color="auto" w:fill="FFFFFF"/>
                        </w:rPr>
                      </w:pPr>
                    </w:p>
                  </w:sdtContent>
                </w:sdt>
              </w:sdtContent>
            </w:sdt>
            <w:sdt>
              <w:sdtPr>
                <w:alias w:val="3 p."/>
                <w:tag w:val="part_0092e09d898546c8bbda6dcee71a6500"/>
                <w:lock w:val="sdtLocked"/>
                <w:richText/>
              </w:sdtPr>
              <w:sdtContent>
                <w:p>
                  <w:pPr>
                    <w:spacing w:line="254" w:lineRule="auto"/>
                    <w:ind w:firstLine="709"/>
                    <w:jc w:val="both"/>
                    <w:rPr>
                      <w:b/>
                      <w:szCs w:val="24"/>
                      <w:lang w:eastAsia="lt-LT"/>
                    </w:rPr>
                  </w:pPr>
                  <w:sdt>
                    <w:sdtPr>
                      <w:alias w:val="Numeris"/>
                      <w:tag w:val="nr_0092e09d898546c8bbda6dcee71a6500"/>
                      <w:lock w:val="sdtLocked"/>
                      <w:richText/>
                    </w:sdtPr>
                    <w:sdtContent>
                      <w:r>
                        <w:rPr>
                          <w:b/>
                          <w:szCs w:val="24"/>
                          <w:shd w:val="clear" w:color="auto" w:fill="FFFFFF"/>
                        </w:rPr>
                        <w:t>3</w:t>
                      </w:r>
                    </w:sdtContent>
                  </w:sdt>
                  <w:r>
                    <w:rPr>
                      <w:b/>
                      <w:szCs w:val="24"/>
                      <w:shd w:val="clear" w:color="auto" w:fill="FFFFFF"/>
                    </w:rPr>
                    <w:t>.</w:t>
                  </w:r>
                  <w:r>
                    <w:rPr>
                      <w:b/>
                      <w:szCs w:val="24"/>
                      <w:lang w:eastAsia="lt-LT"/>
                    </w:rPr>
                    <w:t xml:space="preserve"> Didinami Radviliškio rajono savivaldybės 2025 metų biudžeto asignavimai  pagal programas 439 165,00  Eur, iš jų:</w:t>
                  </w:r>
                </w:p>
                <w:sdt>
                  <w:sdtPr>
                    <w:alias w:val="3.1 pp."/>
                    <w:tag w:val="part_4145f36cf8f64ab0a06cd9f87a07f0fd"/>
                    <w:lock w:val="sdtLocked"/>
                    <w:richText/>
                  </w:sdtPr>
                  <w:sdtContent>
                    <w:p>
                      <w:pPr>
                        <w:spacing w:line="254" w:lineRule="auto"/>
                        <w:ind w:firstLine="709"/>
                        <w:jc w:val="both"/>
                        <w:rPr>
                          <w:bCs/>
                          <w:szCs w:val="24"/>
                          <w:lang w:eastAsia="lt-LT"/>
                        </w:rPr>
                      </w:pPr>
                      <w:sdt>
                        <w:sdtPr>
                          <w:alias w:val="Numeris"/>
                          <w:tag w:val="nr_4145f36cf8f64ab0a06cd9f87a07f0fd"/>
                          <w:lock w:val="sdtLocked"/>
                          <w:richText/>
                        </w:sdtPr>
                        <w:sdtContent>
                          <w:r>
                            <w:rPr>
                              <w:bCs/>
                              <w:szCs w:val="24"/>
                              <w:lang w:eastAsia="lt-LT"/>
                            </w:rPr>
                            <w:t>3.1</w:t>
                          </w:r>
                        </w:sdtContent>
                      </w:sdt>
                      <w:r>
                        <w:rPr>
                          <w:bCs/>
                          <w:szCs w:val="24"/>
                          <w:lang w:eastAsia="lt-LT"/>
                        </w:rPr>
                        <w:t>. Radviliškio rajono savivaldybės administracijos Socialinės paramos skyriui:</w:t>
                      </w:r>
                    </w:p>
                    <w:sdt>
                      <w:sdtPr>
                        <w:alias w:val="3.1.1 pp."/>
                        <w:tag w:val="part_5dd55a507f1b48949aa39f8c90e47356"/>
                        <w:lock w:val="sdtLocked"/>
                        <w:richText/>
                      </w:sdtPr>
                      <w:sdtContent>
                        <w:p>
                          <w:pPr>
                            <w:spacing w:line="254" w:lineRule="auto"/>
                            <w:ind w:firstLine="709"/>
                            <w:jc w:val="both"/>
                            <w:rPr>
                              <w:bCs/>
                              <w:szCs w:val="24"/>
                              <w:lang w:eastAsia="lt-LT"/>
                            </w:rPr>
                          </w:pPr>
                          <w:sdt>
                            <w:sdtPr>
                              <w:alias w:val="Numeris"/>
                              <w:tag w:val="nr_5dd55a507f1b48949aa39f8c90e47356"/>
                              <w:lock w:val="sdtLocked"/>
                              <w:richText/>
                            </w:sdtPr>
                            <w:sdtContent>
                              <w:r>
                                <w:rPr>
                                  <w:bCs/>
                                  <w:szCs w:val="24"/>
                                  <w:lang w:eastAsia="lt-LT"/>
                                </w:rPr>
                                <w:t>3.1.1</w:t>
                              </w:r>
                            </w:sdtContent>
                          </w:sdt>
                          <w:r>
                            <w:rPr>
                              <w:bCs/>
                              <w:szCs w:val="24"/>
                              <w:lang w:eastAsia="lt-LT"/>
                            </w:rPr>
                            <w:t>. Valstybės biudžeto lėšos, skirtos socialinei paramai teikti, kuri skiriama vadovaujantis Lietuvos Respublikos piniginės socialinės paramos nepasiturintiems gyventojams įstatymu (Ukraina) – 23 039,00 Eur (VB, 03 programa);</w:t>
                          </w:r>
                        </w:p>
                      </w:sdtContent>
                    </w:sdt>
                    <w:sdt>
                      <w:sdtPr>
                        <w:alias w:val="3.1.2 pp."/>
                        <w:tag w:val="part_a7897ab7d7ad43d58e6167b94ac085a3"/>
                        <w:lock w:val="sdtLocked"/>
                        <w:richText/>
                      </w:sdtPr>
                      <w:sdtContent>
                        <w:p>
                          <w:pPr>
                            <w:spacing w:line="254" w:lineRule="auto"/>
                            <w:ind w:firstLine="709"/>
                            <w:jc w:val="both"/>
                            <w:rPr>
                              <w:bCs/>
                              <w:szCs w:val="24"/>
                              <w:lang w:eastAsia="lt-LT"/>
                            </w:rPr>
                          </w:pPr>
                          <w:sdt>
                            <w:sdtPr>
                              <w:alias w:val="Numeris"/>
                              <w:tag w:val="nr_a7897ab7d7ad43d58e6167b94ac085a3"/>
                              <w:lock w:val="sdtLocked"/>
                              <w:richText/>
                            </w:sdtPr>
                            <w:sdtContent>
                              <w:r>
                                <w:rPr>
                                  <w:bCs/>
                                  <w:szCs w:val="24"/>
                                  <w:lang w:eastAsia="lt-LT"/>
                                </w:rPr>
                                <w:t>3.1.2</w:t>
                              </w:r>
                            </w:sdtContent>
                          </w:sdt>
                          <w:r>
                            <w:rPr>
                              <w:bCs/>
                              <w:szCs w:val="24"/>
                              <w:lang w:eastAsia="lt-LT"/>
                            </w:rPr>
                            <w:t>.</w:t>
                          </w:r>
                          <w:r>
                            <w:rPr>
                              <w:sz w:val="22"/>
                              <w:szCs w:val="22"/>
                            </w:rPr>
                            <w:t xml:space="preserve"> </w:t>
                          </w:r>
                          <w:r>
                            <w:rPr>
                              <w:bCs/>
                              <w:szCs w:val="24"/>
                              <w:lang w:eastAsia="lt-LT"/>
                            </w:rPr>
                            <w:t>Valstybės biudžeto lėšos, skirtos laidojimo pašalpos mokėjimui pagal Lietuvos Respublikos paramos mirties atveju įstatymą (Ukraina) – 576,00 Eur (VB, 03 programa);</w:t>
                          </w:r>
                        </w:p>
                      </w:sdtContent>
                    </w:sdt>
                    <w:sdt>
                      <w:sdtPr>
                        <w:alias w:val="3.1.3 pp."/>
                        <w:tag w:val="part_c97e9be92384429991d77c75367f553b"/>
                        <w:lock w:val="sdtLocked"/>
                        <w:richText/>
                      </w:sdtPr>
                      <w:sdtContent>
                        <w:p>
                          <w:pPr>
                            <w:spacing w:line="254" w:lineRule="auto"/>
                            <w:ind w:firstLine="709"/>
                            <w:jc w:val="both"/>
                            <w:rPr>
                              <w:bCs/>
                              <w:szCs w:val="24"/>
                              <w:lang w:eastAsia="lt-LT"/>
                            </w:rPr>
                          </w:pPr>
                          <w:sdt>
                            <w:sdtPr>
                              <w:alias w:val="Numeris"/>
                              <w:tag w:val="nr_c97e9be92384429991d77c75367f553b"/>
                              <w:lock w:val="sdtLocked"/>
                              <w:richText/>
                            </w:sdtPr>
                            <w:sdtContent>
                              <w:r>
                                <w:rPr>
                                  <w:bCs/>
                                  <w:szCs w:val="24"/>
                                  <w:lang w:eastAsia="lt-LT"/>
                                </w:rPr>
                                <w:t>3.1.3</w:t>
                              </w:r>
                            </w:sdtContent>
                          </w:sdt>
                          <w:r>
                            <w:rPr>
                              <w:bCs/>
                              <w:szCs w:val="24"/>
                              <w:lang w:eastAsia="lt-LT"/>
                            </w:rPr>
                            <w:t>. Valstybės biudžeto lėšos, skirtos teikti socialinę paramą mokiniams pagal Lietuvos Respublikos socialinės paramos mokiniams įstatymą (Ukraina) – 2 240,00 Eur (VB, 03 programa);</w:t>
                          </w:r>
                        </w:p>
                      </w:sdtContent>
                    </w:sdt>
                  </w:sdtContent>
                </w:sdt>
                <w:sdt>
                  <w:sdtPr>
                    <w:alias w:val="3.2 pp."/>
                    <w:tag w:val="part_30c16417a630476ca071eb9c9049eaca"/>
                    <w:lock w:val="sdtLocked"/>
                    <w:richText/>
                  </w:sdtPr>
                  <w:sdtContent>
                    <w:p>
                      <w:pPr>
                        <w:spacing w:line="254" w:lineRule="auto"/>
                        <w:ind w:firstLine="709"/>
                        <w:jc w:val="both"/>
                        <w:rPr>
                          <w:bCs/>
                          <w:szCs w:val="24"/>
                          <w:lang w:eastAsia="lt-LT"/>
                        </w:rPr>
                      </w:pPr>
                      <w:sdt>
                        <w:sdtPr>
                          <w:alias w:val="Numeris"/>
                          <w:tag w:val="nr_30c16417a630476ca071eb9c9049eaca"/>
                          <w:lock w:val="sdtLocked"/>
                          <w:richText/>
                        </w:sdtPr>
                        <w:sdtContent>
                          <w:r>
                            <w:rPr>
                              <w:bCs/>
                              <w:szCs w:val="24"/>
                              <w:lang w:eastAsia="lt-LT"/>
                            </w:rPr>
                            <w:t>3.2</w:t>
                          </w:r>
                        </w:sdtContent>
                      </w:sdt>
                      <w:r>
                        <w:rPr>
                          <w:bCs/>
                          <w:szCs w:val="24"/>
                          <w:lang w:eastAsia="lt-LT"/>
                        </w:rPr>
                        <w:t>. Valstybės biudžeto lėšos, skirtos teikti socialinę paramą mokiniams pagal Lietuvos Respublikos socialinės paramos mokiniams įstatymą (Ukraina) – 810,00 Eur (VB,03 programa):</w:t>
                      </w:r>
                    </w:p>
                    <w:p>
                      <w:pPr>
                        <w:spacing w:line="254" w:lineRule="auto"/>
                        <w:ind w:firstLine="709"/>
                        <w:jc w:val="both"/>
                        <w:rPr>
                          <w:bCs/>
                          <w:szCs w:val="24"/>
                          <w:lang w:eastAsia="lt-LT"/>
                        </w:rPr>
                      </w:pPr>
                    </w:p>
                    <w:tbl>
                      <w:tblPr>
                        <w:tblW w:w="8954" w:type="dxa"/>
                        <w:jc w:val="center"/>
                        <w:tblLook w:val="04A0" w:firstRow="1" w:lastRow="0" w:firstColumn="1" w:lastColumn="0" w:noHBand="0" w:noVBand="1"/>
                      </w:tblPr>
                      <w:tblGrid>
                        <w:gridCol w:w="5710"/>
                        <w:gridCol w:w="3244"/>
                      </w:tblGrid>
                      <w:tr>
                        <w:trPr>
                          <w:trHeight w:val="300"/>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p>
                          <w:p>
                            <w:pPr>
                              <w:jc w:val="center"/>
                              <w:rPr>
                                <w:color w:val="000000"/>
                                <w:szCs w:val="24"/>
                                <w:lang w:eastAsia="lt-LT"/>
                              </w:rPr>
                            </w:pPr>
                            <w:r>
                              <w:rPr>
                                <w:color w:val="000000"/>
                                <w:szCs w:val="24"/>
                                <w:lang w:eastAsia="lt-LT"/>
                              </w:rPr>
                              <w:t>389,00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152,00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Grinkiškio Jono Poderio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p>
                          <w:p>
                            <w:pPr>
                              <w:jc w:val="center"/>
                              <w:rPr>
                                <w:color w:val="000000"/>
                                <w:szCs w:val="24"/>
                                <w:lang w:eastAsia="lt-LT"/>
                              </w:rPr>
                            </w:pPr>
                            <w:r>
                              <w:rPr>
                                <w:color w:val="000000"/>
                                <w:szCs w:val="24"/>
                                <w:lang w:eastAsia="lt-LT"/>
                              </w:rPr>
                              <w:t>76,00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mokykla- darželis</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100,00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54,00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39,00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810,00</w:t>
                            </w:r>
                          </w:p>
                        </w:tc>
                      </w:tr>
                    </w:tbl>
                    <w:p>
                      <w:pPr>
                        <w:spacing w:line="254" w:lineRule="auto"/>
                        <w:ind w:firstLine="709"/>
                        <w:jc w:val="both"/>
                        <w:rPr>
                          <w:bCs/>
                          <w:szCs w:val="24"/>
                          <w:lang w:eastAsia="lt-LT"/>
                        </w:rPr>
                      </w:pPr>
                    </w:p>
                  </w:sdtContent>
                </w:sdt>
                <w:sdt>
                  <w:sdtPr>
                    <w:alias w:val="3.3 pp."/>
                    <w:tag w:val="part_0c26fc16eab9419bb2e878a812cb952d"/>
                    <w:lock w:val="sdtLocked"/>
                    <w:richText/>
                  </w:sdtPr>
                  <w:sdtContent>
                    <w:p>
                      <w:pPr>
                        <w:tabs>
                          <w:tab w:val="left" w:pos="0"/>
                        </w:tabs>
                        <w:spacing w:line="254" w:lineRule="auto"/>
                        <w:ind w:firstLine="567"/>
                        <w:jc w:val="both"/>
                        <w:rPr>
                          <w:bCs/>
                          <w:szCs w:val="24"/>
                          <w:shd w:val="clear" w:color="auto" w:fill="FFFFFF"/>
                        </w:rPr>
                      </w:pPr>
                      <w:sdt>
                        <w:sdtPr>
                          <w:alias w:val="Numeris"/>
                          <w:tag w:val="nr_0c26fc16eab9419bb2e878a812cb952d"/>
                          <w:lock w:val="sdtLocked"/>
                          <w:richText/>
                        </w:sdtPr>
                        <w:sdtContent>
                          <w:r>
                            <w:rPr>
                              <w:bCs/>
                              <w:szCs w:val="24"/>
                              <w:shd w:val="clear" w:color="auto" w:fill="FFFFFF"/>
                            </w:rPr>
                            <w:t>3.3</w:t>
                          </w:r>
                        </w:sdtContent>
                      </w:sdt>
                      <w:r>
                        <w:rPr>
                          <w:bCs/>
                          <w:szCs w:val="24"/>
                          <w:shd w:val="clear" w:color="auto" w:fill="FFFFFF"/>
                        </w:rPr>
                        <w:t>.</w:t>
                      </w:r>
                      <w:r>
                        <w:rPr>
                          <w:sz w:val="22"/>
                          <w:szCs w:val="22"/>
                        </w:rPr>
                        <w:t xml:space="preserve"> </w:t>
                      </w:r>
                      <w:r>
                        <w:rPr>
                          <w:bCs/>
                          <w:szCs w:val="24"/>
                          <w:shd w:val="clear" w:color="auto" w:fill="FFFFFF"/>
                        </w:rPr>
                        <w:t xml:space="preserve">Speciali tikslinė dotacija, skirta ugdymo reikmėms finansuoti  – 204 500,00 Eur (MK, 02 programa):</w:t>
                      </w:r>
                    </w:p>
                    <w:p>
                      <w:pPr>
                        <w:rPr>
                          <w:sz w:val="14"/>
                          <w:szCs w:val="14"/>
                        </w:rPr>
                      </w:pPr>
                    </w:p>
                    <w:tbl>
                      <w:tblPr>
                        <w:tblW w:w="8954" w:type="dxa"/>
                        <w:jc w:val="center"/>
                        <w:tblLook w:val="04A0" w:firstRow="1" w:lastRow="0" w:firstColumn="1" w:lastColumn="0" w:noHBand="0" w:noVBand="1"/>
                      </w:tblPr>
                      <w:tblGrid>
                        <w:gridCol w:w="5710"/>
                        <w:gridCol w:w="3244"/>
                      </w:tblGrid>
                      <w:tr>
                        <w:trPr>
                          <w:trHeight w:val="300"/>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26 500,00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Lizdeikos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45 080,00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14 750,00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114 000,00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146 920,00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Šiaulėnų M. Šikšnio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10 640,00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Grinkiškio Jono Poderio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24 980,00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32 770,00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Alksniupių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700,00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Sidabravo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4 680,00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savivaldybės švietimo ir sporto paslaugų centras</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7 000,00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lopšelis-darželis</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-288,00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mokykla-darželis</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22 650,00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Kutiškių universalus daugiafunkcis centras</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-5 510,00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„Kregždutė“</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5 260,00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„Žvaigždutė“</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14 610,00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„Eglutė“</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2 030,00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rajono savivaldybės administracija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-262 272,00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204 500,00</w:t>
                            </w:r>
                          </w:p>
                        </w:tc>
                      </w:tr>
                    </w:tbl>
                    <w:p>
                      <w:pPr>
                        <w:tabs>
                          <w:tab w:val="left" w:pos="0"/>
                        </w:tabs>
                        <w:spacing w:line="254" w:lineRule="auto"/>
                        <w:ind w:firstLine="567"/>
                        <w:jc w:val="both"/>
                        <w:rPr>
                          <w:bCs/>
                          <w:szCs w:val="24"/>
                          <w:shd w:val="clear" w:color="auto" w:fill="FFFFFF"/>
                        </w:rPr>
                      </w:pPr>
                    </w:p>
                    <w:p>
                      <w:pPr>
                        <w:rPr>
                          <w:sz w:val="14"/>
                          <w:szCs w:val="14"/>
                        </w:rPr>
                      </w:pPr>
                    </w:p>
                  </w:sdtContent>
                </w:sdt>
                <w:sdt>
                  <w:sdtPr>
                    <w:alias w:val="3.4 pp."/>
                    <w:tag w:val="part_630da16d5b124362a88609a9f3ba30da"/>
                    <w:lock w:val="sdtLocked"/>
                    <w:richText/>
                  </w:sdtPr>
                  <w:sdtContent>
                    <w:p>
                      <w:pPr>
                        <w:tabs>
                          <w:tab w:val="left" w:pos="0"/>
                        </w:tabs>
                        <w:spacing w:line="254" w:lineRule="auto"/>
                        <w:ind w:firstLine="567"/>
                        <w:jc w:val="both"/>
                        <w:rPr>
                          <w:bCs/>
                          <w:szCs w:val="24"/>
                          <w:shd w:val="clear" w:color="auto" w:fill="FFFFFF"/>
                        </w:rPr>
                      </w:pPr>
                      <w:sdt>
                        <w:sdtPr>
                          <w:alias w:val="Numeris"/>
                          <w:tag w:val="nr_630da16d5b124362a88609a9f3ba30da"/>
                          <w:lock w:val="sdtLocked"/>
                          <w:richText/>
                        </w:sdtPr>
                        <w:sdtContent>
                          <w:r>
                            <w:rPr>
                              <w:bCs/>
                              <w:szCs w:val="24"/>
                              <w:shd w:val="clear" w:color="auto" w:fill="FFFFFF"/>
                            </w:rPr>
                            <w:t>3.4</w:t>
                          </w:r>
                        </w:sdtContent>
                      </w:sdt>
                      <w:r>
                        <w:rPr>
                          <w:bCs/>
                          <w:szCs w:val="24"/>
                          <w:shd w:val="clear" w:color="auto" w:fill="FFFFFF"/>
                        </w:rPr>
                        <w:t>.</w:t>
                      </w:r>
                      <w:r>
                        <w:rPr>
                          <w:sz w:val="22"/>
                          <w:szCs w:val="22"/>
                        </w:rPr>
                        <w:t xml:space="preserve"> </w:t>
                      </w:r>
                      <w:r>
                        <w:rPr>
                          <w:szCs w:val="24"/>
                        </w:rPr>
                        <w:t>Radviliškio socialinių paslaugų centrui</w:t>
                      </w:r>
                      <w:r>
                        <w:rPr>
                          <w:bCs/>
                          <w:szCs w:val="24"/>
                          <w:shd w:val="clear" w:color="auto" w:fill="FFFFFF"/>
                        </w:rPr>
                        <w:t xml:space="preserve"> teikiamų socialinių paslaugų pajamos – 25 000,00 Eur (SB SP, 03 programa);</w:t>
                      </w:r>
                    </w:p>
                    <w:p>
                      <w:pPr>
                        <w:rPr>
                          <w:sz w:val="14"/>
                          <w:szCs w:val="14"/>
                        </w:rPr>
                      </w:pPr>
                    </w:p>
                  </w:sdtContent>
                </w:sdt>
                <w:sdt>
                  <w:sdtPr>
                    <w:alias w:val="3.5 pp."/>
                    <w:tag w:val="part_01e30ef37aa54fddbc41c8d8fe87c1c9"/>
                    <w:lock w:val="sdtLocked"/>
                    <w:richText/>
                  </w:sdtPr>
                  <w:sdtContent>
                    <w:p>
                      <w:pPr>
                        <w:tabs>
                          <w:tab w:val="left" w:pos="0"/>
                        </w:tabs>
                        <w:spacing w:line="254" w:lineRule="auto"/>
                        <w:ind w:firstLine="567"/>
                        <w:jc w:val="both"/>
                        <w:rPr>
                          <w:bCs/>
                          <w:szCs w:val="24"/>
                          <w:shd w:val="clear" w:color="auto" w:fill="FFFFFF"/>
                        </w:rPr>
                      </w:pPr>
                      <w:sdt>
                        <w:sdtPr>
                          <w:alias w:val="Numeris"/>
                          <w:tag w:val="nr_01e30ef37aa54fddbc41c8d8fe87c1c9"/>
                          <w:lock w:val="sdtLocked"/>
                          <w:richText/>
                        </w:sdtPr>
                        <w:sdtContent>
                          <w:r>
                            <w:rPr>
                              <w:bCs/>
                              <w:szCs w:val="24"/>
                              <w:shd w:val="clear" w:color="auto" w:fill="FFFFFF"/>
                            </w:rPr>
                            <w:t>3.5</w:t>
                          </w:r>
                        </w:sdtContent>
                      </w:sdt>
                      <w:r>
                        <w:rPr>
                          <w:bCs/>
                          <w:szCs w:val="24"/>
                          <w:shd w:val="clear" w:color="auto" w:fill="FFFFFF"/>
                        </w:rPr>
                        <w:t>.</w:t>
                      </w:r>
                      <w:r>
                        <w:rPr>
                          <w:sz w:val="22"/>
                          <w:szCs w:val="22"/>
                        </w:rPr>
                        <w:t xml:space="preserve"> </w:t>
                      </w:r>
                      <w:r>
                        <w:rPr>
                          <w:bCs/>
                          <w:szCs w:val="24"/>
                          <w:shd w:val="clear" w:color="auto" w:fill="FFFFFF"/>
                        </w:rPr>
                        <w:t>Radviliškio plaukimo baseinui teikiamų paslaugų pajamos – 20 000,00 Eur (SB SP, 05 programa);</w:t>
                      </w:r>
                    </w:p>
                    <w:p>
                      <w:pPr>
                        <w:rPr>
                          <w:sz w:val="14"/>
                          <w:szCs w:val="14"/>
                        </w:rPr>
                      </w:pPr>
                    </w:p>
                  </w:sdtContent>
                </w:sdt>
                <w:sdt>
                  <w:sdtPr>
                    <w:alias w:val="3.6 pp."/>
                    <w:tag w:val="part_3d010679c47d422d97024fc81d0a4319"/>
                    <w:lock w:val="sdtLocked"/>
                    <w:richText/>
                  </w:sdtPr>
                  <w:sdtContent>
                    <w:p>
                      <w:pPr>
                        <w:tabs>
                          <w:tab w:val="left" w:pos="0"/>
                        </w:tabs>
                        <w:spacing w:line="254" w:lineRule="auto"/>
                        <w:ind w:firstLine="567"/>
                        <w:jc w:val="both"/>
                        <w:rPr>
                          <w:bCs/>
                          <w:szCs w:val="24"/>
                          <w:shd w:val="clear" w:color="auto" w:fill="FFFFFF"/>
                        </w:rPr>
                      </w:pPr>
                      <w:sdt>
                        <w:sdtPr>
                          <w:alias w:val="Numeris"/>
                          <w:tag w:val="nr_3d010679c47d422d97024fc81d0a4319"/>
                          <w:lock w:val="sdtLocked"/>
                          <w:richText/>
                        </w:sdtPr>
                        <w:sdtContent>
                          <w:r>
                            <w:rPr>
                              <w:bCs/>
                              <w:szCs w:val="24"/>
                              <w:shd w:val="clear" w:color="auto" w:fill="FFFFFF"/>
                            </w:rPr>
                            <w:t>3.6</w:t>
                          </w:r>
                        </w:sdtContent>
                      </w:sdt>
                      <w:r>
                        <w:rPr>
                          <w:bCs/>
                          <w:szCs w:val="24"/>
                          <w:shd w:val="clear" w:color="auto" w:fill="FFFFFF"/>
                        </w:rPr>
                        <w:t>. Radviliškio V. Kudirkos progimnazijai tėvų įnašų pajamos – 5 000,00</w:t>
                      </w:r>
                      <w:r>
                        <w:rPr>
                          <w:sz w:val="22"/>
                          <w:szCs w:val="22"/>
                        </w:rPr>
                        <w:t xml:space="preserve"> </w:t>
                      </w:r>
                      <w:r>
                        <w:rPr>
                          <w:bCs/>
                          <w:szCs w:val="24"/>
                          <w:shd w:val="clear" w:color="auto" w:fill="FFFFFF"/>
                        </w:rPr>
                        <w:t>Eur (SB SP, 02 programa);</w:t>
                      </w:r>
                    </w:p>
                    <w:p>
                      <w:pPr>
                        <w:rPr>
                          <w:sz w:val="14"/>
                          <w:szCs w:val="14"/>
                        </w:rPr>
                      </w:pPr>
                    </w:p>
                  </w:sdtContent>
                </w:sdt>
                <w:sdt>
                  <w:sdtPr>
                    <w:alias w:val="3.7 pp."/>
                    <w:tag w:val="part_bb63605b6c7747c48df4befc7adaab85"/>
                    <w:lock w:val="sdtLocked"/>
                    <w:richText/>
                  </w:sdtPr>
                  <w:sdtContent>
                    <w:p>
                      <w:pPr>
                        <w:tabs>
                          <w:tab w:val="left" w:pos="0"/>
                        </w:tabs>
                        <w:spacing w:line="254" w:lineRule="auto"/>
                        <w:ind w:firstLine="567"/>
                        <w:jc w:val="both"/>
                        <w:rPr>
                          <w:bCs/>
                          <w:szCs w:val="24"/>
                          <w:shd w:val="clear" w:color="auto" w:fill="FFFFFF"/>
                        </w:rPr>
                      </w:pPr>
                      <w:sdt>
                        <w:sdtPr>
                          <w:alias w:val="Numeris"/>
                          <w:tag w:val="nr_bb63605b6c7747c48df4befc7adaab85"/>
                          <w:lock w:val="sdtLocked"/>
                          <w:richText/>
                        </w:sdtPr>
                        <w:sdtContent>
                          <w:r>
                            <w:rPr>
                              <w:bCs/>
                              <w:szCs w:val="24"/>
                              <w:shd w:val="clear" w:color="auto" w:fill="FFFFFF"/>
                            </w:rPr>
                            <w:t>3.7</w:t>
                          </w:r>
                        </w:sdtContent>
                      </w:sdt>
                      <w:r>
                        <w:rPr>
                          <w:bCs/>
                          <w:szCs w:val="24"/>
                          <w:shd w:val="clear" w:color="auto" w:fill="FFFFFF"/>
                        </w:rPr>
                        <w:t>.</w:t>
                      </w:r>
                      <w:r>
                        <w:rPr>
                          <w:sz w:val="22"/>
                          <w:szCs w:val="22"/>
                        </w:rPr>
                        <w:t xml:space="preserve"> </w:t>
                      </w:r>
                      <w:r>
                        <w:rPr>
                          <w:bCs/>
                          <w:szCs w:val="24"/>
                          <w:shd w:val="clear" w:color="auto" w:fill="FFFFFF"/>
                        </w:rPr>
                        <w:t>Radviliškio Gražinos pagrindinei mokyklai tėvų įnašų pajamos – 5 000,00 Eur (SB SP, 02 programa);</w:t>
                      </w:r>
                    </w:p>
                    <w:p>
                      <w:pPr>
                        <w:rPr>
                          <w:sz w:val="14"/>
                          <w:szCs w:val="14"/>
                        </w:rPr>
                      </w:pPr>
                    </w:p>
                  </w:sdtContent>
                </w:sdt>
                <w:sdt>
                  <w:sdtPr>
                    <w:alias w:val="3.8 pp."/>
                    <w:tag w:val="part_5acb899360824c2d972197f9bb091539"/>
                    <w:lock w:val="sdtLocked"/>
                    <w:richText/>
                  </w:sdtPr>
                  <w:sdtContent>
                    <w:p>
                      <w:pPr>
                        <w:tabs>
                          <w:tab w:val="left" w:pos="0"/>
                        </w:tabs>
                        <w:spacing w:line="254" w:lineRule="auto"/>
                        <w:ind w:firstLine="567"/>
                        <w:jc w:val="both"/>
                        <w:rPr>
                          <w:bCs/>
                          <w:szCs w:val="24"/>
                          <w:shd w:val="clear" w:color="auto" w:fill="FFFFFF"/>
                        </w:rPr>
                      </w:pPr>
                      <w:sdt>
                        <w:sdtPr>
                          <w:alias w:val="Numeris"/>
                          <w:tag w:val="nr_5acb899360824c2d972197f9bb091539"/>
                          <w:lock w:val="sdtLocked"/>
                          <w:richText/>
                        </w:sdtPr>
                        <w:sdtContent>
                          <w:r>
                            <w:rPr>
                              <w:bCs/>
                              <w:szCs w:val="24"/>
                              <w:shd w:val="clear" w:color="auto" w:fill="FFFFFF"/>
                            </w:rPr>
                            <w:t>3.8</w:t>
                          </w:r>
                        </w:sdtContent>
                      </w:sdt>
                      <w:r>
                        <w:rPr>
                          <w:bCs/>
                          <w:szCs w:val="24"/>
                          <w:shd w:val="clear" w:color="auto" w:fill="FFFFFF"/>
                        </w:rPr>
                        <w:t>.</w:t>
                      </w:r>
                      <w:r>
                        <w:rPr>
                          <w:sz w:val="22"/>
                          <w:szCs w:val="22"/>
                        </w:rPr>
                        <w:t xml:space="preserve"> </w:t>
                      </w:r>
                      <w:r>
                        <w:rPr>
                          <w:bCs/>
                          <w:szCs w:val="24"/>
                          <w:shd w:val="clear" w:color="auto" w:fill="FFFFFF"/>
                        </w:rPr>
                        <w:t>Radviliškio kultūros centrui teikiamų paslaugų pajamos – 28 000,00 Eur (SB SP, 05 programa);</w:t>
                      </w:r>
                    </w:p>
                    <w:p>
                      <w:pPr>
                        <w:rPr>
                          <w:sz w:val="14"/>
                          <w:szCs w:val="14"/>
                        </w:rPr>
                      </w:pPr>
                    </w:p>
                  </w:sdtContent>
                </w:sdt>
                <w:sdt>
                  <w:sdtPr>
                    <w:alias w:val="3.9 pp."/>
                    <w:tag w:val="part_7eece7255af7466da88b0bcd9d8672f2"/>
                    <w:lock w:val="sdtLocked"/>
                    <w:richText/>
                  </w:sdtPr>
                  <w:sdtContent>
                    <w:p>
                      <w:pPr>
                        <w:tabs>
                          <w:tab w:val="left" w:pos="0"/>
                        </w:tabs>
                        <w:spacing w:line="254" w:lineRule="auto"/>
                        <w:ind w:firstLine="567"/>
                        <w:jc w:val="both"/>
                        <w:rPr>
                          <w:bCs/>
                          <w:szCs w:val="24"/>
                          <w:shd w:val="clear" w:color="auto" w:fill="FFFFFF"/>
                        </w:rPr>
                      </w:pPr>
                      <w:sdt>
                        <w:sdtPr>
                          <w:alias w:val="Numeris"/>
                          <w:tag w:val="nr_7eece7255af7466da88b0bcd9d8672f2"/>
                          <w:lock w:val="sdtLocked"/>
                          <w:richText/>
                        </w:sdtPr>
                        <w:sdtContent>
                          <w:r>
                            <w:rPr>
                              <w:bCs/>
                              <w:szCs w:val="24"/>
                              <w:shd w:val="clear" w:color="auto" w:fill="FFFFFF"/>
                            </w:rPr>
                            <w:t>3.9</w:t>
                          </w:r>
                        </w:sdtContent>
                      </w:sdt>
                      <w:r>
                        <w:rPr>
                          <w:bCs/>
                          <w:szCs w:val="24"/>
                          <w:shd w:val="clear" w:color="auto" w:fill="FFFFFF"/>
                        </w:rPr>
                        <w:t>. Radviliškio rajono savivaldybės švietimo ir sporto paslaugų centrui teikiamų paslaugų pajamos – 30 000,00 Eur (SB SP, 02 programa);</w:t>
                      </w:r>
                    </w:p>
                    <w:p>
                      <w:pPr>
                        <w:rPr>
                          <w:sz w:val="14"/>
                          <w:szCs w:val="14"/>
                        </w:rPr>
                      </w:pPr>
                    </w:p>
                  </w:sdtContent>
                </w:sdt>
                <w:sdt>
                  <w:sdtPr>
                    <w:alias w:val="3.10 pp."/>
                    <w:tag w:val="part_907029a062ba477793a647459b146580"/>
                    <w:lock w:val="sdtLocked"/>
                    <w:richText/>
                  </w:sdtPr>
                  <w:sdtContent>
                    <w:p>
                      <w:pPr>
                        <w:tabs>
                          <w:tab w:val="left" w:pos="0"/>
                        </w:tabs>
                        <w:spacing w:line="254" w:lineRule="auto"/>
                        <w:ind w:firstLine="567"/>
                        <w:jc w:val="both"/>
                        <w:rPr>
                          <w:bCs/>
                          <w:szCs w:val="24"/>
                          <w:shd w:val="clear" w:color="auto" w:fill="FFFFFF"/>
                        </w:rPr>
                      </w:pPr>
                      <w:sdt>
                        <w:sdtPr>
                          <w:alias w:val="Numeris"/>
                          <w:tag w:val="nr_907029a062ba477793a647459b146580"/>
                          <w:lock w:val="sdtLocked"/>
                          <w:richText/>
                        </w:sdtPr>
                        <w:sdtContent>
                          <w:r>
                            <w:rPr>
                              <w:bCs/>
                              <w:szCs w:val="24"/>
                              <w:shd w:val="clear" w:color="auto" w:fill="FFFFFF"/>
                            </w:rPr>
                            <w:t>3.10</w:t>
                          </w:r>
                        </w:sdtContent>
                      </w:sdt>
                      <w:r>
                        <w:rPr>
                          <w:bCs/>
                          <w:szCs w:val="24"/>
                          <w:shd w:val="clear" w:color="auto" w:fill="FFFFFF"/>
                        </w:rPr>
                        <w:t xml:space="preserve">. </w:t>
                      </w:r>
                      <w:r>
                        <w:rPr>
                          <w:sz w:val="22"/>
                          <w:szCs w:val="22"/>
                        </w:rPr>
                        <w:t xml:space="preserve"> </w:t>
                      </w:r>
                      <w:r>
                        <w:rPr>
                          <w:bCs/>
                          <w:szCs w:val="24"/>
                          <w:shd w:val="clear" w:color="auto" w:fill="FFFFFF"/>
                        </w:rPr>
                        <w:t>Radviliškio lopšeliui-darželiui „Eglutė“ tėvų įnašų pajamos – 5 000,00 Eur (SB SP, 02 programa);</w:t>
                      </w:r>
                    </w:p>
                    <w:p>
                      <w:pPr>
                        <w:rPr>
                          <w:sz w:val="14"/>
                          <w:szCs w:val="14"/>
                        </w:rPr>
                      </w:pPr>
                    </w:p>
                  </w:sdtContent>
                </w:sdt>
                <w:sdt>
                  <w:sdtPr>
                    <w:alias w:val="3.11 pp."/>
                    <w:tag w:val="part_f4773b3eeef444c19bef31bcee80a40e"/>
                    <w:lock w:val="sdtLocked"/>
                    <w:richText/>
                  </w:sdtPr>
                  <w:sdtContent>
                    <w:p>
                      <w:pPr>
                        <w:tabs>
                          <w:tab w:val="left" w:pos="0"/>
                        </w:tabs>
                        <w:spacing w:line="254" w:lineRule="auto"/>
                        <w:ind w:firstLine="567"/>
                        <w:jc w:val="both"/>
                        <w:rPr>
                          <w:bCs/>
                          <w:szCs w:val="24"/>
                          <w:shd w:val="clear" w:color="auto" w:fill="FFFFFF"/>
                        </w:rPr>
                      </w:pPr>
                      <w:sdt>
                        <w:sdtPr>
                          <w:alias w:val="Numeris"/>
                          <w:tag w:val="nr_f4773b3eeef444c19bef31bcee80a40e"/>
                          <w:lock w:val="sdtLocked"/>
                          <w:richText/>
                        </w:sdtPr>
                        <w:sdtContent>
                          <w:r>
                            <w:rPr>
                              <w:bCs/>
                              <w:szCs w:val="24"/>
                              <w:shd w:val="clear" w:color="auto" w:fill="FFFFFF"/>
                            </w:rPr>
                            <w:t>3.11</w:t>
                          </w:r>
                        </w:sdtContent>
                      </w:sdt>
                      <w:r>
                        <w:rPr>
                          <w:bCs/>
                          <w:szCs w:val="24"/>
                          <w:shd w:val="clear" w:color="auto" w:fill="FFFFFF"/>
                        </w:rPr>
                        <w:t>.</w:t>
                      </w:r>
                      <w:r>
                        <w:rPr>
                          <w:sz w:val="22"/>
                          <w:szCs w:val="22"/>
                        </w:rPr>
                        <w:t xml:space="preserve"> </w:t>
                      </w:r>
                      <w:r>
                        <w:rPr>
                          <w:bCs/>
                          <w:szCs w:val="24"/>
                          <w:shd w:val="clear" w:color="auto" w:fill="FFFFFF"/>
                        </w:rPr>
                        <w:t xml:space="preserve">Savivaldybės biudžeto lėšos, skirtos VšĮ „Radviliškio ligoninė“ ligoninės virtuvės ir pagalbinių  patalpų remontui – 33 000,00 Eur (SB, 06 programa);  </w:t>
                      </w:r>
                    </w:p>
                    <w:p>
                      <w:pPr>
                        <w:rPr>
                          <w:sz w:val="14"/>
                          <w:szCs w:val="14"/>
                        </w:rPr>
                      </w:pPr>
                    </w:p>
                  </w:sdtContent>
                </w:sdt>
                <w:sdt>
                  <w:sdtPr>
                    <w:alias w:val="3.12 pp."/>
                    <w:tag w:val="part_8c21ae72e241431e99f374009ec117a9"/>
                    <w:lock w:val="sdtLocked"/>
                    <w:richText/>
                  </w:sdtPr>
                  <w:sdtContent>
                    <w:p>
                      <w:pPr>
                        <w:tabs>
                          <w:tab w:val="left" w:pos="0"/>
                        </w:tabs>
                        <w:spacing w:line="254" w:lineRule="auto"/>
                        <w:ind w:firstLine="567"/>
                        <w:jc w:val="both"/>
                        <w:rPr>
                          <w:bCs/>
                          <w:szCs w:val="24"/>
                          <w:shd w:val="clear" w:color="auto" w:fill="FFFFFF"/>
                        </w:rPr>
                      </w:pPr>
                      <w:sdt>
                        <w:sdtPr>
                          <w:alias w:val="Numeris"/>
                          <w:tag w:val="nr_8c21ae72e241431e99f374009ec117a9"/>
                          <w:lock w:val="sdtLocked"/>
                          <w:richText/>
                        </w:sdtPr>
                        <w:sdtContent>
                          <w:r>
                            <w:rPr>
                              <w:bCs/>
                              <w:szCs w:val="24"/>
                              <w:shd w:val="clear" w:color="auto" w:fill="FFFFFF"/>
                            </w:rPr>
                            <w:t>3.12</w:t>
                          </w:r>
                        </w:sdtContent>
                      </w:sdt>
                      <w:r>
                        <w:rPr>
                          <w:bCs/>
                          <w:szCs w:val="24"/>
                          <w:shd w:val="clear" w:color="auto" w:fill="FFFFFF"/>
                        </w:rPr>
                        <w:t>.</w:t>
                      </w:r>
                      <w:r>
                        <w:rPr>
                          <w:sz w:val="22"/>
                          <w:szCs w:val="22"/>
                        </w:rPr>
                        <w:t xml:space="preserve"> </w:t>
                      </w:r>
                      <w:r>
                        <w:rPr>
                          <w:bCs/>
                          <w:szCs w:val="24"/>
                          <w:shd w:val="clear" w:color="auto" w:fill="FFFFFF"/>
                        </w:rPr>
                        <w:t>Savivaldybės biudžeto lėšos, skirtos</w:t>
                      </w:r>
                      <w:r>
                        <w:rPr>
                          <w:sz w:val="22"/>
                          <w:szCs w:val="22"/>
                        </w:rPr>
                        <w:t xml:space="preserve"> </w:t>
                      </w:r>
                      <w:r>
                        <w:rPr>
                          <w:bCs/>
                          <w:szCs w:val="24"/>
                          <w:shd w:val="clear" w:color="auto" w:fill="FFFFFF"/>
                        </w:rPr>
                        <w:t xml:space="preserve">Radviliškio r. Šeduvos gimnazijai, komunalinių paslaugų išlaidoms padengti – 57 000,00 Eur (SB, 02 programa);  </w:t>
                      </w:r>
                    </w:p>
                    <w:p>
                      <w:pPr>
                        <w:rPr>
                          <w:sz w:val="14"/>
                          <w:szCs w:val="14"/>
                        </w:rPr>
                      </w:pPr>
                    </w:p>
                  </w:sdtContent>
                </w:sdt>
              </w:sdtContent>
            </w:sdt>
            <w:sdt>
              <w:sdtPr>
                <w:alias w:val="4 p."/>
                <w:tag w:val="part_e374e50bf4a8493ba6b2bfa52120ab6f"/>
                <w:lock w:val="sdtLocked"/>
                <w:richText/>
              </w:sdtPr>
              <w:sdtContent>
                <w:p>
                  <w:pPr>
                    <w:tabs>
                      <w:tab w:val="left" w:pos="0"/>
                    </w:tabs>
                    <w:spacing w:line="254" w:lineRule="auto"/>
                    <w:ind w:firstLine="567"/>
                    <w:jc w:val="both"/>
                    <w:rPr>
                      <w:bCs/>
                      <w:szCs w:val="24"/>
                      <w:shd w:val="clear" w:color="auto" w:fill="FFFFFF"/>
                    </w:rPr>
                  </w:pPr>
                  <w:sdt>
                    <w:sdtPr>
                      <w:alias w:val="Numeris"/>
                      <w:tag w:val="nr_e374e50bf4a8493ba6b2bfa52120ab6f"/>
                      <w:lock w:val="sdtLocked"/>
                      <w:richText/>
                    </w:sdtPr>
                    <w:sdtContent>
                      <w:r>
                        <w:rPr>
                          <w:bCs/>
                          <w:szCs w:val="24"/>
                          <w:shd w:val="clear" w:color="auto" w:fill="FFFFFF"/>
                        </w:rPr>
                        <w:t>4</w:t>
                      </w:r>
                    </w:sdtContent>
                  </w:sdt>
                  <w:r>
                    <w:rPr>
                      <w:bCs/>
                      <w:szCs w:val="24"/>
                      <w:shd w:val="clear" w:color="auto" w:fill="FFFFFF"/>
                    </w:rPr>
                    <w:t xml:space="preserve">. Sumažinti  Radviliškio rajono savivaldybės administracijos Socialinės paramos skyriaus asignavimus:</w:t>
                  </w:r>
                </w:p>
                <w:p>
                  <w:pPr>
                    <w:rPr>
                      <w:sz w:val="14"/>
                      <w:szCs w:val="14"/>
                    </w:rPr>
                  </w:pPr>
                </w:p>
                <w:sdt>
                  <w:sdtPr>
                    <w:alias w:val="4.1 pp."/>
                    <w:tag w:val="part_5df0fbf039c3449caa59430ac4d9568b"/>
                    <w:lock w:val="sdtLocked"/>
                    <w:richText/>
                  </w:sdtPr>
                  <w:sdtContent>
                    <w:p>
                      <w:pPr>
                        <w:tabs>
                          <w:tab w:val="left" w:pos="0"/>
                        </w:tabs>
                        <w:spacing w:line="254" w:lineRule="auto"/>
                        <w:ind w:firstLine="567"/>
                        <w:jc w:val="both"/>
                        <w:rPr>
                          <w:bCs/>
                          <w:szCs w:val="24"/>
                          <w:shd w:val="clear" w:color="auto" w:fill="FFFFFF"/>
                        </w:rPr>
                      </w:pPr>
                      <w:sdt>
                        <w:sdtPr>
                          <w:alias w:val="Numeris"/>
                          <w:tag w:val="nr_5df0fbf039c3449caa59430ac4d9568b"/>
                          <w:lock w:val="sdtLocked"/>
                          <w:richText/>
                        </w:sdtPr>
                        <w:sdtContent>
                          <w:r>
                            <w:rPr>
                              <w:bCs/>
                              <w:szCs w:val="24"/>
                              <w:shd w:val="clear" w:color="auto" w:fill="FFFFFF"/>
                            </w:rPr>
                            <w:t>4.1</w:t>
                          </w:r>
                        </w:sdtContent>
                      </w:sdt>
                      <w:r>
                        <w:rPr>
                          <w:bCs/>
                          <w:szCs w:val="24"/>
                          <w:shd w:val="clear" w:color="auto" w:fill="FFFFFF"/>
                        </w:rPr>
                        <w:t>. Valstybės biudžeto lėšas, skirtas asmenų su negalia reikalų koordinavimo funkcijai atlikti – 7 219,00 Eur (VB, 03 programa);</w:t>
                      </w:r>
                    </w:p>
                    <w:p>
                      <w:pPr>
                        <w:rPr>
                          <w:sz w:val="14"/>
                          <w:szCs w:val="14"/>
                        </w:rPr>
                      </w:pPr>
                    </w:p>
                  </w:sdtContent>
                </w:sdt>
                <w:sdt>
                  <w:sdtPr>
                    <w:alias w:val="4.2 pp."/>
                    <w:tag w:val="part_1d35108c4385413c9a748ee293240df6"/>
                    <w:lock w:val="sdtLocked"/>
                    <w:richText/>
                  </w:sdtPr>
                  <w:sdtContent>
                    <w:p>
                      <w:pPr>
                        <w:tabs>
                          <w:tab w:val="left" w:pos="0"/>
                        </w:tabs>
                        <w:spacing w:line="254" w:lineRule="auto"/>
                        <w:ind w:firstLine="567"/>
                        <w:jc w:val="both"/>
                        <w:rPr>
                          <w:bCs/>
                          <w:szCs w:val="24"/>
                          <w:shd w:val="clear" w:color="auto" w:fill="FFFFFF"/>
                        </w:rPr>
                      </w:pPr>
                      <w:sdt>
                        <w:sdtPr>
                          <w:alias w:val="Numeris"/>
                          <w:tag w:val="nr_1d35108c4385413c9a748ee293240df6"/>
                          <w:lock w:val="sdtLocked"/>
                          <w:richText/>
                        </w:sdtPr>
                        <w:sdtContent>
                          <w:r>
                            <w:rPr>
                              <w:bCs/>
                              <w:szCs w:val="24"/>
                              <w:shd w:val="clear" w:color="auto" w:fill="FFFFFF"/>
                            </w:rPr>
                            <w:t>4.2</w:t>
                          </w:r>
                        </w:sdtContent>
                      </w:sdt>
                      <w:r>
                        <w:rPr>
                          <w:bCs/>
                          <w:szCs w:val="24"/>
                          <w:shd w:val="clear" w:color="auto" w:fill="FFFFFF"/>
                        </w:rPr>
                        <w:t>.</w:t>
                      </w:r>
                      <w:r>
                        <w:rPr>
                          <w:sz w:val="22"/>
                          <w:szCs w:val="22"/>
                        </w:rPr>
                        <w:t xml:space="preserve"> </w:t>
                      </w:r>
                      <w:r>
                        <w:rPr>
                          <w:szCs w:val="24"/>
                        </w:rPr>
                        <w:t>Valstybės biudžeto specialių tikslinių dotacijų lėšas, skirtas</w:t>
                      </w:r>
                      <w:r>
                        <w:rPr>
                          <w:sz w:val="22"/>
                          <w:szCs w:val="22"/>
                        </w:rPr>
                        <w:t xml:space="preserve"> </w:t>
                      </w:r>
                      <w:r>
                        <w:rPr>
                          <w:bCs/>
                          <w:szCs w:val="24"/>
                          <w:shd w:val="clear" w:color="auto" w:fill="FFFFFF"/>
                        </w:rPr>
                        <w:t>socialinei paramai mokiniams teikti – 9 500,00 (VB, 03 programa) ir 1 600,00 Eur (VB, 01 programa);</w:t>
                      </w:r>
                    </w:p>
                    <w:p>
                      <w:pPr>
                        <w:rPr>
                          <w:sz w:val="14"/>
                          <w:szCs w:val="14"/>
                        </w:rPr>
                      </w:pPr>
                    </w:p>
                  </w:sdtContent>
                </w:sdt>
              </w:sdtContent>
            </w:sdt>
            <w:sdt>
              <w:sdtPr>
                <w:alias w:val="5 p."/>
                <w:tag w:val="part_d5501597226247dfa939570b113af1d3"/>
                <w:lock w:val="sdtLocked"/>
                <w:richText/>
              </w:sdtPr>
              <w:sdtContent>
                <w:p>
                  <w:pPr>
                    <w:tabs>
                      <w:tab w:val="left" w:pos="0"/>
                    </w:tabs>
                    <w:spacing w:line="254" w:lineRule="auto"/>
                    <w:ind w:firstLine="567"/>
                    <w:jc w:val="both"/>
                    <w:rPr>
                      <w:bCs/>
                      <w:szCs w:val="24"/>
                      <w:shd w:val="clear" w:color="auto" w:fill="FFFFFF"/>
                    </w:rPr>
                  </w:pPr>
                  <w:sdt>
                    <w:sdtPr>
                      <w:alias w:val="Numeris"/>
                      <w:tag w:val="nr_d5501597226247dfa939570b113af1d3"/>
                      <w:lock w:val="sdtLocked"/>
                      <w:richText/>
                    </w:sdtPr>
                    <w:sdtContent>
                      <w:r>
                        <w:rPr>
                          <w:bCs/>
                          <w:szCs w:val="24"/>
                          <w:shd w:val="clear" w:color="auto" w:fill="FFFFFF"/>
                        </w:rPr>
                        <w:t>5</w:t>
                      </w:r>
                    </w:sdtContent>
                  </w:sdt>
                  <w:r>
                    <w:rPr>
                      <w:bCs/>
                      <w:szCs w:val="24"/>
                      <w:shd w:val="clear" w:color="auto" w:fill="FFFFFF"/>
                    </w:rPr>
                    <w:t>.</w:t>
                  </w:r>
                  <w:r>
                    <w:rPr>
                      <w:sz w:val="22"/>
                      <w:szCs w:val="22"/>
                    </w:rPr>
                    <w:t xml:space="preserve">  </w:t>
                  </w:r>
                  <w:r>
                    <w:rPr>
                      <w:bCs/>
                      <w:szCs w:val="24"/>
                      <w:shd w:val="clear" w:color="auto" w:fill="FFFFFF"/>
                    </w:rPr>
                    <w:t>Sumažinti</w:t>
                  </w:r>
                  <w:r>
                    <w:rPr>
                      <w:sz w:val="22"/>
                      <w:szCs w:val="22"/>
                    </w:rPr>
                    <w:t xml:space="preserve"> v</w:t>
                  </w:r>
                  <w:r>
                    <w:rPr>
                      <w:bCs/>
                      <w:szCs w:val="24"/>
                      <w:shd w:val="clear" w:color="auto" w:fill="FFFFFF"/>
                    </w:rPr>
                    <w:t xml:space="preserve">alstybės biudžeto specialių tikslinių dotacijų lėšas  socialinei paramai mokiniams teikti – 40 000,00 Eur (VB, 03 programa):</w:t>
                  </w:r>
                </w:p>
                <w:p>
                  <w:pPr>
                    <w:rPr>
                      <w:sz w:val="14"/>
                      <w:szCs w:val="14"/>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3657"/>
                  </w:tblGrid>
                  <w:tr>
                    <w:tc>
                      <w:tcPr>
                        <w:tcW w:w="5670" w:type="dxa"/>
                      </w:tcPr>
                      <w:p>
                        <w:pPr>
                          <w:spacing w:line="254" w:lineRule="auto"/>
                          <w:jc w:val="center"/>
                          <w:rPr>
                            <w:b/>
                            <w:bCs/>
                            <w:szCs w:val="24"/>
                          </w:rPr>
                        </w:pPr>
                        <w:r>
                          <w:rPr>
                            <w:b/>
                            <w:bCs/>
                            <w:szCs w:val="24"/>
                          </w:rPr>
                          <w:t>Asignavimų valdytojas</w:t>
                        </w:r>
                      </w:p>
                    </w:tc>
                    <w:tc>
                      <w:tcPr>
                        <w:tcW w:w="3657" w:type="dxa"/>
                      </w:tcPr>
                      <w:p>
                        <w:pPr>
                          <w:spacing w:line="254" w:lineRule="auto"/>
                          <w:jc w:val="center"/>
                          <w:rPr>
                            <w:b/>
                            <w:bCs/>
                            <w:szCs w:val="24"/>
                          </w:rPr>
                        </w:pPr>
                        <w:r>
                          <w:rPr>
                            <w:b/>
                            <w:bCs/>
                            <w:szCs w:val="24"/>
                          </w:rPr>
                          <w:t>Suma ( Eur)</w:t>
                        </w:r>
                      </w:p>
                    </w:tc>
                  </w:tr>
                  <w:tr>
                    <w:tc>
                      <w:tcPr>
                        <w:tcW w:w="5670" w:type="dxa"/>
                      </w:tcPr>
                      <w:p>
                        <w:pPr>
                          <w:spacing w:line="254" w:lineRule="auto"/>
                          <w:rPr>
                            <w:szCs w:val="24"/>
                          </w:rPr>
                        </w:pPr>
                        <w:r>
                          <w:rPr>
                            <w:szCs w:val="24"/>
                          </w:rPr>
                          <w:t>V. Kudirkos progimnazija</w:t>
                        </w:r>
                      </w:p>
                    </w:tc>
                    <w:tc>
                      <w:tcPr>
                        <w:tcW w:w="3657" w:type="dxa"/>
                      </w:tcPr>
                      <w:p>
                        <w:pPr>
                          <w:spacing w:line="254" w:lineRule="auto"/>
                          <w:jc w:val="center"/>
                          <w:rPr>
                            <w:szCs w:val="24"/>
                          </w:rPr>
                        </w:pPr>
                        <w:r>
                          <w:rPr>
                            <w:szCs w:val="24"/>
                          </w:rPr>
                          <w:t>16 000,00</w:t>
                        </w:r>
                      </w:p>
                    </w:tc>
                  </w:tr>
                  <w:tr>
                    <w:tc>
                      <w:tcPr>
                        <w:tcW w:w="5670" w:type="dxa"/>
                      </w:tcPr>
                      <w:p>
                        <w:pPr>
                          <w:spacing w:line="254" w:lineRule="auto"/>
                          <w:jc w:val="both"/>
                          <w:rPr>
                            <w:szCs w:val="24"/>
                          </w:rPr>
                        </w:pPr>
                        <w:r>
                          <w:rPr>
                            <w:szCs w:val="24"/>
                          </w:rPr>
                          <w:t>Gražinos pagrindinė mokykla</w:t>
                        </w:r>
                      </w:p>
                    </w:tc>
                    <w:tc>
                      <w:tcPr>
                        <w:tcW w:w="3657" w:type="dxa"/>
                      </w:tcPr>
                      <w:p>
                        <w:pPr>
                          <w:spacing w:line="254" w:lineRule="auto"/>
                          <w:jc w:val="center"/>
                          <w:rPr>
                            <w:szCs w:val="24"/>
                          </w:rPr>
                        </w:pPr>
                        <w:r>
                          <w:rPr>
                            <w:szCs w:val="24"/>
                          </w:rPr>
                          <w:t>14 500,00</w:t>
                        </w:r>
                      </w:p>
                    </w:tc>
                  </w:tr>
                  <w:tr>
                    <w:tc>
                      <w:tcPr>
                        <w:tcW w:w="5670" w:type="dxa"/>
                      </w:tcPr>
                      <w:p>
                        <w:pPr>
                          <w:spacing w:line="254" w:lineRule="auto"/>
                          <w:jc w:val="both"/>
                          <w:rPr>
                            <w:szCs w:val="24"/>
                          </w:rPr>
                        </w:pPr>
                        <w:r>
                          <w:rPr>
                            <w:szCs w:val="24"/>
                          </w:rPr>
                          <w:t>Vaižganto progimnazija</w:t>
                        </w:r>
                      </w:p>
                    </w:tc>
                    <w:tc>
                      <w:tcPr>
                        <w:tcW w:w="3657" w:type="dxa"/>
                      </w:tcPr>
                      <w:p>
                        <w:pPr>
                          <w:spacing w:line="254" w:lineRule="auto"/>
                          <w:jc w:val="center"/>
                          <w:rPr>
                            <w:szCs w:val="24"/>
                          </w:rPr>
                        </w:pPr>
                        <w:r>
                          <w:rPr>
                            <w:szCs w:val="24"/>
                          </w:rPr>
                          <w:t>9 500,00</w:t>
                        </w:r>
                      </w:p>
                    </w:tc>
                  </w:tr>
                  <w:tr>
                    <w:tc>
                      <w:tcPr>
                        <w:tcW w:w="5670" w:type="dxa"/>
                      </w:tcPr>
                      <w:p>
                        <w:pPr>
                          <w:spacing w:line="254" w:lineRule="auto"/>
                          <w:jc w:val="both"/>
                          <w:rPr>
                            <w:b/>
                            <w:bCs/>
                            <w:szCs w:val="24"/>
                          </w:rPr>
                        </w:pPr>
                        <w:r>
                          <w:rPr>
                            <w:b/>
                            <w:bCs/>
                            <w:szCs w:val="24"/>
                          </w:rPr>
                          <w:t>Iš viso</w:t>
                        </w:r>
                      </w:p>
                    </w:tc>
                    <w:tc>
                      <w:tcPr>
                        <w:tcW w:w="3657" w:type="dxa"/>
                      </w:tcPr>
                      <w:p>
                        <w:pPr>
                          <w:spacing w:line="254" w:lineRule="auto"/>
                          <w:jc w:val="center"/>
                          <w:rPr>
                            <w:b/>
                            <w:bCs/>
                            <w:szCs w:val="24"/>
                          </w:rPr>
                        </w:pPr>
                        <w:r>
                          <w:rPr>
                            <w:b/>
                            <w:bCs/>
                            <w:szCs w:val="24"/>
                          </w:rPr>
                          <w:t>40 000,00</w:t>
                        </w:r>
                      </w:p>
                    </w:tc>
                  </w:tr>
                </w:tbl>
                <w:p>
                  <w:pPr>
                    <w:tabs>
                      <w:tab w:val="left" w:pos="0"/>
                    </w:tabs>
                    <w:spacing w:line="254" w:lineRule="auto"/>
                    <w:ind w:firstLine="567"/>
                    <w:jc w:val="both"/>
                    <w:rPr>
                      <w:bCs/>
                      <w:szCs w:val="24"/>
                      <w:shd w:val="clear" w:color="auto" w:fill="FFFFFF"/>
                    </w:rPr>
                  </w:pPr>
                </w:p>
                <w:p>
                  <w:pPr>
                    <w:rPr>
                      <w:sz w:val="14"/>
                      <w:szCs w:val="14"/>
                    </w:rPr>
                  </w:pPr>
                </w:p>
              </w:sdtContent>
            </w:sdt>
            <w:sdt>
              <w:sdtPr>
                <w:alias w:val="6 p."/>
                <w:tag w:val="part_d1c8b008eca94e5bb85eb80d9ab4d449"/>
                <w:lock w:val="sdtLocked"/>
                <w:richText/>
              </w:sdtPr>
              <w:sdtContent>
                <w:p>
                  <w:pPr>
                    <w:tabs>
                      <w:tab w:val="left" w:pos="0"/>
                    </w:tabs>
                    <w:spacing w:line="254" w:lineRule="auto"/>
                    <w:ind w:firstLine="567"/>
                    <w:jc w:val="both"/>
                    <w:rPr>
                      <w:bCs/>
                      <w:szCs w:val="24"/>
                      <w:shd w:val="clear" w:color="auto" w:fill="FFFFFF"/>
                    </w:rPr>
                  </w:pPr>
                  <w:sdt>
                    <w:sdtPr>
                      <w:alias w:val="Numeris"/>
                      <w:tag w:val="nr_d1c8b008eca94e5bb85eb80d9ab4d449"/>
                      <w:lock w:val="sdtLocked"/>
                      <w:richText/>
                    </w:sdtPr>
                    <w:sdtContent>
                      <w:r>
                        <w:rPr>
                          <w:bCs/>
                          <w:szCs w:val="24"/>
                          <w:shd w:val="clear" w:color="auto" w:fill="FFFFFF"/>
                        </w:rPr>
                        <w:t>6</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552"/>
                    <w:gridCol w:w="708"/>
                    <w:gridCol w:w="993"/>
                    <w:gridCol w:w="2835"/>
                    <w:gridCol w:w="1842"/>
                  </w:tblGrid>
                  <w:tr>
                    <w:trPr>
                      <w:trHeight w:val="1063"/>
                      <w:tblHeader/>
                    </w:trPr>
                    <w:tc>
                      <w:tcPr>
                        <w:tcW w:w="704" w:type="dxa"/>
                        <w:tcBorders>
                          <w:bottom w:val="single" w:sz="4" w:space="0" w:color="auto"/>
                        </w:tcBorders>
                      </w:tcPr>
                      <w:p>
                        <w:pPr>
                          <w:spacing w:line="254" w:lineRule="auto"/>
                          <w:jc w:val="both"/>
                          <w:rPr>
                            <w:b/>
                            <w:bCs/>
                            <w:sz w:val="20"/>
                          </w:rPr>
                        </w:pPr>
                        <w:r>
                          <w:rPr>
                            <w:b/>
                            <w:bCs/>
                            <w:sz w:val="20"/>
                          </w:rPr>
                          <w:t>Eil. Nr.</w:t>
                        </w:r>
                      </w:p>
                    </w:tc>
                    <w:tc>
                      <w:tcPr>
                        <w:tcW w:w="2552" w:type="dxa"/>
                        <w:tcBorders>
                          <w:bottom w:val="single" w:sz="4" w:space="0" w:color="auto"/>
                        </w:tcBorders>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tcPr>
                      <w:p>
                        <w:pPr>
                          <w:spacing w:line="254" w:lineRule="auto"/>
                          <w:jc w:val="both"/>
                          <w:rPr>
                            <w:b/>
                            <w:bCs/>
                            <w:sz w:val="20"/>
                          </w:rPr>
                        </w:pPr>
                        <w:r>
                          <w:rPr>
                            <w:b/>
                            <w:bCs/>
                            <w:sz w:val="20"/>
                          </w:rPr>
                          <w:t>Programa</w:t>
                        </w:r>
                      </w:p>
                    </w:tc>
                    <w:tc>
                      <w:tcPr>
                        <w:tcW w:w="993" w:type="dxa"/>
                      </w:tcPr>
                      <w:p>
                        <w:pPr>
                          <w:spacing w:line="254" w:lineRule="auto"/>
                          <w:jc w:val="both"/>
                          <w:rPr>
                            <w:b/>
                            <w:bCs/>
                            <w:sz w:val="20"/>
                          </w:rPr>
                        </w:pPr>
                        <w:r>
                          <w:rPr>
                            <w:b/>
                            <w:bCs/>
                            <w:sz w:val="20"/>
                          </w:rPr>
                          <w:t>Fun-kcinė klasi-fikacija</w:t>
                        </w:r>
                      </w:p>
                    </w:tc>
                    <w:tc>
                      <w:tcPr>
                        <w:tcW w:w="2835" w:type="dxa"/>
                      </w:tcPr>
                      <w:p>
                        <w:pPr>
                          <w:spacing w:line="254" w:lineRule="auto"/>
                          <w:jc w:val="center"/>
                          <w:rPr>
                            <w:b/>
                            <w:bCs/>
                            <w:sz w:val="20"/>
                          </w:rPr>
                        </w:pPr>
                        <w:r>
                          <w:rPr>
                            <w:b/>
                            <w:bCs/>
                            <w:sz w:val="20"/>
                          </w:rPr>
                          <w:t>Ekonominė klasifikacija/sąmata</w:t>
                        </w:r>
                      </w:p>
                    </w:tc>
                    <w:tc>
                      <w:tcPr>
                        <w:tcW w:w="1842" w:type="dxa"/>
                      </w:tcPr>
                      <w:p>
                        <w:pPr>
                          <w:spacing w:line="254" w:lineRule="auto"/>
                          <w:ind w:right="315"/>
                          <w:jc w:val="both"/>
                          <w:rPr>
                            <w:b/>
                            <w:bCs/>
                            <w:sz w:val="20"/>
                          </w:rPr>
                        </w:pPr>
                        <w:r>
                          <w:rPr>
                            <w:b/>
                            <w:bCs/>
                            <w:sz w:val="20"/>
                          </w:rPr>
                          <w:t>Tikslinama suma (+,-)</w:t>
                        </w:r>
                      </w:p>
                    </w:tc>
                  </w:tr>
                  <w:tr>
                    <w:trPr>
                      <w:trHeight w:val="615"/>
                    </w:trPr>
                    <w:tc>
                      <w:tcPr>
                        <w:tcW w:w="704" w:type="dxa"/>
                        <w:tcBorders>
                          <w:top w:val="single" w:sz="4" w:space="0" w:color="auto"/>
                          <w:bottom w:val="nil"/>
                        </w:tcBorders>
                      </w:tcPr>
                      <w:p>
                        <w:pPr>
                          <w:spacing w:line="254" w:lineRule="auto"/>
                          <w:jc w:val="both"/>
                          <w:rPr>
                            <w:sz w:val="22"/>
                            <w:szCs w:val="22"/>
                          </w:rPr>
                        </w:pPr>
                        <w:r>
                          <w:rPr>
                            <w:sz w:val="22"/>
                            <w:szCs w:val="22"/>
                          </w:rPr>
                          <w:t>1.</w:t>
                        </w:r>
                      </w:p>
                    </w:tc>
                    <w:tc>
                      <w:tcPr>
                        <w:tcW w:w="2552" w:type="dxa"/>
                        <w:tcBorders>
                          <w:top w:val="single" w:sz="4" w:space="0" w:color="auto"/>
                          <w:bottom w:val="nil"/>
                        </w:tcBorders>
                      </w:tcPr>
                      <w:p>
                        <w:pPr>
                          <w:spacing w:line="254" w:lineRule="auto"/>
                          <w:rPr>
                            <w:sz w:val="22"/>
                            <w:szCs w:val="22"/>
                          </w:rPr>
                        </w:pPr>
                        <w:r>
                          <w:rPr>
                            <w:sz w:val="22"/>
                            <w:szCs w:val="22"/>
                          </w:rPr>
                          <w:t>Radviliškio rajono savivaldybės administracija (SB)</w:t>
                        </w:r>
                      </w:p>
                    </w:tc>
                    <w:tc>
                      <w:tcPr>
                        <w:tcW w:w="708" w:type="dxa"/>
                      </w:tcPr>
                      <w:p>
                        <w:pPr>
                          <w:spacing w:line="254" w:lineRule="auto"/>
                          <w:jc w:val="both"/>
                          <w:rPr>
                            <w:sz w:val="22"/>
                            <w:szCs w:val="22"/>
                          </w:rPr>
                        </w:pPr>
                        <w:r>
                          <w:rPr>
                            <w:sz w:val="22"/>
                            <w:szCs w:val="22"/>
                          </w:rPr>
                          <w:t>06</w:t>
                        </w:r>
                      </w:p>
                    </w:tc>
                    <w:tc>
                      <w:tcPr>
                        <w:tcW w:w="993" w:type="dxa"/>
                      </w:tcPr>
                      <w:p>
                        <w:pPr>
                          <w:spacing w:line="254" w:lineRule="auto"/>
                          <w:jc w:val="both"/>
                          <w:rPr>
                            <w:sz w:val="22"/>
                            <w:szCs w:val="22"/>
                          </w:rPr>
                        </w:pPr>
                        <w:r>
                          <w:rPr>
                            <w:sz w:val="22"/>
                            <w:szCs w:val="22"/>
                          </w:rPr>
                          <w:t>06</w:t>
                        </w:r>
                      </w:p>
                    </w:tc>
                    <w:tc>
                      <w:tcPr>
                        <w:tcW w:w="2835" w:type="dxa"/>
                      </w:tcPr>
                      <w:p>
                        <w:pPr>
                          <w:spacing w:line="254" w:lineRule="auto"/>
                          <w:rPr>
                            <w:sz w:val="22"/>
                            <w:szCs w:val="22"/>
                          </w:rPr>
                        </w:pPr>
                        <w:r>
                          <w:rPr>
                            <w:sz w:val="22"/>
                            <w:szCs w:val="22"/>
                          </w:rPr>
                          <w:t>Daugiabučių namų valdomų JVS rėmimas</w:t>
                        </w:r>
                      </w:p>
                    </w:tc>
                    <w:tc>
                      <w:tcPr>
                        <w:tcW w:w="1842" w:type="dxa"/>
                      </w:tcPr>
                      <w:p>
                        <w:pPr>
                          <w:spacing w:line="254" w:lineRule="auto"/>
                          <w:ind w:right="315"/>
                          <w:jc w:val="center"/>
                          <w:rPr>
                            <w:sz w:val="22"/>
                            <w:szCs w:val="22"/>
                          </w:rPr>
                        </w:pPr>
                        <w:r>
                          <w:rPr>
                            <w:sz w:val="22"/>
                            <w:szCs w:val="22"/>
                          </w:rPr>
                          <w:t>-3 479,69</w:t>
                        </w:r>
                      </w:p>
                    </w:tc>
                  </w:tr>
                  <w:tr>
                    <w:trPr>
                      <w:trHeight w:val="615"/>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01</w:t>
                        </w:r>
                      </w:p>
                    </w:tc>
                    <w:tc>
                      <w:tcPr>
                        <w:tcW w:w="993" w:type="dxa"/>
                      </w:tcPr>
                      <w:p>
                        <w:pPr>
                          <w:spacing w:line="254" w:lineRule="auto"/>
                          <w:jc w:val="both"/>
                          <w:rPr>
                            <w:sz w:val="22"/>
                            <w:szCs w:val="22"/>
                          </w:rPr>
                        </w:pPr>
                        <w:r>
                          <w:rPr>
                            <w:sz w:val="22"/>
                            <w:szCs w:val="22"/>
                          </w:rPr>
                          <w:t>06</w:t>
                        </w:r>
                      </w:p>
                    </w:tc>
                    <w:tc>
                      <w:tcPr>
                        <w:tcW w:w="2835" w:type="dxa"/>
                      </w:tcPr>
                      <w:p>
                        <w:pPr>
                          <w:spacing w:line="254" w:lineRule="auto"/>
                          <w:rPr>
                            <w:sz w:val="22"/>
                            <w:szCs w:val="22"/>
                          </w:rPr>
                        </w:pPr>
                        <w:r>
                          <w:rPr>
                            <w:sz w:val="22"/>
                            <w:szCs w:val="22"/>
                          </w:rPr>
                          <w:t>Daugiabučių namų savininkų bendrijų rėmimas</w:t>
                        </w:r>
                      </w:p>
                    </w:tc>
                    <w:tc>
                      <w:tcPr>
                        <w:tcW w:w="1842" w:type="dxa"/>
                      </w:tcPr>
                      <w:p>
                        <w:pPr>
                          <w:spacing w:line="254" w:lineRule="auto"/>
                          <w:ind w:right="315"/>
                          <w:jc w:val="center"/>
                          <w:rPr>
                            <w:sz w:val="22"/>
                            <w:szCs w:val="22"/>
                          </w:rPr>
                        </w:pPr>
                        <w:r>
                          <w:rPr>
                            <w:sz w:val="22"/>
                            <w:szCs w:val="22"/>
                          </w:rPr>
                          <w:t>3 479,69</w:t>
                        </w:r>
                      </w:p>
                    </w:tc>
                  </w:tr>
                  <w:tr>
                    <w:trPr>
                      <w:trHeight w:val="606"/>
                    </w:trPr>
                    <w:tc>
                      <w:tcPr>
                        <w:tcW w:w="704" w:type="dxa"/>
                        <w:tcBorders>
                          <w:top w:val="single" w:sz="4" w:space="0" w:color="auto"/>
                          <w:bottom w:val="nil"/>
                        </w:tcBorders>
                      </w:tcPr>
                      <w:p>
                        <w:pPr>
                          <w:spacing w:line="254" w:lineRule="auto"/>
                          <w:jc w:val="both"/>
                          <w:rPr>
                            <w:sz w:val="22"/>
                            <w:szCs w:val="22"/>
                          </w:rPr>
                        </w:pPr>
                        <w:r>
                          <w:rPr>
                            <w:sz w:val="22"/>
                            <w:szCs w:val="22"/>
                          </w:rPr>
                          <w:t>2.</w:t>
                        </w:r>
                      </w:p>
                    </w:tc>
                    <w:tc>
                      <w:tcPr>
                        <w:tcW w:w="2552" w:type="dxa"/>
                        <w:tcBorders>
                          <w:top w:val="single" w:sz="4" w:space="0" w:color="auto"/>
                          <w:bottom w:val="nil"/>
                        </w:tcBorders>
                      </w:tcPr>
                      <w:p>
                        <w:pPr>
                          <w:spacing w:line="254" w:lineRule="auto"/>
                          <w:rPr>
                            <w:sz w:val="22"/>
                            <w:szCs w:val="22"/>
                          </w:rPr>
                        </w:pPr>
                        <w:r>
                          <w:rPr>
                            <w:sz w:val="22"/>
                            <w:szCs w:val="22"/>
                          </w:rPr>
                          <w:t>Radviliškio rajono savivaldybės administracija (SBLIK)</w:t>
                        </w: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Susisiekimo infrastruktūros privažiuojamojo kelio prie investicinių sklypų Vėriškių g. 63 ir Vėriškių g. 66, Šeduvos m. Radviliškio r. sav. tiesimas</w:t>
                        </w:r>
                      </w:p>
                    </w:tc>
                    <w:tc>
                      <w:tcPr>
                        <w:tcW w:w="1842" w:type="dxa"/>
                      </w:tcPr>
                      <w:p>
                        <w:pPr>
                          <w:spacing w:line="254" w:lineRule="auto"/>
                          <w:ind w:right="315"/>
                          <w:jc w:val="center"/>
                          <w:rPr>
                            <w:sz w:val="22"/>
                            <w:szCs w:val="22"/>
                          </w:rPr>
                        </w:pPr>
                        <w:r>
                          <w:rPr>
                            <w:sz w:val="22"/>
                            <w:szCs w:val="22"/>
                          </w:rPr>
                          <w:t>-45 320,33</w:t>
                        </w:r>
                      </w:p>
                    </w:tc>
                  </w:tr>
                  <w:tr>
                    <w:trPr>
                      <w:trHeight w:val="606"/>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 xml:space="preserve">Techninių projektų rengimas, koregavimas, statinių ir projektų ekspertizė, projektų vykdymo priežiūra,  kelių saugumo auditai, statinio statybos techninė priežiūra, kadastriniai matavimai ir kitos panašios techninės inžinerinės paslaugos</w:t>
                        </w:r>
                      </w:p>
                    </w:tc>
                    <w:tc>
                      <w:tcPr>
                        <w:tcW w:w="1842" w:type="dxa"/>
                      </w:tcPr>
                      <w:p>
                        <w:pPr>
                          <w:spacing w:line="254" w:lineRule="auto"/>
                          <w:ind w:right="315"/>
                          <w:jc w:val="center"/>
                          <w:rPr>
                            <w:sz w:val="22"/>
                            <w:szCs w:val="22"/>
                          </w:rPr>
                        </w:pPr>
                        <w:r>
                          <w:rPr>
                            <w:sz w:val="22"/>
                            <w:szCs w:val="22"/>
                          </w:rPr>
                          <w:t>45 320,33</w:t>
                        </w:r>
                      </w:p>
                    </w:tc>
                  </w:tr>
                  <w:tr>
                    <w:trPr>
                      <w:trHeight w:val="606"/>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Radviliškio rajono šilumos ūkio specialiojo plano keitimo paslauga</w:t>
                        </w:r>
                      </w:p>
                    </w:tc>
                    <w:tc>
                      <w:tcPr>
                        <w:tcW w:w="1842" w:type="dxa"/>
                      </w:tcPr>
                      <w:p>
                        <w:pPr>
                          <w:spacing w:line="254" w:lineRule="auto"/>
                          <w:ind w:right="315"/>
                          <w:jc w:val="center"/>
                          <w:rPr>
                            <w:sz w:val="22"/>
                            <w:szCs w:val="22"/>
                          </w:rPr>
                        </w:pPr>
                        <w:r>
                          <w:rPr>
                            <w:sz w:val="22"/>
                            <w:szCs w:val="22"/>
                          </w:rPr>
                          <w:t>-4 174,50</w:t>
                        </w:r>
                      </w:p>
                    </w:tc>
                  </w:tr>
                  <w:tr>
                    <w:trPr>
                      <w:trHeight w:val="606"/>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Radviliškio miesto Antaniškių miške esančio žemės sklypo, Vytauto Landsbergio-Žemkalnio 26, Radviliškio m., sutvarkymo ir pritaikymo lankymui techninio darbo projekto parengimas</w:t>
                        </w:r>
                      </w:p>
                    </w:tc>
                    <w:tc>
                      <w:tcPr>
                        <w:tcW w:w="1842" w:type="dxa"/>
                      </w:tcPr>
                      <w:p>
                        <w:pPr>
                          <w:spacing w:line="254" w:lineRule="auto"/>
                          <w:ind w:right="315"/>
                          <w:jc w:val="center"/>
                          <w:rPr>
                            <w:sz w:val="22"/>
                            <w:szCs w:val="22"/>
                          </w:rPr>
                        </w:pPr>
                        <w:r>
                          <w:rPr>
                            <w:sz w:val="22"/>
                            <w:szCs w:val="22"/>
                          </w:rPr>
                          <w:t>-27 365,00</w:t>
                        </w:r>
                      </w:p>
                    </w:tc>
                  </w:tr>
                  <w:tr>
                    <w:trPr>
                      <w:trHeight w:val="606"/>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Projektų ekspertavimo paslaugos Lietuvos architektų rūmų Regioninėje architektūros taryboje (RAT).</w:t>
                        </w:r>
                      </w:p>
                    </w:tc>
                    <w:tc>
                      <w:tcPr>
                        <w:tcW w:w="1842" w:type="dxa"/>
                      </w:tcPr>
                      <w:p>
                        <w:pPr>
                          <w:spacing w:line="254" w:lineRule="auto"/>
                          <w:ind w:right="315"/>
                          <w:jc w:val="center"/>
                          <w:rPr>
                            <w:sz w:val="22"/>
                            <w:szCs w:val="22"/>
                          </w:rPr>
                        </w:pPr>
                        <w:r>
                          <w:rPr>
                            <w:sz w:val="22"/>
                            <w:szCs w:val="22"/>
                          </w:rPr>
                          <w:t>-2 000,00</w:t>
                        </w:r>
                      </w:p>
                    </w:tc>
                  </w:tr>
                  <w:tr>
                    <w:trPr>
                      <w:trHeight w:val="606"/>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Kompleksinių teritorijų planavimo dokumentų koregavimo, stebėsenos (monitoringo) paslaugos</w:t>
                        </w:r>
                      </w:p>
                    </w:tc>
                    <w:tc>
                      <w:tcPr>
                        <w:tcW w:w="1842" w:type="dxa"/>
                      </w:tcPr>
                      <w:p>
                        <w:pPr>
                          <w:spacing w:line="254" w:lineRule="auto"/>
                          <w:ind w:right="315"/>
                          <w:jc w:val="center"/>
                          <w:rPr>
                            <w:sz w:val="22"/>
                            <w:szCs w:val="22"/>
                          </w:rPr>
                        </w:pPr>
                        <w:r>
                          <w:rPr>
                            <w:sz w:val="22"/>
                            <w:szCs w:val="22"/>
                          </w:rPr>
                          <w:t>-12 900,00</w:t>
                        </w:r>
                      </w:p>
                    </w:tc>
                  </w:tr>
                  <w:tr>
                    <w:trPr>
                      <w:trHeight w:val="606"/>
                    </w:trPr>
                    <w:tc>
                      <w:tcPr>
                        <w:tcW w:w="704" w:type="dxa"/>
                        <w:tcBorders>
                          <w:top w:val="nil"/>
                          <w:bottom w:val="single" w:sz="4" w:space="0" w:color="auto"/>
                        </w:tcBorders>
                      </w:tcPr>
                      <w:p>
                        <w:pPr>
                          <w:spacing w:line="254" w:lineRule="auto"/>
                          <w:jc w:val="both"/>
                          <w:rPr>
                            <w:sz w:val="22"/>
                            <w:szCs w:val="22"/>
                          </w:rPr>
                        </w:pPr>
                      </w:p>
                    </w:tc>
                    <w:tc>
                      <w:tcPr>
                        <w:tcW w:w="2552"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 xml:space="preserve">Vietinės reikšmės kelių, gatvių, jų priklausinių infrastruktūros  pagerinimas, eismo saugumo priemonių diegimas</w:t>
                        </w:r>
                      </w:p>
                    </w:tc>
                    <w:tc>
                      <w:tcPr>
                        <w:tcW w:w="1842" w:type="dxa"/>
                      </w:tcPr>
                      <w:p>
                        <w:pPr>
                          <w:spacing w:line="254" w:lineRule="auto"/>
                          <w:ind w:right="315"/>
                          <w:jc w:val="center"/>
                          <w:rPr>
                            <w:sz w:val="22"/>
                            <w:szCs w:val="22"/>
                          </w:rPr>
                        </w:pPr>
                        <w:r>
                          <w:rPr>
                            <w:sz w:val="22"/>
                            <w:szCs w:val="22"/>
                          </w:rPr>
                          <w:t>46 439,50</w:t>
                        </w:r>
                      </w:p>
                    </w:tc>
                  </w:tr>
                  <w:tr>
                    <w:trPr>
                      <w:trHeight w:val="606"/>
                    </w:trPr>
                    <w:tc>
                      <w:tcPr>
                        <w:tcW w:w="704" w:type="dxa"/>
                        <w:tcBorders>
                          <w:top w:val="single" w:sz="4" w:space="0" w:color="auto"/>
                          <w:bottom w:val="nil"/>
                        </w:tcBorders>
                      </w:tcPr>
                      <w:p>
                        <w:pPr>
                          <w:spacing w:line="254" w:lineRule="auto"/>
                          <w:jc w:val="both"/>
                          <w:rPr>
                            <w:sz w:val="22"/>
                            <w:szCs w:val="22"/>
                          </w:rPr>
                        </w:pPr>
                        <w:r>
                          <w:rPr>
                            <w:sz w:val="22"/>
                            <w:szCs w:val="22"/>
                          </w:rPr>
                          <w:t>3.</w:t>
                        </w:r>
                      </w:p>
                    </w:tc>
                    <w:tc>
                      <w:tcPr>
                        <w:tcW w:w="2552" w:type="dxa"/>
                        <w:tcBorders>
                          <w:top w:val="single" w:sz="4" w:space="0" w:color="auto"/>
                          <w:bottom w:val="nil"/>
                        </w:tcBorders>
                      </w:tcPr>
                      <w:p>
                        <w:pPr>
                          <w:spacing w:line="254" w:lineRule="auto"/>
                          <w:rPr>
                            <w:sz w:val="22"/>
                            <w:szCs w:val="22"/>
                          </w:rPr>
                        </w:pPr>
                        <w:r>
                          <w:rPr>
                            <w:sz w:val="22"/>
                            <w:szCs w:val="22"/>
                          </w:rPr>
                          <w:t>Radviliškio rajono savivaldybės administracijos Investicijų ir turto valdymo skyrius (SBLIK)</w:t>
                        </w: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06</w:t>
                        </w:r>
                      </w:p>
                    </w:tc>
                    <w:tc>
                      <w:tcPr>
                        <w:tcW w:w="2835" w:type="dxa"/>
                      </w:tcPr>
                      <w:p>
                        <w:pPr>
                          <w:spacing w:line="254" w:lineRule="auto"/>
                          <w:rPr>
                            <w:sz w:val="22"/>
                            <w:szCs w:val="22"/>
                          </w:rPr>
                        </w:pPr>
                        <w:r>
                          <w:rPr>
                            <w:sz w:val="22"/>
                            <w:szCs w:val="22"/>
                          </w:rPr>
                          <w:t>Socialinio būsto fondo plėtra Radviliškio rajono savivaldybėje</w:t>
                        </w:r>
                      </w:p>
                    </w:tc>
                    <w:tc>
                      <w:tcPr>
                        <w:tcW w:w="1842" w:type="dxa"/>
                      </w:tcPr>
                      <w:p>
                        <w:pPr>
                          <w:spacing w:line="254" w:lineRule="auto"/>
                          <w:ind w:right="315"/>
                          <w:jc w:val="center"/>
                          <w:rPr>
                            <w:sz w:val="22"/>
                            <w:szCs w:val="22"/>
                          </w:rPr>
                        </w:pPr>
                        <w:r>
                          <w:rPr>
                            <w:sz w:val="22"/>
                            <w:szCs w:val="22"/>
                          </w:rPr>
                          <w:t>-70 000,00</w:t>
                        </w:r>
                      </w:p>
                    </w:tc>
                  </w:tr>
                  <w:tr>
                    <w:trPr>
                      <w:trHeight w:val="606"/>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06</w:t>
                        </w:r>
                      </w:p>
                    </w:tc>
                    <w:tc>
                      <w:tcPr>
                        <w:tcW w:w="2835" w:type="dxa"/>
                      </w:tcPr>
                      <w:p>
                        <w:pPr>
                          <w:spacing w:line="254" w:lineRule="auto"/>
                          <w:rPr>
                            <w:sz w:val="22"/>
                            <w:szCs w:val="22"/>
                          </w:rPr>
                        </w:pPr>
                        <w:r>
                          <w:rPr>
                            <w:sz w:val="22"/>
                            <w:szCs w:val="22"/>
                          </w:rPr>
                          <w:t>Geriamojo vandens tiekimo ir nuotekų tvarkymo paslaugų prieinamumo didinimas Radviliškio rajono savivaldybėje</w:t>
                        </w:r>
                      </w:p>
                    </w:tc>
                    <w:tc>
                      <w:tcPr>
                        <w:tcW w:w="1842" w:type="dxa"/>
                      </w:tcPr>
                      <w:p>
                        <w:pPr>
                          <w:spacing w:line="254" w:lineRule="auto"/>
                          <w:ind w:right="315"/>
                          <w:jc w:val="center"/>
                          <w:rPr>
                            <w:sz w:val="22"/>
                            <w:szCs w:val="22"/>
                          </w:rPr>
                        </w:pPr>
                        <w:r>
                          <w:rPr>
                            <w:sz w:val="22"/>
                            <w:szCs w:val="22"/>
                          </w:rPr>
                          <w:t>-50 000,00</w:t>
                        </w:r>
                      </w:p>
                    </w:tc>
                  </w:tr>
                  <w:tr>
                    <w:trPr>
                      <w:trHeight w:val="606"/>
                    </w:trPr>
                    <w:tc>
                      <w:tcPr>
                        <w:tcW w:w="704" w:type="dxa"/>
                        <w:tcBorders>
                          <w:top w:val="nil"/>
                          <w:bottom w:val="nil"/>
                        </w:tcBorders>
                      </w:tcPr>
                      <w:p>
                        <w:pPr>
                          <w:spacing w:line="254" w:lineRule="auto"/>
                          <w:jc w:val="both"/>
                          <w:rPr>
                            <w:sz w:val="22"/>
                            <w:szCs w:val="22"/>
                          </w:rPr>
                        </w:pPr>
                      </w:p>
                    </w:tc>
                    <w:tc>
                      <w:tcPr>
                        <w:tcW w:w="2552"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Kudinų piliakalnio (kitaip vadinamo Šiaulės kalnu) pritaikymas lankymui</w:t>
                        </w:r>
                      </w:p>
                    </w:tc>
                    <w:tc>
                      <w:tcPr>
                        <w:tcW w:w="1842" w:type="dxa"/>
                      </w:tcPr>
                      <w:p>
                        <w:pPr>
                          <w:spacing w:line="254" w:lineRule="auto"/>
                          <w:ind w:right="315"/>
                          <w:jc w:val="center"/>
                          <w:rPr>
                            <w:sz w:val="22"/>
                            <w:szCs w:val="22"/>
                          </w:rPr>
                        </w:pPr>
                        <w:r>
                          <w:rPr>
                            <w:sz w:val="22"/>
                            <w:szCs w:val="22"/>
                          </w:rPr>
                          <w:t>-50 000,00</w:t>
                        </w:r>
                      </w:p>
                    </w:tc>
                  </w:tr>
                  <w:tr>
                    <w:trPr>
                      <w:trHeight w:val="606"/>
                    </w:trPr>
                    <w:tc>
                      <w:tcPr>
                        <w:tcW w:w="704" w:type="dxa"/>
                        <w:tcBorders>
                          <w:top w:val="nil"/>
                          <w:bottom w:val="single" w:sz="4" w:space="0" w:color="auto"/>
                        </w:tcBorders>
                      </w:tcPr>
                      <w:p>
                        <w:pPr>
                          <w:spacing w:line="254" w:lineRule="auto"/>
                          <w:jc w:val="both"/>
                          <w:rPr>
                            <w:sz w:val="22"/>
                            <w:szCs w:val="22"/>
                          </w:rPr>
                        </w:pPr>
                      </w:p>
                    </w:tc>
                    <w:tc>
                      <w:tcPr>
                        <w:tcW w:w="2552"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05</w:t>
                        </w:r>
                      </w:p>
                    </w:tc>
                    <w:tc>
                      <w:tcPr>
                        <w:tcW w:w="2835" w:type="dxa"/>
                      </w:tcPr>
                      <w:p>
                        <w:pPr>
                          <w:spacing w:line="254" w:lineRule="auto"/>
                          <w:rPr>
                            <w:sz w:val="22"/>
                            <w:szCs w:val="22"/>
                          </w:rPr>
                        </w:pPr>
                        <w:r>
                          <w:rPr>
                            <w:sz w:val="22"/>
                            <w:szCs w:val="22"/>
                          </w:rPr>
                          <w:t>Nuotekų tinklų plėtra Radviliškio aglomeracijoje (SB „Bitutė“, SB „Vyturėlis“)</w:t>
                        </w:r>
                      </w:p>
                    </w:tc>
                    <w:tc>
                      <w:tcPr>
                        <w:tcW w:w="1842" w:type="dxa"/>
                      </w:tcPr>
                      <w:p>
                        <w:pPr>
                          <w:spacing w:line="254" w:lineRule="auto"/>
                          <w:ind w:right="315"/>
                          <w:jc w:val="center"/>
                          <w:rPr>
                            <w:sz w:val="22"/>
                            <w:szCs w:val="22"/>
                          </w:rPr>
                        </w:pPr>
                        <w:r>
                          <w:rPr>
                            <w:sz w:val="22"/>
                            <w:szCs w:val="22"/>
                          </w:rPr>
                          <w:t>170 000,00</w:t>
                        </w:r>
                      </w:p>
                    </w:tc>
                  </w:tr>
                  <w:tr>
                    <w:trPr>
                      <w:trHeight w:val="606"/>
                    </w:trPr>
                    <w:tc>
                      <w:tcPr>
                        <w:tcW w:w="704" w:type="dxa"/>
                        <w:tcBorders>
                          <w:top w:val="single" w:sz="4" w:space="0" w:color="auto"/>
                          <w:bottom w:val="single" w:sz="4" w:space="0" w:color="auto"/>
                        </w:tcBorders>
                      </w:tcPr>
                      <w:p>
                        <w:pPr>
                          <w:spacing w:line="254" w:lineRule="auto"/>
                          <w:jc w:val="both"/>
                          <w:rPr>
                            <w:sz w:val="22"/>
                            <w:szCs w:val="22"/>
                          </w:rPr>
                        </w:pPr>
                        <w:r>
                          <w:rPr>
                            <w:sz w:val="22"/>
                            <w:szCs w:val="22"/>
                          </w:rPr>
                          <w:t>4.</w:t>
                        </w:r>
                      </w:p>
                    </w:tc>
                    <w:tc>
                      <w:tcPr>
                        <w:tcW w:w="2552"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administracijos Finansų skyrius (SB)</w:t>
                        </w:r>
                      </w:p>
                    </w:tc>
                    <w:tc>
                      <w:tcPr>
                        <w:tcW w:w="708" w:type="dxa"/>
                      </w:tcPr>
                      <w:p>
                        <w:pPr>
                          <w:spacing w:line="254" w:lineRule="auto"/>
                          <w:jc w:val="both"/>
                          <w:rPr>
                            <w:sz w:val="22"/>
                            <w:szCs w:val="22"/>
                          </w:rPr>
                        </w:pPr>
                        <w:r>
                          <w:rPr>
                            <w:sz w:val="22"/>
                            <w:szCs w:val="22"/>
                          </w:rPr>
                          <w:t>01</w:t>
                        </w:r>
                      </w:p>
                    </w:tc>
                    <w:tc>
                      <w:tcPr>
                        <w:tcW w:w="993" w:type="dxa"/>
                      </w:tcPr>
                      <w:p>
                        <w:pPr>
                          <w:spacing w:line="254" w:lineRule="auto"/>
                          <w:jc w:val="both"/>
                          <w:rPr>
                            <w:sz w:val="22"/>
                            <w:szCs w:val="22"/>
                          </w:rPr>
                        </w:pPr>
                        <w:r>
                          <w:rPr>
                            <w:sz w:val="22"/>
                            <w:szCs w:val="22"/>
                          </w:rPr>
                          <w:t>01</w:t>
                        </w:r>
                      </w:p>
                    </w:tc>
                    <w:tc>
                      <w:tcPr>
                        <w:tcW w:w="2835" w:type="dxa"/>
                      </w:tcPr>
                      <w:p>
                        <w:pPr>
                          <w:spacing w:line="254" w:lineRule="auto"/>
                          <w:rPr>
                            <w:sz w:val="22"/>
                            <w:szCs w:val="22"/>
                          </w:rPr>
                        </w:pPr>
                        <w:r>
                          <w:rPr>
                            <w:sz w:val="22"/>
                            <w:szCs w:val="22"/>
                          </w:rPr>
                          <w:t xml:space="preserve">Iždo paskolų dengimo, palūkanų mokėjimo ir banko paslaugų išlaidos </w:t>
                        </w:r>
                      </w:p>
                    </w:tc>
                    <w:tc>
                      <w:tcPr>
                        <w:tcW w:w="1842" w:type="dxa"/>
                      </w:tcPr>
                      <w:p>
                        <w:pPr>
                          <w:spacing w:line="254" w:lineRule="auto"/>
                          <w:ind w:right="315"/>
                          <w:jc w:val="center"/>
                          <w:rPr>
                            <w:sz w:val="22"/>
                            <w:szCs w:val="22"/>
                          </w:rPr>
                        </w:pPr>
                        <w:r>
                          <w:rPr>
                            <w:sz w:val="22"/>
                            <w:szCs w:val="22"/>
                          </w:rPr>
                          <w:t>-20 000,00</w:t>
                        </w:r>
                      </w:p>
                    </w:tc>
                  </w:tr>
                  <w:tr>
                    <w:trPr>
                      <w:trHeight w:val="606"/>
                    </w:trPr>
                    <w:tc>
                      <w:tcPr>
                        <w:tcW w:w="704" w:type="dxa"/>
                        <w:tcBorders>
                          <w:top w:val="single" w:sz="4" w:space="0" w:color="auto"/>
                          <w:bottom w:val="nil"/>
                        </w:tcBorders>
                      </w:tcPr>
                      <w:p>
                        <w:pPr>
                          <w:spacing w:line="254" w:lineRule="auto"/>
                          <w:jc w:val="both"/>
                          <w:rPr>
                            <w:sz w:val="22"/>
                            <w:szCs w:val="22"/>
                          </w:rPr>
                        </w:pPr>
                        <w:r>
                          <w:rPr>
                            <w:sz w:val="22"/>
                            <w:szCs w:val="22"/>
                          </w:rPr>
                          <w:t>5.</w:t>
                        </w:r>
                      </w:p>
                    </w:tc>
                    <w:tc>
                      <w:tcPr>
                        <w:tcW w:w="2552" w:type="dxa"/>
                        <w:tcBorders>
                          <w:top w:val="single" w:sz="4" w:space="0" w:color="auto"/>
                          <w:bottom w:val="single" w:sz="4" w:space="0" w:color="auto"/>
                        </w:tcBorders>
                      </w:tcPr>
                      <w:p>
                        <w:pPr>
                          <w:spacing w:line="254" w:lineRule="auto"/>
                          <w:rPr>
                            <w:sz w:val="22"/>
                            <w:szCs w:val="22"/>
                          </w:rPr>
                        </w:pPr>
                        <w:r>
                          <w:rPr>
                            <w:sz w:val="22"/>
                            <w:szCs w:val="22"/>
                          </w:rPr>
                          <w:t>Radviliškio socialinių paslaugų centras (SB)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 xml:space="preserve">Veiklos organizavimas Socialinių paslaugų teikimas </w:t>
                        </w:r>
                      </w:p>
                    </w:tc>
                    <w:tc>
                      <w:tcPr>
                        <w:tcW w:w="1842" w:type="dxa"/>
                      </w:tcPr>
                      <w:p>
                        <w:pPr>
                          <w:spacing w:line="254" w:lineRule="auto"/>
                          <w:ind w:right="315"/>
                          <w:jc w:val="center"/>
                          <w:rPr>
                            <w:sz w:val="22"/>
                            <w:szCs w:val="22"/>
                          </w:rPr>
                        </w:pPr>
                        <w:r>
                          <w:rPr>
                            <w:sz w:val="22"/>
                            <w:szCs w:val="22"/>
                          </w:rPr>
                          <w:t>10 000,00</w:t>
                        </w:r>
                      </w:p>
                    </w:tc>
                  </w:tr>
                  <w:tr>
                    <w:trPr>
                      <w:trHeight w:val="606"/>
                    </w:trPr>
                    <w:tc>
                      <w:tcPr>
                        <w:tcW w:w="704" w:type="dxa"/>
                        <w:tcBorders>
                          <w:top w:val="nil"/>
                          <w:bottom w:val="single" w:sz="4" w:space="0" w:color="auto"/>
                        </w:tcBorders>
                      </w:tcPr>
                      <w:p>
                        <w:pPr>
                          <w:spacing w:line="254" w:lineRule="auto"/>
                          <w:jc w:val="both"/>
                          <w:rPr>
                            <w:sz w:val="22"/>
                            <w:szCs w:val="22"/>
                          </w:rPr>
                        </w:pPr>
                      </w:p>
                    </w:tc>
                    <w:tc>
                      <w:tcPr>
                        <w:tcW w:w="2552" w:type="dxa"/>
                        <w:tcBorders>
                          <w:top w:val="single" w:sz="4" w:space="0" w:color="auto"/>
                          <w:bottom w:val="single" w:sz="4" w:space="0" w:color="auto"/>
                        </w:tcBorders>
                      </w:tcPr>
                      <w:p>
                        <w:pPr>
                          <w:spacing w:line="254" w:lineRule="auto"/>
                          <w:rPr>
                            <w:sz w:val="22"/>
                            <w:szCs w:val="22"/>
                          </w:rPr>
                        </w:pPr>
                        <w:r>
                          <w:rPr>
                            <w:sz w:val="22"/>
                            <w:szCs w:val="22"/>
                          </w:rPr>
                          <w:t>Radviliškio socialinių paslaugų centras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Socialinių paslaugų teikimas</w:t>
                        </w:r>
                      </w:p>
                      <w:p>
                        <w:pPr>
                          <w:spacing w:line="254" w:lineRule="auto"/>
                          <w:rPr>
                            <w:sz w:val="22"/>
                            <w:szCs w:val="22"/>
                          </w:rPr>
                        </w:pPr>
                        <w:r>
                          <w:rPr>
                            <w:sz w:val="22"/>
                            <w:szCs w:val="22"/>
                          </w:rPr>
                          <w:t>(asmeninė pagalba)</w:t>
                        </w:r>
                      </w:p>
                    </w:tc>
                    <w:tc>
                      <w:tcPr>
                        <w:tcW w:w="1842" w:type="dxa"/>
                      </w:tcPr>
                      <w:p>
                        <w:pPr>
                          <w:spacing w:line="254" w:lineRule="auto"/>
                          <w:ind w:right="315"/>
                          <w:jc w:val="center"/>
                          <w:rPr>
                            <w:sz w:val="22"/>
                            <w:szCs w:val="22"/>
                          </w:rPr>
                        </w:pPr>
                        <w:r>
                          <w:rPr>
                            <w:sz w:val="22"/>
                            <w:szCs w:val="22"/>
                          </w:rPr>
                          <w:t>-1 047,00</w:t>
                        </w:r>
                      </w:p>
                    </w:tc>
                  </w:tr>
                  <w:tr>
                    <w:trPr>
                      <w:trHeight w:val="606"/>
                    </w:trPr>
                    <w:tc>
                      <w:tcPr>
                        <w:tcW w:w="704" w:type="dxa"/>
                        <w:tcBorders>
                          <w:top w:val="single" w:sz="4" w:space="0" w:color="auto"/>
                          <w:bottom w:val="single" w:sz="4" w:space="0" w:color="auto"/>
                        </w:tcBorders>
                      </w:tcPr>
                      <w:p>
                        <w:pPr>
                          <w:spacing w:line="254" w:lineRule="auto"/>
                          <w:jc w:val="both"/>
                          <w:rPr>
                            <w:sz w:val="22"/>
                            <w:szCs w:val="22"/>
                          </w:rPr>
                        </w:pPr>
                        <w:r>
                          <w:rPr>
                            <w:sz w:val="22"/>
                            <w:szCs w:val="22"/>
                          </w:rPr>
                          <w:t>6.</w:t>
                        </w:r>
                      </w:p>
                    </w:tc>
                    <w:tc>
                      <w:tcPr>
                        <w:tcW w:w="2552"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administracijos Socialinės paramos skyrius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Socialinių paslaugų teikimas</w:t>
                        </w:r>
                      </w:p>
                      <w:p>
                        <w:pPr>
                          <w:spacing w:line="254" w:lineRule="auto"/>
                          <w:rPr>
                            <w:sz w:val="22"/>
                            <w:szCs w:val="22"/>
                          </w:rPr>
                        </w:pPr>
                        <w:r>
                          <w:rPr>
                            <w:sz w:val="22"/>
                            <w:szCs w:val="22"/>
                          </w:rPr>
                          <w:t>(asmeninės pagalbos administravimas)</w:t>
                        </w:r>
                      </w:p>
                    </w:tc>
                    <w:tc>
                      <w:tcPr>
                        <w:tcW w:w="1842" w:type="dxa"/>
                      </w:tcPr>
                      <w:p>
                        <w:pPr>
                          <w:spacing w:line="254" w:lineRule="auto"/>
                          <w:ind w:right="315"/>
                          <w:jc w:val="center"/>
                          <w:rPr>
                            <w:sz w:val="22"/>
                            <w:szCs w:val="22"/>
                          </w:rPr>
                        </w:pPr>
                        <w:r>
                          <w:rPr>
                            <w:sz w:val="22"/>
                            <w:szCs w:val="22"/>
                          </w:rPr>
                          <w:t>1 047,00</w:t>
                        </w:r>
                      </w:p>
                    </w:tc>
                  </w:tr>
                  <w:tr>
                    <w:trPr>
                      <w:trHeight w:val="606"/>
                    </w:trPr>
                    <w:tc>
                      <w:tcPr>
                        <w:tcW w:w="704" w:type="dxa"/>
                        <w:tcBorders>
                          <w:top w:val="single" w:sz="4" w:space="0" w:color="auto"/>
                          <w:bottom w:val="single" w:sz="4" w:space="0" w:color="auto"/>
                        </w:tcBorders>
                      </w:tcPr>
                      <w:p>
                        <w:pPr>
                          <w:spacing w:line="254" w:lineRule="auto"/>
                          <w:jc w:val="both"/>
                          <w:rPr>
                            <w:sz w:val="22"/>
                            <w:szCs w:val="22"/>
                          </w:rPr>
                        </w:pPr>
                        <w:r>
                          <w:rPr>
                            <w:sz w:val="22"/>
                            <w:szCs w:val="22"/>
                          </w:rPr>
                          <w:t>7.</w:t>
                        </w:r>
                      </w:p>
                    </w:tc>
                    <w:tc>
                      <w:tcPr>
                        <w:tcW w:w="2552" w:type="dxa"/>
                        <w:tcBorders>
                          <w:top w:val="single" w:sz="4" w:space="0" w:color="auto"/>
                          <w:bottom w:val="single" w:sz="4" w:space="0" w:color="auto"/>
                        </w:tcBorders>
                      </w:tcPr>
                      <w:p>
                        <w:pPr>
                          <w:spacing w:line="254" w:lineRule="auto"/>
                          <w:rPr>
                            <w:sz w:val="22"/>
                            <w:szCs w:val="22"/>
                          </w:rPr>
                        </w:pPr>
                        <w:r>
                          <w:rPr>
                            <w:sz w:val="22"/>
                            <w:szCs w:val="22"/>
                          </w:rPr>
                          <w:t>Radviliškio meno mokykla (SB)</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-40 000,00</w:t>
                        </w:r>
                      </w:p>
                    </w:tc>
                  </w:tr>
                  <w:tr>
                    <w:trPr>
                      <w:trHeight w:val="606"/>
                    </w:trPr>
                    <w:tc>
                      <w:tcPr>
                        <w:tcW w:w="704" w:type="dxa"/>
                        <w:tcBorders>
                          <w:top w:val="single" w:sz="4" w:space="0" w:color="auto"/>
                          <w:bottom w:val="single" w:sz="4" w:space="0" w:color="auto"/>
                        </w:tcBorders>
                      </w:tcPr>
                      <w:p>
                        <w:pPr>
                          <w:spacing w:line="254" w:lineRule="auto"/>
                          <w:jc w:val="both"/>
                          <w:rPr>
                            <w:sz w:val="22"/>
                            <w:szCs w:val="22"/>
                          </w:rPr>
                        </w:pPr>
                        <w:r>
                          <w:rPr>
                            <w:sz w:val="22"/>
                            <w:szCs w:val="22"/>
                          </w:rPr>
                          <w:t>8.</w:t>
                        </w:r>
                      </w:p>
                    </w:tc>
                    <w:tc>
                      <w:tcPr>
                        <w:tcW w:w="2552" w:type="dxa"/>
                        <w:tcBorders>
                          <w:top w:val="single" w:sz="4" w:space="0" w:color="auto"/>
                          <w:bottom w:val="single" w:sz="4" w:space="0" w:color="auto"/>
                        </w:tcBorders>
                      </w:tcPr>
                      <w:p>
                        <w:pPr>
                          <w:spacing w:line="254" w:lineRule="auto"/>
                          <w:rPr>
                            <w:sz w:val="22"/>
                            <w:szCs w:val="22"/>
                          </w:rPr>
                        </w:pPr>
                        <w:r>
                          <w:rPr>
                            <w:sz w:val="22"/>
                            <w:szCs w:val="22"/>
                          </w:rPr>
                          <w:t>Radviliškio Gražinos pagrindinė mokykla</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50 000,00</w:t>
                        </w:r>
                      </w:p>
                    </w:tc>
                  </w:tr>
                </w:tbl>
                <w:p>
                  <w:pPr>
                    <w:tabs>
                      <w:tab w:val="left" w:pos="0"/>
                    </w:tabs>
                    <w:spacing w:line="254" w:lineRule="auto"/>
                    <w:ind w:firstLine="709"/>
                    <w:jc w:val="both"/>
                    <w:rPr>
                      <w:bCs/>
                      <w:szCs w:val="24"/>
                      <w:shd w:val="clear" w:color="auto" w:fill="FFFFFF"/>
                    </w:rPr>
                  </w:pPr>
                </w:p>
                <w:p>
                  <w:pPr>
                    <w:rPr>
                      <w:sz w:val="14"/>
                      <w:szCs w:val="14"/>
                    </w:rPr>
                  </w:pPr>
                </w:p>
              </w:sdtContent>
            </w:sdt>
            <w:sdt>
              <w:sdtPr>
                <w:alias w:val="12 p."/>
                <w:tag w:val="part_7fe2e3ad37f54e2fb71fb94219c298eb"/>
                <w:lock w:val="sdtLocked"/>
                <w:richText/>
              </w:sdtPr>
              <w:sdtContent>
                <w:p>
                  <w:pPr>
                    <w:tabs>
                      <w:tab w:val="left" w:pos="0"/>
                    </w:tabs>
                    <w:spacing w:line="254" w:lineRule="auto"/>
                    <w:ind w:firstLine="709"/>
                    <w:jc w:val="both"/>
                    <w:rPr>
                      <w:b/>
                      <w:szCs w:val="24"/>
                      <w:shd w:val="clear" w:color="auto" w:fill="FFFFFF"/>
                    </w:rPr>
                  </w:pPr>
                  <w:sdt>
                    <w:sdtPr>
                      <w:alias w:val="Numeris"/>
                      <w:tag w:val="nr_7fe2e3ad37f54e2fb71fb94219c298eb"/>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0345a9c47575484885845ee410dcab88"/>
            <w:lock w:val="sdtLocked"/>
            <w:richText/>
          </w:sdtPr>
          <w:sdtContent>
            <w:p>
              <w:pPr>
                <w:tabs>
                  <w:tab w:val="left" w:pos="0"/>
                </w:tabs>
                <w:spacing w:line="254" w:lineRule="auto"/>
                <w:ind w:firstLine="771"/>
                <w:jc w:val="both"/>
                <w:rPr>
                  <w:b/>
                  <w:szCs w:val="24"/>
                  <w:shd w:val="clear" w:color="auto" w:fill="FFFFFF"/>
                </w:rPr>
              </w:pPr>
              <w:sdt>
                <w:sdtPr>
                  <w:alias w:val="Pavadinimas"/>
                  <w:tag w:val="title_0345a9c47575484885845ee410dcab88"/>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Cs/>
                  <w:szCs w:val="24"/>
                  <w:shd w:val="clear" w:color="auto" w:fill="FFFFFF"/>
                </w:rPr>
              </w:pPr>
              <w:r>
                <w:rPr>
                  <w:bCs/>
                  <w:szCs w:val="24"/>
                  <w:shd w:val="clear" w:color="auto" w:fill="FFFFFF"/>
                </w:rPr>
                <w:t>Pajamų pokytis:</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Gyventojų pajamų mokestis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41 748 000,00 €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90 000,00 €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41 838 000,00 €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Socialinei paramai mokiniams teikti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822 000,00 €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-51 100,00 €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770 900,00 €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36</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Speciali tikslinė dotacija ugdymo reikmėms finansuoti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17 823 100,00 €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183 300,00 €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18 006 400,00 €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Asmenų su negalia reikalų koordinavimo funkcija</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14 419,00 €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-7 219,00 €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7 200,00 €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58</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Valstybės biudžeto lėšos, skirtos mokinių, atvykusių į Lietuvos Respubliką iš Ukrainos ugdymo pagal ikimokyklinio, priešmokyklinio ir bendrojo ugdymo programas, reikmėms finansuoti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100 600,00 €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21 200,00 €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121 800,00 €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Valstybės biudžeto lėšos susijusios su užsieniečiais, pasitraukusiais iš Ukrainos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52 754,00 €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26 665,00 €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79 419,00 €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76</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Pajamos už teikiamas paslaugas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1 282 631,00 €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103 000,00 €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1 385 631,00 €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78</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Įmokos už išlaikymą švietimo įstaigose</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668 240,00 €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15 000,00 €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683 240,00 €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p>
                </w:tc>
                <w:tc>
                  <w:tcPr>
                    <w:tcW w:w="4330" w:type="dxa"/>
                    <w:tcBorders>
                      <w:top w:val="single" w:sz="4" w:space="0" w:color="auto"/>
                      <w:left w:val="nil"/>
                      <w:bottom w:val="single" w:sz="4" w:space="0" w:color="auto"/>
                      <w:right w:val="single" w:sz="4" w:space="0" w:color="auto"/>
                    </w:tcBorders>
                  </w:tcPr>
                  <w:p>
                    <w:pPr>
                      <w:ind w:firstLine="3792"/>
                      <w:rPr>
                        <w:sz w:val="18"/>
                        <w:szCs w:val="18"/>
                      </w:rPr>
                    </w:pPr>
                    <w:r>
                      <w:rPr>
                        <w:sz w:val="18"/>
                        <w:szCs w:val="18"/>
                      </w:rPr>
                      <w:t>Iš viso:</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380 846,00 €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73 138,77 €</w:t>
                    </w:r>
                  </w:p>
                </w:tc>
                <w:tc>
                  <w:tcPr>
                    <w:tcW w:w="1275" w:type="dxa"/>
                    <w:tcBorders>
                      <w:top w:val="nil"/>
                      <w:left w:val="nil"/>
                      <w:bottom w:val="single" w:sz="4" w:space="0" w:color="auto"/>
                      <w:right w:val="nil"/>
                    </w:tcBorders>
                    <w:noWrap/>
                  </w:tcPr>
                  <w:p>
                    <w:pPr>
                      <w:rPr>
                        <w:sz w:val="18"/>
                        <w:szCs w:val="18"/>
                      </w:rPr>
                    </w:pPr>
                    <w:r>
                      <w:rPr>
                        <w:sz w:val="18"/>
                        <w:szCs w:val="18"/>
                      </w:rPr>
                      <w:t>71 538,77 €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-1 600,00 €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Finansų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380 000,00 €</w:t>
                    </w:r>
                  </w:p>
                </w:tc>
                <w:tc>
                  <w:tcPr>
                    <w:tcW w:w="1275" w:type="dxa"/>
                    <w:tcBorders>
                      <w:top w:val="nil"/>
                      <w:left w:val="nil"/>
                      <w:bottom w:val="single" w:sz="4" w:space="0" w:color="auto"/>
                      <w:right w:val="nil"/>
                    </w:tcBorders>
                    <w:noWrap/>
                  </w:tcPr>
                  <w:p>
                    <w:pPr>
                      <w:jc w:val="right"/>
                      <w:rPr>
                        <w:sz w:val="18"/>
                        <w:szCs w:val="18"/>
                      </w:rPr>
                    </w:pPr>
                    <w:r>
                      <w:rPr>
                        <w:sz w:val="18"/>
                        <w:szCs w:val="18"/>
                      </w:rPr>
                      <w:t>360 000,00 €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5 735 245,82 €</w:t>
                    </w:r>
                  </w:p>
                </w:tc>
                <w:tc>
                  <w:tcPr>
                    <w:tcW w:w="1275" w:type="dxa"/>
                    <w:tcBorders>
                      <w:top w:val="nil"/>
                      <w:left w:val="nil"/>
                      <w:bottom w:val="single" w:sz="4" w:space="0" w:color="auto"/>
                      <w:right w:val="nil"/>
                    </w:tcBorders>
                    <w:noWrap/>
                  </w:tcPr>
                  <w:p>
                    <w:pPr>
                      <w:jc w:val="right"/>
                      <w:rPr>
                        <w:sz w:val="18"/>
                        <w:szCs w:val="18"/>
                      </w:rPr>
                    </w:pPr>
                    <w:r>
                      <w:rPr>
                        <w:sz w:val="18"/>
                        <w:szCs w:val="18"/>
                      </w:rPr>
                      <w:t>5 738725,51 €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3 479,69 €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262 272,00 €</w:t>
                    </w:r>
                  </w:p>
                </w:tc>
                <w:tc>
                  <w:tcPr>
                    <w:tcW w:w="1275" w:type="dxa"/>
                    <w:tcBorders>
                      <w:top w:val="nil"/>
                      <w:left w:val="nil"/>
                      <w:bottom w:val="single" w:sz="4" w:space="0" w:color="auto"/>
                      <w:right w:val="nil"/>
                    </w:tcBorders>
                    <w:noWrap/>
                  </w:tcPr>
                  <w:p>
                    <w:pPr>
                      <w:jc w:val="right"/>
                      <w:rPr>
                        <w:sz w:val="18"/>
                        <w:szCs w:val="18"/>
                      </w:rPr>
                    </w:pPr>
                    <w:r>
                      <w:rPr>
                        <w:sz w:val="18"/>
                        <w:szCs w:val="18"/>
                      </w:rPr>
                      <w:t>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-262 272,00 €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1 861 773,00 €</w:t>
                    </w:r>
                  </w:p>
                </w:tc>
                <w:tc>
                  <w:tcPr>
                    <w:tcW w:w="1275" w:type="dxa"/>
                    <w:tcBorders>
                      <w:top w:val="nil"/>
                      <w:left w:val="nil"/>
                      <w:bottom w:val="single" w:sz="4" w:space="0" w:color="auto"/>
                      <w:right w:val="nil"/>
                    </w:tcBorders>
                    <w:noWrap/>
                  </w:tcPr>
                  <w:p>
                    <w:pPr>
                      <w:jc w:val="right"/>
                      <w:rPr>
                        <w:sz w:val="18"/>
                        <w:szCs w:val="18"/>
                      </w:rPr>
                    </w:pPr>
                    <w:r>
                      <w:rPr>
                        <w:sz w:val="18"/>
                        <w:szCs w:val="18"/>
                      </w:rPr>
                      <w:t>1 906853,00 €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45 080,00 €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1 403 365,00 €</w:t>
                    </w:r>
                  </w:p>
                </w:tc>
                <w:tc>
                  <w:tcPr>
                    <w:tcW w:w="1275" w:type="dxa"/>
                    <w:tcBorders>
                      <w:top w:val="nil"/>
                      <w:left w:val="nil"/>
                      <w:bottom w:val="single" w:sz="4" w:space="0" w:color="auto"/>
                      <w:right w:val="nil"/>
                    </w:tcBorders>
                    <w:noWrap/>
                  </w:tcPr>
                  <w:p>
                    <w:pPr>
                      <w:jc w:val="right"/>
                      <w:rPr>
                        <w:sz w:val="18"/>
                        <w:szCs w:val="18"/>
                      </w:rPr>
                    </w:pPr>
                    <w:r>
                      <w:rPr>
                        <w:sz w:val="18"/>
                        <w:szCs w:val="18"/>
                      </w:rPr>
                      <w:t>1 436135,00 €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32 770,00 €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1 292 997,00 €</w:t>
                    </w:r>
                  </w:p>
                </w:tc>
                <w:tc>
                  <w:tcPr>
                    <w:tcW w:w="1275" w:type="dxa"/>
                    <w:tcBorders>
                      <w:top w:val="nil"/>
                      <w:left w:val="nil"/>
                      <w:bottom w:val="single" w:sz="4" w:space="0" w:color="auto"/>
                      <w:right w:val="nil"/>
                    </w:tcBorders>
                    <w:noWrap/>
                  </w:tcPr>
                  <w:p>
                    <w:pPr>
                      <w:jc w:val="right"/>
                      <w:rPr>
                        <w:sz w:val="18"/>
                        <w:szCs w:val="18"/>
                      </w:rPr>
                    </w:pPr>
                    <w:r>
                      <w:rPr>
                        <w:sz w:val="18"/>
                        <w:szCs w:val="18"/>
                      </w:rPr>
                      <w:t>1 319497,00 €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26 500,00 €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716 477,00 €</w:t>
                    </w:r>
                  </w:p>
                </w:tc>
                <w:tc>
                  <w:tcPr>
                    <w:tcW w:w="1275" w:type="dxa"/>
                    <w:tcBorders>
                      <w:top w:val="nil"/>
                      <w:left w:val="nil"/>
                      <w:bottom w:val="single" w:sz="4" w:space="0" w:color="auto"/>
                      <w:right w:val="nil"/>
                    </w:tcBorders>
                    <w:noWrap/>
                  </w:tcPr>
                  <w:p>
                    <w:pPr>
                      <w:jc w:val="right"/>
                      <w:rPr>
                        <w:sz w:val="18"/>
                        <w:szCs w:val="18"/>
                      </w:rPr>
                    </w:pPr>
                    <w:r>
                      <w:rPr>
                        <w:sz w:val="18"/>
                        <w:szCs w:val="18"/>
                      </w:rPr>
                      <w:t>741 457,00 €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24 980,00 €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2 472 301,00 €</w:t>
                    </w:r>
                  </w:p>
                </w:tc>
                <w:tc>
                  <w:tcPr>
                    <w:tcW w:w="1275" w:type="dxa"/>
                    <w:tcBorders>
                      <w:top w:val="nil"/>
                      <w:left w:val="nil"/>
                      <w:bottom w:val="single" w:sz="4" w:space="0" w:color="auto"/>
                      <w:right w:val="nil"/>
                    </w:tcBorders>
                    <w:noWrap/>
                  </w:tcPr>
                  <w:p>
                    <w:pPr>
                      <w:jc w:val="right"/>
                      <w:rPr>
                        <w:sz w:val="18"/>
                        <w:szCs w:val="18"/>
                      </w:rPr>
                    </w:pPr>
                    <w:r>
                      <w:rPr>
                        <w:sz w:val="18"/>
                        <w:szCs w:val="18"/>
                      </w:rPr>
                      <w:t>2 487051,00 €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14 750,00 €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1 101 770,00 €</w:t>
                    </w:r>
                  </w:p>
                </w:tc>
                <w:tc>
                  <w:tcPr>
                    <w:tcW w:w="1275" w:type="dxa"/>
                    <w:tcBorders>
                      <w:top w:val="nil"/>
                      <w:left w:val="nil"/>
                      <w:bottom w:val="single" w:sz="4" w:space="0" w:color="auto"/>
                      <w:right w:val="nil"/>
                    </w:tcBorders>
                    <w:noWrap/>
                  </w:tcPr>
                  <w:p>
                    <w:pPr>
                      <w:jc w:val="right"/>
                      <w:rPr>
                        <w:sz w:val="18"/>
                        <w:szCs w:val="18"/>
                      </w:rPr>
                    </w:pPr>
                    <w:r>
                      <w:rPr>
                        <w:sz w:val="18"/>
                        <w:szCs w:val="18"/>
                      </w:rPr>
                      <w:t>1 158770,00 €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57 000,00 €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685 300,00 €</w:t>
                    </w:r>
                  </w:p>
                </w:tc>
                <w:tc>
                  <w:tcPr>
                    <w:tcW w:w="1275" w:type="dxa"/>
                    <w:tcBorders>
                      <w:top w:val="nil"/>
                      <w:left w:val="nil"/>
                      <w:bottom w:val="single" w:sz="4" w:space="0" w:color="auto"/>
                      <w:right w:val="nil"/>
                    </w:tcBorders>
                    <w:noWrap/>
                  </w:tcPr>
                  <w:p>
                    <w:pPr>
                      <w:jc w:val="right"/>
                      <w:rPr>
                        <w:sz w:val="18"/>
                        <w:szCs w:val="18"/>
                      </w:rPr>
                    </w:pPr>
                    <w:r>
                      <w:rPr>
                        <w:sz w:val="18"/>
                        <w:szCs w:val="18"/>
                      </w:rPr>
                      <w:t>689 980,00 €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4 680,00 €</w:t>
                    </w:r>
                  </w:p>
                </w:tc>
              </w:tr>
              <w:tr>
                <w:trPr>
                  <w:trHeight w:val="828"/>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Šiaulėnų M. Šikšnio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933 223,00 €</w:t>
                    </w:r>
                  </w:p>
                </w:tc>
                <w:tc>
                  <w:tcPr>
                    <w:tcW w:w="1275" w:type="dxa"/>
                    <w:tcBorders>
                      <w:top w:val="nil"/>
                      <w:left w:val="nil"/>
                      <w:bottom w:val="single" w:sz="4" w:space="0" w:color="auto"/>
                      <w:right w:val="nil"/>
                    </w:tcBorders>
                    <w:noWrap/>
                  </w:tcPr>
                  <w:p>
                    <w:pPr>
                      <w:jc w:val="right"/>
                      <w:rPr>
                        <w:sz w:val="18"/>
                        <w:szCs w:val="18"/>
                      </w:rPr>
                    </w:pPr>
                    <w:r>
                      <w:rPr>
                        <w:sz w:val="18"/>
                        <w:szCs w:val="18"/>
                      </w:rPr>
                      <w:t>943 863,00 €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10 640,00 €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215 779,00 €</w:t>
                    </w:r>
                  </w:p>
                </w:tc>
                <w:tc>
                  <w:tcPr>
                    <w:tcW w:w="1275" w:type="dxa"/>
                    <w:tcBorders>
                      <w:top w:val="nil"/>
                      <w:left w:val="nil"/>
                      <w:bottom w:val="single" w:sz="4" w:space="0" w:color="auto"/>
                      <w:right w:val="nil"/>
                    </w:tcBorders>
                    <w:noWrap/>
                  </w:tcPr>
                  <w:p>
                    <w:pPr>
                      <w:jc w:val="right"/>
                      <w:rPr>
                        <w:sz w:val="18"/>
                        <w:szCs w:val="18"/>
                      </w:rPr>
                    </w:pPr>
                    <w:r>
                      <w:rPr>
                        <w:sz w:val="18"/>
                        <w:szCs w:val="18"/>
                      </w:rPr>
                      <w:t>222 779,00 €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7 000,00 €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švietimo ir sporto paslaugų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190 000,00 €</w:t>
                    </w:r>
                  </w:p>
                </w:tc>
                <w:tc>
                  <w:tcPr>
                    <w:tcW w:w="1275" w:type="dxa"/>
                    <w:tcBorders>
                      <w:top w:val="nil"/>
                      <w:left w:val="nil"/>
                      <w:bottom w:val="single" w:sz="4" w:space="0" w:color="auto"/>
                      <w:right w:val="nil"/>
                    </w:tcBorders>
                    <w:noWrap/>
                  </w:tcPr>
                  <w:p>
                    <w:pPr>
                      <w:jc w:val="right"/>
                      <w:rPr>
                        <w:sz w:val="18"/>
                        <w:szCs w:val="18"/>
                      </w:rPr>
                    </w:pPr>
                    <w:r>
                      <w:rPr>
                        <w:sz w:val="18"/>
                        <w:szCs w:val="18"/>
                      </w:rPr>
                      <w:t>220 000,00 €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554 353,00 €</w:t>
                    </w:r>
                  </w:p>
                </w:tc>
                <w:tc>
                  <w:tcPr>
                    <w:tcW w:w="1275" w:type="dxa"/>
                    <w:tcBorders>
                      <w:top w:val="nil"/>
                      <w:left w:val="nil"/>
                      <w:bottom w:val="single" w:sz="4" w:space="0" w:color="auto"/>
                      <w:right w:val="nil"/>
                    </w:tcBorders>
                    <w:noWrap/>
                  </w:tcPr>
                  <w:p>
                    <w:pPr>
                      <w:jc w:val="right"/>
                      <w:rPr>
                        <w:sz w:val="18"/>
                        <w:szCs w:val="18"/>
                      </w:rPr>
                    </w:pPr>
                    <w:r>
                      <w:rPr>
                        <w:sz w:val="18"/>
                        <w:szCs w:val="18"/>
                      </w:rPr>
                      <w:t>555 053,00 €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700,00 €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2 173 643,00 €</w:t>
                    </w:r>
                  </w:p>
                </w:tc>
                <w:tc>
                  <w:tcPr>
                    <w:tcW w:w="1275" w:type="dxa"/>
                    <w:tcBorders>
                      <w:top w:val="nil"/>
                      <w:left w:val="nil"/>
                      <w:bottom w:val="single" w:sz="4" w:space="0" w:color="auto"/>
                      <w:right w:val="nil"/>
                    </w:tcBorders>
                    <w:noWrap/>
                  </w:tcPr>
                  <w:p>
                    <w:pPr>
                      <w:jc w:val="right"/>
                      <w:rPr>
                        <w:sz w:val="18"/>
                        <w:szCs w:val="18"/>
                      </w:rPr>
                    </w:pPr>
                    <w:r>
                      <w:rPr>
                        <w:sz w:val="18"/>
                        <w:szCs w:val="18"/>
                      </w:rPr>
                      <w:t>2 287643,00 €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114 000,00 €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38 925,00 €</w:t>
                    </w:r>
                  </w:p>
                </w:tc>
                <w:tc>
                  <w:tcPr>
                    <w:tcW w:w="1275" w:type="dxa"/>
                    <w:tcBorders>
                      <w:top w:val="nil"/>
                      <w:left w:val="nil"/>
                      <w:bottom w:val="single" w:sz="4" w:space="0" w:color="auto"/>
                      <w:right w:val="nil"/>
                    </w:tcBorders>
                    <w:noWrap/>
                  </w:tcPr>
                  <w:p>
                    <w:pPr>
                      <w:jc w:val="right"/>
                      <w:rPr>
                        <w:sz w:val="18"/>
                        <w:szCs w:val="18"/>
                      </w:rPr>
                    </w:pPr>
                    <w:r>
                      <w:rPr>
                        <w:sz w:val="18"/>
                        <w:szCs w:val="18"/>
                      </w:rPr>
                      <w:t>43 925,00 €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777 680,00 €</w:t>
                    </w:r>
                  </w:p>
                </w:tc>
                <w:tc>
                  <w:tcPr>
                    <w:tcW w:w="1275" w:type="dxa"/>
                    <w:tcBorders>
                      <w:top w:val="nil"/>
                      <w:left w:val="nil"/>
                      <w:bottom w:val="single" w:sz="4" w:space="0" w:color="auto"/>
                      <w:right w:val="nil"/>
                    </w:tcBorders>
                    <w:noWrap/>
                  </w:tcPr>
                  <w:p>
                    <w:pPr>
                      <w:jc w:val="right"/>
                      <w:rPr>
                        <w:sz w:val="18"/>
                        <w:szCs w:val="18"/>
                      </w:rPr>
                    </w:pPr>
                    <w:r>
                      <w:rPr>
                        <w:sz w:val="18"/>
                        <w:szCs w:val="18"/>
                      </w:rPr>
                      <w:t>827 680,00 €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1 877 401,00 €</w:t>
                    </w:r>
                  </w:p>
                </w:tc>
                <w:tc>
                  <w:tcPr>
                    <w:tcW w:w="1275" w:type="dxa"/>
                    <w:tcBorders>
                      <w:top w:val="nil"/>
                      <w:left w:val="nil"/>
                      <w:bottom w:val="single" w:sz="4" w:space="0" w:color="auto"/>
                      <w:right w:val="nil"/>
                    </w:tcBorders>
                    <w:noWrap/>
                  </w:tcPr>
                  <w:p>
                    <w:pPr>
                      <w:jc w:val="right"/>
                      <w:rPr>
                        <w:sz w:val="18"/>
                        <w:szCs w:val="18"/>
                      </w:rPr>
                    </w:pPr>
                    <w:r>
                      <w:rPr>
                        <w:sz w:val="18"/>
                        <w:szCs w:val="18"/>
                      </w:rPr>
                      <w:t>2 024321,00 €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146 920,00 €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33 200,00 €</w:t>
                    </w:r>
                  </w:p>
                </w:tc>
                <w:tc>
                  <w:tcPr>
                    <w:tcW w:w="1275" w:type="dxa"/>
                    <w:tcBorders>
                      <w:top w:val="nil"/>
                      <w:left w:val="nil"/>
                      <w:bottom w:val="single" w:sz="4" w:space="0" w:color="auto"/>
                      <w:right w:val="nil"/>
                    </w:tcBorders>
                    <w:noWrap/>
                  </w:tcPr>
                  <w:p>
                    <w:pPr>
                      <w:jc w:val="right"/>
                      <w:rPr>
                        <w:sz w:val="18"/>
                        <w:szCs w:val="18"/>
                      </w:rPr>
                    </w:pPr>
                    <w:r>
                      <w:rPr>
                        <w:sz w:val="18"/>
                        <w:szCs w:val="18"/>
                      </w:rPr>
                      <w:t>38 200,00 €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Kutiškių universalus daugiafunkcis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150 614,00 €</w:t>
                    </w:r>
                  </w:p>
                </w:tc>
                <w:tc>
                  <w:tcPr>
                    <w:tcW w:w="1275" w:type="dxa"/>
                    <w:tcBorders>
                      <w:top w:val="nil"/>
                      <w:left w:val="nil"/>
                      <w:bottom w:val="single" w:sz="4" w:space="0" w:color="auto"/>
                      <w:right w:val="nil"/>
                    </w:tcBorders>
                    <w:noWrap/>
                  </w:tcPr>
                  <w:p>
                    <w:pPr>
                      <w:jc w:val="right"/>
                      <w:rPr>
                        <w:sz w:val="18"/>
                        <w:szCs w:val="18"/>
                      </w:rPr>
                    </w:pPr>
                    <w:r>
                      <w:rPr>
                        <w:sz w:val="18"/>
                        <w:szCs w:val="18"/>
                      </w:rPr>
                      <w:t>145 104,00 €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-5 510,00 €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lopšelis-darželis „Eglutė“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554 623,00 €</w:t>
                    </w:r>
                  </w:p>
                </w:tc>
                <w:tc>
                  <w:tcPr>
                    <w:tcW w:w="1275" w:type="dxa"/>
                    <w:tcBorders>
                      <w:top w:val="nil"/>
                      <w:left w:val="nil"/>
                      <w:bottom w:val="single" w:sz="4" w:space="0" w:color="auto"/>
                      <w:right w:val="nil"/>
                    </w:tcBorders>
                    <w:noWrap/>
                  </w:tcPr>
                  <w:p>
                    <w:pPr>
                      <w:jc w:val="right"/>
                      <w:rPr>
                        <w:sz w:val="18"/>
                        <w:szCs w:val="18"/>
                      </w:rPr>
                    </w:pPr>
                    <w:r>
                      <w:rPr>
                        <w:sz w:val="18"/>
                        <w:szCs w:val="18"/>
                      </w:rPr>
                      <w:t>556 653,00 €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2 030,00 €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lopšelis-darželis „Eglutė“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104 750,00 €</w:t>
                    </w:r>
                  </w:p>
                </w:tc>
                <w:tc>
                  <w:tcPr>
                    <w:tcW w:w="1275" w:type="dxa"/>
                    <w:tcBorders>
                      <w:top w:val="nil"/>
                      <w:left w:val="nil"/>
                      <w:bottom w:val="single" w:sz="4" w:space="0" w:color="auto"/>
                      <w:right w:val="nil"/>
                    </w:tcBorders>
                    <w:noWrap/>
                  </w:tcPr>
                  <w:p>
                    <w:pPr>
                      <w:jc w:val="right"/>
                      <w:rPr>
                        <w:sz w:val="18"/>
                        <w:szCs w:val="18"/>
                      </w:rPr>
                    </w:pPr>
                    <w:r>
                      <w:rPr>
                        <w:sz w:val="18"/>
                        <w:szCs w:val="18"/>
                      </w:rPr>
                      <w:t>109 750,00 €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469 758,00 €</w:t>
                    </w:r>
                  </w:p>
                </w:tc>
                <w:tc>
                  <w:tcPr>
                    <w:tcW w:w="1275" w:type="dxa"/>
                    <w:tcBorders>
                      <w:top w:val="nil"/>
                      <w:left w:val="nil"/>
                      <w:bottom w:val="single" w:sz="4" w:space="0" w:color="auto"/>
                      <w:right w:val="nil"/>
                    </w:tcBorders>
                    <w:noWrap/>
                  </w:tcPr>
                  <w:p>
                    <w:pPr>
                      <w:jc w:val="right"/>
                      <w:rPr>
                        <w:sz w:val="18"/>
                        <w:szCs w:val="18"/>
                      </w:rPr>
                    </w:pPr>
                    <w:r>
                      <w:rPr>
                        <w:sz w:val="18"/>
                        <w:szCs w:val="18"/>
                      </w:rPr>
                      <w:t>475 018,00 €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5 260,00 €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lopšelis-darželis  „Žvaigždutė“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671 378,00 €</w:t>
                    </w:r>
                  </w:p>
                </w:tc>
                <w:tc>
                  <w:tcPr>
                    <w:tcW w:w="1275" w:type="dxa"/>
                    <w:tcBorders>
                      <w:top w:val="nil"/>
                      <w:left w:val="nil"/>
                      <w:bottom w:val="single" w:sz="4" w:space="0" w:color="auto"/>
                      <w:right w:val="nil"/>
                    </w:tcBorders>
                    <w:noWrap/>
                  </w:tcPr>
                  <w:p>
                    <w:pPr>
                      <w:jc w:val="right"/>
                      <w:rPr>
                        <w:sz w:val="18"/>
                        <w:szCs w:val="18"/>
                      </w:rPr>
                    </w:pPr>
                    <w:r>
                      <w:rPr>
                        <w:sz w:val="18"/>
                        <w:szCs w:val="18"/>
                      </w:rPr>
                      <w:t>685 988,00 €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14 610,00 €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mokykla-darželis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958 463,00 €</w:t>
                    </w:r>
                  </w:p>
                </w:tc>
                <w:tc>
                  <w:tcPr>
                    <w:tcW w:w="1275" w:type="dxa"/>
                    <w:tcBorders>
                      <w:top w:val="nil"/>
                      <w:left w:val="nil"/>
                      <w:bottom w:val="single" w:sz="4" w:space="0" w:color="auto"/>
                      <w:right w:val="nil"/>
                    </w:tcBorders>
                    <w:noWrap/>
                  </w:tcPr>
                  <w:p>
                    <w:pPr>
                      <w:jc w:val="right"/>
                      <w:rPr>
                        <w:sz w:val="18"/>
                        <w:szCs w:val="18"/>
                      </w:rPr>
                    </w:pPr>
                    <w:r>
                      <w:rPr>
                        <w:sz w:val="18"/>
                        <w:szCs w:val="18"/>
                      </w:rPr>
                      <w:t>981 113,00 €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22 650,00 €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Šeduvos lopšelis-darželis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613 961,00 €</w:t>
                    </w:r>
                  </w:p>
                </w:tc>
                <w:tc>
                  <w:tcPr>
                    <w:tcW w:w="1275" w:type="dxa"/>
                    <w:tcBorders>
                      <w:top w:val="nil"/>
                      <w:left w:val="nil"/>
                      <w:bottom w:val="single" w:sz="4" w:space="0" w:color="auto"/>
                      <w:right w:val="nil"/>
                    </w:tcBorders>
                    <w:noWrap/>
                  </w:tcPr>
                  <w:p>
                    <w:pPr>
                      <w:jc w:val="right"/>
                      <w:rPr>
                        <w:sz w:val="18"/>
                        <w:szCs w:val="18"/>
                      </w:rPr>
                    </w:pPr>
                    <w:r>
                      <w:rPr>
                        <w:sz w:val="18"/>
                        <w:szCs w:val="18"/>
                      </w:rPr>
                      <w:t>613 673,00 €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-288,00 €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meno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1 189 902,91 €</w:t>
                    </w:r>
                  </w:p>
                </w:tc>
                <w:tc>
                  <w:tcPr>
                    <w:tcW w:w="1275" w:type="dxa"/>
                    <w:tcBorders>
                      <w:top w:val="nil"/>
                      <w:left w:val="nil"/>
                      <w:bottom w:val="single" w:sz="4" w:space="0" w:color="auto"/>
                      <w:right w:val="nil"/>
                    </w:tcBorders>
                    <w:noWrap/>
                  </w:tcPr>
                  <w:p>
                    <w:pPr>
                      <w:jc w:val="right"/>
                      <w:rPr>
                        <w:sz w:val="18"/>
                        <w:szCs w:val="18"/>
                      </w:rPr>
                    </w:pPr>
                    <w:r>
                      <w:rPr>
                        <w:sz w:val="18"/>
                        <w:szCs w:val="18"/>
                      </w:rPr>
                      <w:t>1 149 902,91€</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2 684 332,23 €</w:t>
                    </w:r>
                  </w:p>
                </w:tc>
                <w:tc>
                  <w:tcPr>
                    <w:tcW w:w="1275" w:type="dxa"/>
                    <w:tcBorders>
                      <w:top w:val="nil"/>
                      <w:left w:val="nil"/>
                      <w:bottom w:val="single" w:sz="4" w:space="0" w:color="auto"/>
                      <w:right w:val="nil"/>
                    </w:tcBorders>
                    <w:noWrap/>
                  </w:tcPr>
                  <w:p>
                    <w:pPr>
                      <w:jc w:val="right"/>
                      <w:rPr>
                        <w:sz w:val="18"/>
                        <w:szCs w:val="18"/>
                      </w:rPr>
                    </w:pPr>
                    <w:r>
                      <w:rPr>
                        <w:sz w:val="18"/>
                        <w:szCs w:val="18"/>
                      </w:rPr>
                      <w:t>2 694515,23 €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10 183,00 €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86 303,10 €</w:t>
                    </w:r>
                  </w:p>
                </w:tc>
                <w:tc>
                  <w:tcPr>
                    <w:tcW w:w="1275" w:type="dxa"/>
                    <w:tcBorders>
                      <w:top w:val="nil"/>
                      <w:left w:val="nil"/>
                      <w:bottom w:val="single" w:sz="4" w:space="0" w:color="auto"/>
                      <w:right w:val="nil"/>
                    </w:tcBorders>
                    <w:noWrap/>
                  </w:tcPr>
                  <w:p>
                    <w:pPr>
                      <w:jc w:val="right"/>
                      <w:rPr>
                        <w:sz w:val="18"/>
                        <w:szCs w:val="18"/>
                      </w:rPr>
                    </w:pPr>
                    <w:r>
                      <w:rPr>
                        <w:sz w:val="18"/>
                        <w:szCs w:val="18"/>
                      </w:rPr>
                      <w:t>76 857,10 €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-9 446,00 €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123 857,90 €</w:t>
                    </w:r>
                  </w:p>
                </w:tc>
                <w:tc>
                  <w:tcPr>
                    <w:tcW w:w="1275" w:type="dxa"/>
                    <w:tcBorders>
                      <w:top w:val="nil"/>
                      <w:left w:val="nil"/>
                      <w:bottom w:val="single" w:sz="4" w:space="0" w:color="auto"/>
                      <w:right w:val="nil"/>
                    </w:tcBorders>
                    <w:noWrap/>
                  </w:tcPr>
                  <w:p>
                    <w:pPr>
                      <w:jc w:val="center"/>
                      <w:rPr>
                        <w:sz w:val="18"/>
                        <w:szCs w:val="18"/>
                      </w:rPr>
                    </w:pPr>
                    <w:r>
                      <w:rPr>
                        <w:sz w:val="18"/>
                        <w:szCs w:val="18"/>
                      </w:rPr>
                      <w:t>109 746,90 €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-14 111,00 €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81 972,45 €</w:t>
                    </w:r>
                  </w:p>
                </w:tc>
                <w:tc>
                  <w:tcPr>
                    <w:tcW w:w="1275" w:type="dxa"/>
                    <w:tcBorders>
                      <w:top w:val="nil"/>
                      <w:left w:val="nil"/>
                      <w:bottom w:val="single" w:sz="4" w:space="0" w:color="auto"/>
                      <w:right w:val="nil"/>
                    </w:tcBorders>
                    <w:noWrap/>
                  </w:tcPr>
                  <w:p>
                    <w:pPr>
                      <w:jc w:val="center"/>
                      <w:rPr>
                        <w:sz w:val="18"/>
                        <w:szCs w:val="18"/>
                      </w:rPr>
                    </w:pPr>
                    <w:r>
                      <w:rPr>
                        <w:sz w:val="18"/>
                        <w:szCs w:val="18"/>
                      </w:rPr>
                      <w:t>66 124,45 €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-15 848,00 €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Grinkiškio J. Poderio pagrindinė mokykla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35 140,80 €</w:t>
                    </w:r>
                  </w:p>
                </w:tc>
                <w:tc>
                  <w:tcPr>
                    <w:tcW w:w="1275" w:type="dxa"/>
                    <w:tcBorders>
                      <w:top w:val="nil"/>
                      <w:left w:val="nil"/>
                      <w:bottom w:val="single" w:sz="4" w:space="0" w:color="auto"/>
                      <w:right w:val="nil"/>
                    </w:tcBorders>
                    <w:noWrap/>
                  </w:tcPr>
                  <w:p>
                    <w:pPr>
                      <w:jc w:val="center"/>
                      <w:rPr>
                        <w:sz w:val="18"/>
                        <w:szCs w:val="18"/>
                      </w:rPr>
                    </w:pPr>
                    <w:r>
                      <w:rPr>
                        <w:sz w:val="18"/>
                        <w:szCs w:val="18"/>
                      </w:rPr>
                      <w:t>35 216,80 €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76,00 €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Baisogalos mokykla-darželis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52 309,75 €</w:t>
                    </w:r>
                  </w:p>
                </w:tc>
                <w:tc>
                  <w:tcPr>
                    <w:tcW w:w="1275" w:type="dxa"/>
                    <w:tcBorders>
                      <w:top w:val="nil"/>
                      <w:left w:val="nil"/>
                      <w:bottom w:val="single" w:sz="4" w:space="0" w:color="auto"/>
                      <w:right w:val="nil"/>
                    </w:tcBorders>
                    <w:noWrap/>
                  </w:tcPr>
                  <w:p>
                    <w:pPr>
                      <w:jc w:val="center"/>
                      <w:rPr>
                        <w:sz w:val="18"/>
                        <w:szCs w:val="18"/>
                      </w:rPr>
                    </w:pPr>
                    <w:r>
                      <w:rPr>
                        <w:sz w:val="18"/>
                        <w:szCs w:val="18"/>
                      </w:rPr>
                      <w:t>52 409,75 €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Baisogalos gimnazija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46 120,00 €</w:t>
                    </w:r>
                  </w:p>
                </w:tc>
                <w:tc>
                  <w:tcPr>
                    <w:tcW w:w="1275" w:type="dxa"/>
                    <w:tcBorders>
                      <w:top w:val="nil"/>
                      <w:left w:val="nil"/>
                      <w:bottom w:val="single" w:sz="4" w:space="0" w:color="auto"/>
                      <w:right w:val="nil"/>
                    </w:tcBorders>
                    <w:noWrap/>
                  </w:tcPr>
                  <w:p>
                    <w:pPr>
                      <w:jc w:val="center"/>
                      <w:rPr>
                        <w:sz w:val="18"/>
                        <w:szCs w:val="18"/>
                      </w:rPr>
                    </w:pPr>
                    <w:r>
                      <w:rPr>
                        <w:sz w:val="18"/>
                        <w:szCs w:val="18"/>
                      </w:rPr>
                      <w:t>46 159,00 €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39,00 €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socialinių paslaugų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126 000,00 €</w:t>
                    </w:r>
                  </w:p>
                </w:tc>
                <w:tc>
                  <w:tcPr>
                    <w:tcW w:w="1275" w:type="dxa"/>
                    <w:tcBorders>
                      <w:top w:val="nil"/>
                      <w:left w:val="nil"/>
                      <w:bottom w:val="single" w:sz="4" w:space="0" w:color="auto"/>
                      <w:right w:val="nil"/>
                    </w:tcBorders>
                    <w:noWrap/>
                  </w:tcPr>
                  <w:p>
                    <w:pPr>
                      <w:jc w:val="center"/>
                      <w:rPr>
                        <w:sz w:val="18"/>
                        <w:szCs w:val="18"/>
                      </w:rPr>
                    </w:pPr>
                    <w:r>
                      <w:rPr>
                        <w:sz w:val="18"/>
                        <w:szCs w:val="18"/>
                      </w:rPr>
                      <w:t>151 000,00 €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25 000,00 €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socialinių paslaugų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1 815 000,00 €</w:t>
                    </w:r>
                  </w:p>
                </w:tc>
                <w:tc>
                  <w:tcPr>
                    <w:tcW w:w="1275" w:type="dxa"/>
                    <w:tcBorders>
                      <w:top w:val="nil"/>
                      <w:left w:val="nil"/>
                      <w:bottom w:val="single" w:sz="4" w:space="0" w:color="auto"/>
                      <w:right w:val="nil"/>
                    </w:tcBorders>
                    <w:noWrap/>
                  </w:tcPr>
                  <w:p>
                    <w:pPr>
                      <w:jc w:val="center"/>
                      <w:rPr>
                        <w:sz w:val="18"/>
                        <w:szCs w:val="18"/>
                      </w:rPr>
                    </w:pPr>
                    <w:r>
                      <w:rPr>
                        <w:sz w:val="18"/>
                        <w:szCs w:val="18"/>
                      </w:rPr>
                      <w:t>1 825000,00 €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socialinių paslaugų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VB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1 580 030,70 €</w:t>
                    </w:r>
                  </w:p>
                </w:tc>
                <w:tc>
                  <w:tcPr>
                    <w:tcW w:w="1275" w:type="dxa"/>
                    <w:tcBorders>
                      <w:top w:val="nil"/>
                      <w:left w:val="nil"/>
                      <w:bottom w:val="single" w:sz="4" w:space="0" w:color="auto"/>
                      <w:right w:val="nil"/>
                    </w:tcBorders>
                    <w:noWrap/>
                  </w:tcPr>
                  <w:p>
                    <w:pPr>
                      <w:jc w:val="center"/>
                      <w:rPr>
                        <w:sz w:val="18"/>
                        <w:szCs w:val="18"/>
                      </w:rPr>
                    </w:pPr>
                    <w:r>
                      <w:rPr>
                        <w:sz w:val="18"/>
                        <w:szCs w:val="18"/>
                      </w:rPr>
                      <w:t>1 578983,70 €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-1 047,00 €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plaukimo baseinas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540 000,00 €</w:t>
                    </w:r>
                  </w:p>
                </w:tc>
                <w:tc>
                  <w:tcPr>
                    <w:tcW w:w="1275" w:type="dxa"/>
                    <w:tcBorders>
                      <w:top w:val="nil"/>
                      <w:left w:val="nil"/>
                      <w:bottom w:val="single" w:sz="4" w:space="0" w:color="auto"/>
                      <w:right w:val="nil"/>
                    </w:tcBorders>
                    <w:noWrap/>
                  </w:tcPr>
                  <w:p>
                    <w:pPr>
                      <w:jc w:val="center"/>
                      <w:rPr>
                        <w:sz w:val="18"/>
                        <w:szCs w:val="18"/>
                      </w:rPr>
                    </w:pPr>
                    <w:r>
                      <w:rPr>
                        <w:sz w:val="18"/>
                        <w:szCs w:val="18"/>
                      </w:rPr>
                      <w:t>560 000,00 €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20 000,00 €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kultūros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62 443,91 €</w:t>
                    </w:r>
                  </w:p>
                </w:tc>
                <w:tc>
                  <w:tcPr>
                    <w:tcW w:w="1275" w:type="dxa"/>
                    <w:tcBorders>
                      <w:top w:val="nil"/>
                      <w:left w:val="nil"/>
                      <w:bottom w:val="single" w:sz="4" w:space="0" w:color="auto"/>
                      <w:right w:val="nil"/>
                    </w:tcBorders>
                    <w:noWrap/>
                  </w:tcPr>
                  <w:p>
                    <w:pPr>
                      <w:jc w:val="center"/>
                      <w:rPr>
                        <w:sz w:val="18"/>
                        <w:szCs w:val="18"/>
                      </w:rPr>
                    </w:pPr>
                    <w:r>
                      <w:rPr>
                        <w:sz w:val="18"/>
                        <w:szCs w:val="18"/>
                      </w:rPr>
                      <w:t>90 443,91 €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28 000,00 €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4 019 383,00 €</w:t>
                    </w:r>
                  </w:p>
                </w:tc>
                <w:tc>
                  <w:tcPr>
                    <w:tcW w:w="1275" w:type="dxa"/>
                    <w:tcBorders>
                      <w:top w:val="nil"/>
                      <w:left w:val="nil"/>
                      <w:bottom w:val="single" w:sz="4" w:space="0" w:color="auto"/>
                      <w:right w:val="nil"/>
                    </w:tcBorders>
                    <w:noWrap/>
                  </w:tcPr>
                  <w:p>
                    <w:pPr>
                      <w:jc w:val="center"/>
                      <w:rPr>
                        <w:sz w:val="18"/>
                        <w:szCs w:val="18"/>
                      </w:rPr>
                    </w:pPr>
                    <w:r>
                      <w:rPr>
                        <w:sz w:val="18"/>
                        <w:szCs w:val="18"/>
                      </w:rPr>
                      <w:t>4 048 903,31€</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29 520,31 €</w:t>
                    </w:r>
                  </w:p>
                </w:tc>
              </w:tr>
            </w:tbl>
            <w:p/>
          </w:sdtContent>
        </w:sdt>
        <w:sdt>
          <w:sdtPr>
            <w:alias w:val="signatura"/>
            <w:tag w:val="part_cf6627e8e4fb441d8042ef7c30a745d8"/>
            <w:lock w:val="sdtLocked"/>
            <w:richText/>
          </w:sdtPr>
          <w:sdtContent>
            <w:p>
              <w:pPr>
                <w:spacing w:line="254" w:lineRule="auto"/>
                <w:ind w:firstLine="4101"/>
                <w:rPr>
                  <w:szCs w:val="24"/>
                </w:rPr>
              </w:pPr>
              <w:r>
                <w:rPr>
                  <w:color w:val="000000"/>
                  <w:sz w:val="20"/>
                </w:rPr>
                <w:t xml:space="preserve">Iš viso                                                                                380 846,00 €             </w:t>
                <w:tab/>
                <w:t xml:space="preserve">    </w:t>
              </w:r>
              <w:r>
                <w:rPr>
                  <w:szCs w:val="24"/>
                </w:rPr>
                <w:t xml:space="preserve">         </w:t>
              </w:r>
            </w:p>
            <w:p>
              <w:pPr>
                <w:rPr>
                  <w:sz w:val="14"/>
                  <w:szCs w:val="14"/>
                </w:rPr>
              </w:pPr>
            </w:p>
            <w:p>
              <w:pPr>
                <w:spacing w:line="254" w:lineRule="auto"/>
                <w:jc w:val="both"/>
                <w:rPr>
                  <w:szCs w:val="24"/>
                </w:rPr>
              </w:pPr>
            </w:p>
            <w:p>
              <w:pPr>
                <w:rPr>
                  <w:sz w:val="14"/>
                  <w:szCs w:val="1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3e66fafb774f15a12c6684120d5603" PartId="058ff4db12624b42abaf0fbd40409754">
    <Part Type="preambule" DocPartId="3422b451010947ce83a685f5991d9264" PartId="d398bb717fde4bc89474b7792dc0537b"/>
    <Part Type="punktas" Nr="1" Abbr="1 p." DocPartId="c12cdc38b7d5416baae031a4dec507e6" PartId="690c88ce5a8f406e8479d9bc867f71b2">
      <Part Type="papunktis" Nr="1.1" Abbr="1.1 pp." DocPartId="14baaaa566e9467da3733a15bea72181" PartId="5638f4f17eba4af884ca8a56b0a7978b">
        <Part Type="citata" DocPartId="06a696b9913d45998487d16702ca37dd" PartId="8e9417850f3f4a7abf11589fecb42144">
          <Part Type="papunktis" Nr="1.1" Abbr="1.1 pp." DocPartId="32539f3aca234470b8dcdf465a212c41" PartId="90f30df8b90a47f4b377ca23a5e53f92"/>
        </Part>
      </Part>
      <Part Type="papunktis" Nr="1.2" Abbr="1.2 pp." DocPartId="54ee374d5b6248e183d63467a4db67c5" PartId="82089ca1dca1411abb3d49f4bc95a94a">
        <Part Type="citata" DocPartId="efc048d0d2f242e38f7a51cbdef5785c" PartId="e833db2527cf4e7aab1d6ead49dcd409">
          <Part Type="papunktis" Nr="1.2" Abbr="1.2 pp." DocPartId="97ead92648c44bf0a3d03de381690787" PartId="0ae006c1e8f244e2aca2ed73ea23b371"/>
        </Part>
      </Part>
      <Part Type="papunktis" Nr="1.3" Abbr="1.3 pp." DocPartId="a5fa622aa15b4fb09fb1116dfc36a976" PartId="b27df2947b334defbf4fd2dfe09e17af"/>
    </Part>
    <Part Type="skirsnis" Title="RADVILIŠKIO RAJONO SAVIVALDYBĖS TARYBOS SPRENDIMO PROJEKTO „DĖL RADVILIŠKIO RAJONO SAVIVALDYBĖS TARYBOS 2025 M. VASARIO 13 D. SPRENDIMO NR. T-557 „DĖL RADVILIŠKIO RAJONO SAVIVALDYBĖS 2025–2027 METŲ BIUDŽETO PATVIRTINIMO“ PAKEITIMO“ AIŠKINAMASIS RAŠTAS" DocPartId="248a97c01b5446f183e248e414bfe509" PartId="3fa8034f3410417da66c556f71d1c67f">
      <Part Type="punktas" Nr="1" Abbr="1 p." DocPartId="562ea8f8355944fe8b77ee0ead8516e4" PartId="ad3a0cb923f14a2cb11700588ff66448"/>
      <Part Type="punktas" Nr="2" Abbr="2 p." DocPartId="7bf0eae2e40a4e0ab926eeecbd2cc066" PartId="3fb3ce3ce7e640ca8e7702262fc1e158"/>
      <Part Type="punktas" Nr="3" Abbr="3 p." DocPartId="72cde822bc1e4b378239b488c74ad61f" PartId="61c971734c8949d090dab73d7c9b6071"/>
      <Part Type="punktas" Nr="4" Abbr="4 p." DocPartId="539b4dc51d7a4fc99c9ed48c6a0a9350" PartId="7b854c9b30e640d483ac109ad09fa817"/>
      <Part Type="punktas" Nr="5" Abbr="5 p." DocPartId="28b3d41d3ad843249a1e62df0d7e64ad" PartId="e964228dfab440809505bd2061af950e"/>
      <Part Type="punktas" Nr="6" Abbr="6 p." DocPartId="bb613b5ee4794d468b2e9d17812cfc9c" PartId="c93ab44d09fb4b79b4f929d0d1dd8559"/>
      <Part Type="punktas" Nr="7" Abbr="7 p." DocPartId="653f06787c2d43438512763359cc85a3" PartId="45cde58aa96a47d4ad6c2e4a8849d761"/>
      <Part Type="punktas" Nr="8" Abbr="8 p." DocPartId="956f787f67b046adab0835b94b413725" PartId="e2692046ff634ab69ada23ed787df98c"/>
      <Part Type="punktas" Nr="9" Abbr="9 p." DocPartId="bf69b0a0168e4dfda082737a2e1fcdbb" PartId="46b23304ecb04fcca1e970ee55340f19"/>
      <Part Type="punktas" Nr="10" Abbr="10 p." DocPartId="b2c9304744cf4ea4bc4f93f8f088ea2e" PartId="cc7ae0a2a33a4295829f1ec01238fa80"/>
      <Part Type="punktas" Nr="11" Abbr="11 p." DocPartId="ee516ff0777b4e4791aaaf52a5a9e6fe" PartId="f8b7fc9f8b2d470587f9e60f582cd91b"/>
      <Part Type="punktas" Nr="1" Abbr="1 p." Notes="Numeris ne iš eilės. Trūksta dalių? [DocDalys]" DocPartId="343aea37e178440eb471873ca9d8a292" PartId="586496067a5d48989d8e50ca179e4ffc">
        <Part Type="papunktis" Nr="1.1" Abbr="1.1 pp." Notes="Numeris ne iš eilės. Trūksta dalių? [DocDalys]" DocPartId="ede2d667f50b41fe92d19e12f0df4d31" PartId="0b1ae43e17e2459f9c5dfa49c5424c1d"/>
        <Part Type="papunktis" Nr="1.2" Abbr="1.2 pp." DocPartId="79558220ace748759c6a57adeecb519a" PartId="9e8396f1c43140598e50223c4987a3e3"/>
        <Part Type="papunktis" Nr="1.3" Abbr="1.3 pp." DocPartId="ca7b6f23052b4622838806ad624d2fe2" PartId="a83bebf9cc684748adf5d0d3ca7980cc"/>
        <Part Type="papunktis" Nr="1.4" Abbr="1.4 pp." DocPartId="09c1ff105db34485984d054199ea5e66" PartId="c4d785c079e34a778c2819d4ea31d7e6"/>
        <Part Type="papunktis" Nr="1.5" Abbr="1.5 pp." DocPartId="0c58ec69ed0842209c5f19fbc8320449" PartId="96b11a745a6c42c2bff0cfebeaca4fce"/>
        <Part Type="papunktis" Nr="1.6" Abbr="1.6 pp." DocPartId="b883624cbdab4359990b4f08bdf0236b" PartId="8a5ad4814f3b4afcb68d63f97d310da2"/>
        <Part Type="papunktis" Nr="1.7" Abbr="1.7 pp." DocPartId="464770fda74349c697b7f9f0be6e4486" PartId="b2a4003d7a9f49d183ec53ca2021594b"/>
      </Part>
      <Part Type="punktas" Nr="2" Abbr="2 p." DocPartId="d7871791ed044d8e9d94edae33e0f427" PartId="bab78cf141e7432582a10c0f8ef90639">
        <Part Type="papunktis" Nr="2.1" Abbr="2.1 pp." DocPartId="4f3856dfd87740ccb29a6650f7ffda1b" PartId="0763cb8d60534cfb833a8aec45c24938"/>
        <Part Type="papunktis" Nr="2.2" Abbr="2.2 pp." DocPartId="e2230820165f449da53603858748a07a" PartId="78f49571fc404c14a4315d91063523d1"/>
      </Part>
      <Part Type="punktas" Nr="3" Abbr="3 p." DocPartId="99bc7816c86b475b93ca9ecd5198729e" PartId="0092e09d898546c8bbda6dcee71a6500">
        <Part Type="papunktis" Nr="3.1" Abbr="3.1 pp." DocPartId="bdfa5a21945048acadbc15af309f2d04" PartId="4145f36cf8f64ab0a06cd9f87a07f0fd">
          <Part Type="papunktis" Nr="3.1.1" Abbr="3.1.1 pp." DocPartId="5cf6972da56f4764bc9c43ed29279d73" PartId="5dd55a507f1b48949aa39f8c90e47356"/>
          <Part Type="papunktis" Nr="3.1.2" Abbr="3.1.2 pp." DocPartId="e8fec7a5567247aa8fce846667dbd276" PartId="a7897ab7d7ad43d58e6167b94ac085a3"/>
          <Part Type="papunktis" Nr="3.1.3" Abbr="3.1.3 pp." DocPartId="4e58b2851000463c93011f487c27e811" PartId="c97e9be92384429991d77c75367f553b"/>
        </Part>
        <Part Type="papunktis" Nr="3.2" Abbr="3.2 pp." DocPartId="6c3d92b7fa5a404c99c580691b948abf" PartId="30c16417a630476ca071eb9c9049eaca"/>
        <Part Type="papunktis" Nr="3.3" Abbr="3.3 pp." DocPartId="f7cb3d98075b4d8099cde02894b15c98" PartId="0c26fc16eab9419bb2e878a812cb952d"/>
        <Part Type="papunktis" Nr="3.4" Abbr="3.4 pp." DocPartId="d2445033c58f496196527fd44d66753c" PartId="630da16d5b124362a88609a9f3ba30da"/>
        <Part Type="papunktis" Nr="3.5" Abbr="3.5 pp." DocPartId="6c99f5ef3e9740bba6e9d5a52b311a6d" PartId="01e30ef37aa54fddbc41c8d8fe87c1c9"/>
        <Part Type="papunktis" Nr="3.6" Abbr="3.6 pp." DocPartId="d4b01c82e0094ef5bff8ad48f2af8e18" PartId="3d010679c47d422d97024fc81d0a4319"/>
        <Part Type="papunktis" Nr="3.7" Abbr="3.7 pp." DocPartId="2adea64aaca6424c87b1135beec32a13" PartId="bb63605b6c7747c48df4befc7adaab85"/>
        <Part Type="papunktis" Nr="3.8" Abbr="3.8 pp." DocPartId="d0180d0fcc34455390284d014c5c1fe0" PartId="5acb899360824c2d972197f9bb091539"/>
        <Part Type="papunktis" Nr="3.9" Abbr="3.9 pp." DocPartId="8eb27c1ea4694c5089c1a707a2722706" PartId="7eece7255af7466da88b0bcd9d8672f2"/>
        <Part Type="papunktis" Nr="3.10" Abbr="3.10 pp." DocPartId="eefc23d9d3444023aa3fbe10ddc4b246" PartId="907029a062ba477793a647459b146580"/>
        <Part Type="papunktis" Nr="3.11" Abbr="3.11 pp." DocPartId="0f430adea6bf4cf2b2dfbe17fe654960" PartId="f4773b3eeef444c19bef31bcee80a40e"/>
        <Part Type="papunktis" Nr="3.12" Abbr="3.12 pp." DocPartId="c5075c3079b84d758c59f783e9553f68" PartId="8c21ae72e241431e99f374009ec117a9"/>
      </Part>
      <Part Type="punktas" Nr="4" Abbr="4 p." DocPartId="3f622ce7a12e4c9cb2b9c84e7089f3f8" PartId="e374e50bf4a8493ba6b2bfa52120ab6f">
        <Part Type="papunktis" Nr="4.1" Abbr="4.1 pp." DocPartId="f68eee392eac40068c3da986800b3573" PartId="5df0fbf039c3449caa59430ac4d9568b"/>
        <Part Type="papunktis" Nr="4.2" Abbr="4.2 pp." DocPartId="f41d7474edc84cb5bd24f9a108c06cac" PartId="1d35108c4385413c9a748ee293240df6"/>
      </Part>
      <Part Type="punktas" Nr="5" Abbr="5 p." DocPartId="311fd058d5084b1a870abb416cb99dcd" PartId="d5501597226247dfa939570b113af1d3"/>
      <Part Type="punktas" Nr="6" Abbr="6 p." DocPartId="ae13e97ddf6b45fcaf9539028735b1f7" PartId="d1c8b008eca94e5bb85eb80d9ab4d449"/>
      <Part Type="punktas" Nr="12" Abbr="12 p." Notes="Numeris ne iš eilės. Trūksta dalių? [DocDalys]" DocPartId="71c1a97e0a3246ae9b9333a1c35ec0ec" PartId="7fe2e3ad37f54e2fb71fb94219c298eb"/>
    </Part>
    <Part Type="skirsnis" Title="Lyginamasis variantas." DocPartId="3d3f8ceb6db846c2844afc9fe9d05148" PartId="0345a9c47575484885845ee410dcab88"/>
    <Part Type="signatura" DocPartId="37feb45e5ef84431aa46aa013ca70e64" PartId="cf6627e8e4fb441d8042ef7c30a745d8"/>
  </Part>
</Parts>
</file>

<file path=customXml/itemProps1.xml><?xml version="1.0" encoding="utf-8"?>
<ds:datastoreItem xmlns:ds="http://schemas.openxmlformats.org/officeDocument/2006/customXml" ds:itemID="{A2C7486E-25BB-4941-9903-EA278F66A3E2}">
  <ds:schemaRefs>
    <ds:schemaRef ds:uri="http://schemas.openxmlformats.org/officeDocument/2006/bibliography"/>
  </ds:schemaRefs>
</ds:datastoreItem>
</file>

<file path=customXml/itemProps2.xml><?xml version="1.0" encoding="utf-8"?>
<ds:datastoreItem xmlns:ds="http://schemas.openxmlformats.org/officeDocument/2006/customXml" ds:itemID="{185EF3B1-8DD3-46D6-A2C0-9D192E7F91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3307</Words>
  <Characters>21200</Characters>
  <Application>Microsoft Office Word</Application>
  <DocSecurity>4</DocSecurity>
  <Lines>1009</Lines>
  <Paragraphs>680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23827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2025-11-21T06:10:00Z</dcterms:created>
  <dc:creator>Rita Chlebauskienė</dc:creator>
  <lastModifiedBy>adlibuser</lastModifiedBy>
  <lastPrinted>2025-11-14T12:42:00Z</lastPrinted>
  <dcterms:modified xsi:type="dcterms:W3CDTF">2025-11-21T06:10:00Z</dcterms:modified>
  <revision>2</revision>
</coreProperties>
</file>