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5ad15de3c54ecfbdead63a74fca73c"/>
        <w:lock w:val="sdtLocked"/>
        <w:richText/>
      </w:sdtPr>
      <w:sdtContent>
        <w:p w14:paraId="4FB66648" w14:textId="77777777">
          <w:pPr>
            <w:tabs>
              <w:tab w:val="center" w:pos="4819"/>
              <w:tab w:val="right" w:pos="9638"/>
            </w:tabs>
            <w:ind w:firstLine="7938"/>
          </w:pPr>
          <w:r>
            <w:rPr>
              <w:rFonts w:eastAsia="HG Mincho Light J"/>
              <w:b/>
              <w:color w:val="000000"/>
              <w:szCs w:val="24"/>
              <w:lang w:eastAsia="lt-LT"/>
            </w:rPr>
            <w:t>Projektas</w:t>
          </w:r>
        </w:p>
        <w:p w14:paraId="24CA46A4" w14:textId="2A5C6A34">
          <w:pPr>
            <w:widowControl w:val="0"/>
            <w:suppressAutoHyphens/>
            <w:jc w:val="center"/>
            <w:rPr>
              <w:rFonts w:ascii="Thorndale;Times New Roman" w:eastAsia="HG Mincho Light J" w:hAnsi="Thorndale;Times New Roman"/>
              <w:color w:val="000000"/>
              <w:szCs w:val="24"/>
              <w:lang w:eastAsia="lt-LT"/>
            </w:rPr>
          </w:pPr>
        </w:p>
        <w:p w14:paraId="5DBAFF82" w14:textId="77777777">
          <w:pPr>
            <w:widowControl w:val="0"/>
            <w:suppressAutoHyphens/>
            <w:jc w:val="center"/>
            <w:rPr>
              <w:rFonts w:ascii="Thorndale;Times New Roman" w:eastAsia="HG Mincho Light J" w:hAnsi="Thorndale;Times New Roman"/>
              <w:color w:val="000000"/>
              <w:szCs w:val="24"/>
              <w:lang w:eastAsia="lt-LT"/>
            </w:rPr>
          </w:pPr>
        </w:p>
        <w:p w14:paraId="163E7138" w14:textId="77777777">
          <w:pPr>
            <w:keepNext/>
            <w:widowControl w:val="0"/>
            <w:suppressAutoHyphens/>
            <w:jc w:val="center"/>
            <w:outlineLvl w:val="1"/>
            <w:rPr>
              <w:rFonts w:eastAsia="HG Mincho Light J"/>
              <w:b/>
              <w:color w:val="000000"/>
              <w:szCs w:val="24"/>
              <w:lang w:eastAsia="lt-LT"/>
            </w:rPr>
          </w:pPr>
          <w:r>
            <w:rPr>
              <w:rFonts w:eastAsia="HG Mincho Light J"/>
              <w:b/>
              <w:color w:val="000000"/>
              <w:szCs w:val="24"/>
              <w:lang w:eastAsia="lt-LT"/>
            </w:rPr>
            <w:t>ŠIAULIŲ MIESTO SAVIVALDYBĖS TARYBA</w:t>
          </w:r>
        </w:p>
        <w:p w14:paraId="163E7139" w14:textId="77777777">
          <w:pPr>
            <w:widowControl w:val="0"/>
            <w:suppressAutoHyphens/>
            <w:jc w:val="center"/>
            <w:rPr>
              <w:rFonts w:eastAsia="HG Mincho Light J"/>
              <w:b/>
              <w:color w:val="000000"/>
              <w:szCs w:val="24"/>
              <w:lang w:eastAsia="lt-LT"/>
            </w:rPr>
          </w:pPr>
        </w:p>
        <w:p w14:paraId="722BB609"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11F37BAC" w14:textId="076ADC15">
          <w:pPr>
            <w:widowControl w:val="0"/>
            <w:suppressAutoHyphens/>
            <w:jc w:val="center"/>
            <w:rPr>
              <w:rFonts w:eastAsia="HG Mincho Light J"/>
              <w:b/>
              <w:color w:val="000000"/>
              <w:szCs w:val="24"/>
              <w:lang w:eastAsia="lt-LT"/>
            </w:rPr>
          </w:pPr>
          <w:r>
            <w:rPr>
              <w:rFonts w:eastAsia="HG Mincho Light J"/>
              <w:b/>
              <w:color w:val="000000"/>
              <w:szCs w:val="24"/>
              <w:lang w:eastAsia="lt-LT"/>
            </w:rPr>
            <w:t>DĖL ŠIAULIŲ MIESTO SAVIVALDYBĖS TARYBOS 2024 M. BIRŽELIO 6 D. SPRENDIMO NR. T-214 „DĖL ŠIAULIŲ KULTŪROS CENTRO TEIKIAMŲ ATLYGINTINŲ PASLAUGŲ SĄRAŠO PATVIRTINIMO“ PAKEITIMO</w:t>
          </w:r>
        </w:p>
        <w:p w14:paraId="163E713C" w14:textId="77777777">
          <w:pPr>
            <w:widowControl w:val="0"/>
            <w:suppressAutoHyphens/>
            <w:jc w:val="center"/>
            <w:rPr>
              <w:rFonts w:eastAsia="HG Mincho Light J"/>
              <w:color w:val="000000"/>
              <w:szCs w:val="24"/>
              <w:lang w:eastAsia="lt-LT"/>
            </w:rPr>
          </w:pPr>
        </w:p>
        <w:p w14:paraId="163E713D" w14:textId="48CB3BA4">
          <w:pPr>
            <w:widowControl w:val="0"/>
            <w:suppressAutoHyphens/>
            <w:ind w:firstLine="186"/>
            <w:jc w:val="center"/>
            <w:rPr>
              <w:rFonts w:eastAsia="HG Mincho Light J"/>
              <w:color w:val="000000"/>
              <w:szCs w:val="24"/>
              <w:lang w:eastAsia="lt-LT"/>
            </w:rPr>
          </w:pPr>
          <w:r>
            <w:rPr>
              <w:rFonts w:eastAsia="HG Mincho Light J"/>
              <w:color w:val="000000"/>
              <w:szCs w:val="24"/>
              <w:lang w:eastAsia="lt-LT"/>
            </w:rPr>
            <w:t xml:space="preserve">2025 m.                                 d. Nr. T-</w:t>
          </w:r>
        </w:p>
        <w:p w14:paraId="163E713E" w14:textId="69E8F404">
          <w:pPr>
            <w:widowControl w:val="0"/>
            <w:suppressAutoHyphens/>
            <w:ind w:firstLine="62"/>
            <w:jc w:val="center"/>
            <w:rPr>
              <w:rFonts w:eastAsia="HG Mincho Light J"/>
              <w:color w:val="000000"/>
              <w:szCs w:val="24"/>
              <w:lang w:eastAsia="lt-LT"/>
            </w:rPr>
          </w:pPr>
          <w:r>
            <w:rPr>
              <w:rFonts w:eastAsia="HG Mincho Light J"/>
              <w:color w:val="000000"/>
              <w:szCs w:val="24"/>
              <w:lang w:eastAsia="lt-LT"/>
            </w:rPr>
            <w:t>Šiauliai</w:t>
          </w:r>
        </w:p>
        <w:p w14:paraId="163E7140" w14:textId="77777777">
          <w:pPr>
            <w:widowControl w:val="0"/>
            <w:suppressAutoHyphens/>
            <w:rPr>
              <w:rFonts w:eastAsia="HG Mincho Light J"/>
              <w:color w:val="000000"/>
              <w:szCs w:val="24"/>
              <w:lang w:eastAsia="lt-LT"/>
            </w:rPr>
          </w:pPr>
        </w:p>
        <w:p w14:paraId="58A2C334" w14:textId="77777777">
          <w:pPr>
            <w:widowControl w:val="0"/>
            <w:suppressAutoHyphens/>
            <w:rPr>
              <w:rFonts w:eastAsia="HG Mincho Light J"/>
              <w:color w:val="000000"/>
              <w:szCs w:val="24"/>
              <w:lang w:eastAsia="lt-LT"/>
            </w:rPr>
          </w:pPr>
        </w:p>
        <w:sdt>
          <w:sdtPr>
            <w:alias w:val="preambule"/>
            <w:tag w:val="part_72250a32ef054b989155fc489d162f5d"/>
            <w:lock w:val="sdtLocked"/>
            <w:richText/>
          </w:sdtPr>
          <w:sdtContent>
            <w:p w14:paraId="69F1D5DC" w14:textId="4F13624B">
              <w:pPr>
                <w:widowControl w:val="0"/>
                <w:suppressAutoHyphens/>
                <w:ind w:firstLine="851"/>
                <w:jc w:val="both"/>
                <w:rPr>
                  <w:rFonts w:eastAsia="HG Mincho Light J"/>
                  <w:color w:val="000000"/>
                  <w:szCs w:val="24"/>
                  <w:lang w:eastAsia="lt-LT"/>
                </w:rPr>
              </w:pPr>
              <w:r>
                <w:rPr>
                  <w:rFonts w:eastAsia="HG Mincho Light J"/>
                  <w:color w:val="000000"/>
                  <w:szCs w:val="24"/>
                  <w:lang w:eastAsia="lt-LT"/>
                </w:rPr>
                <w:t xml:space="preserve">Vadovaudamasi Lietuvos Respublikos vietos savivaldos įstatymo 15 straipsnio 2 dalies 29 punktu, 16 straipsnio 1 dalimi, Šiaulių miesto savivaldybės taryba </w:t>
              </w:r>
              <w:r>
                <w:rPr>
                  <w:spacing w:val="40"/>
                </w:rPr>
                <w:t>nusprendžia</w:t>
              </w:r>
              <w:r>
                <w:t>:</w:t>
              </w:r>
            </w:p>
          </w:sdtContent>
        </w:sdt>
        <w:sdt>
          <w:sdtPr>
            <w:alias w:val="pastraipa"/>
            <w:tag w:val="part_98e8280bce10401083834b57e3ec221f"/>
            <w:lock w:val="sdtLocked"/>
            <w:richText/>
          </w:sdtPr>
          <w:sdtContent>
            <w:p w14:paraId="3F8A719E" w14:textId="6BA9EDB4">
              <w:pPr>
                <w:widowControl w:val="0"/>
                <w:tabs>
                  <w:tab w:val="left" w:pos="960"/>
                </w:tabs>
                <w:suppressAutoHyphens/>
                <w:ind w:firstLine="709"/>
                <w:jc w:val="both"/>
                <w:rPr>
                  <w:rFonts w:eastAsia="HG Mincho Light J"/>
                  <w:color w:val="000000"/>
                  <w:szCs w:val="24"/>
                  <w:lang w:eastAsia="lt-LT"/>
                </w:rPr>
              </w:pPr>
              <w:r>
                <w:rPr>
                  <w:rFonts w:eastAsia="HG Mincho Light J"/>
                  <w:color w:val="000000"/>
                  <w:szCs w:val="24"/>
                  <w:lang w:eastAsia="lt-LT"/>
                </w:rPr>
                <w:t>Pakeisti Šiaulių kultūros centro teikiamų atlygintinų paslaugų sąrašą, patvirtintą Šiaulių miesto savivaldybės tarybos 2024 m. birželio 6 d. sprendimo Nr. T-214 „Dėl Šiaulių kultūros centro teikiamų atlygintinų paslaugų sąrašo patvirtinimo“ 1 punktu:</w:t>
              </w:r>
            </w:p>
          </w:sdtContent>
        </w:sdt>
        <w:sdt>
          <w:sdtPr>
            <w:alias w:val="1 p."/>
            <w:tag w:val="part_fb40723efc6d4c7390ede41c23930c13"/>
            <w:lock w:val="sdtLocked"/>
            <w:richText/>
          </w:sdtPr>
          <w:sdtContent>
            <w:p w14:paraId="76070BD2" w14:textId="0E1AFD19">
              <w:pPr>
                <w:widowControl w:val="0"/>
                <w:suppressAutoHyphens/>
                <w:ind w:left="1080" w:hanging="360"/>
                <w:jc w:val="both"/>
                <w:rPr>
                  <w:rFonts w:eastAsia="HG Mincho Light J"/>
                  <w:szCs w:val="24"/>
                  <w:lang w:eastAsia="lt-LT"/>
                </w:rPr>
              </w:pPr>
              <w:sdt>
                <w:sdtPr>
                  <w:alias w:val="Numeris"/>
                  <w:tag w:val="nr_fb40723efc6d4c7390ede41c23930c13"/>
                  <w:lock w:val="sdtLocked"/>
                  <w:richText/>
                </w:sdtPr>
                <w:sdtContent>
                  <w:r>
                    <w:rPr>
                      <w:rFonts w:eastAsia="HG Mincho Light J"/>
                      <w:szCs w:val="24"/>
                      <w:lang w:eastAsia="lt-LT"/>
                    </w:rPr>
                    <w:t>1</w:t>
                  </w:r>
                </w:sdtContent>
              </w:sdt>
              <w:r>
                <w:rPr>
                  <w:rFonts w:eastAsia="HG Mincho Light J"/>
                  <w:szCs w:val="24"/>
                  <w:lang w:eastAsia="lt-LT"/>
                </w:rPr>
                <w:t>.</w:t>
                <w:tab/>
                <w:t>Pakeisti 1 išnašą ir ją išdėstyti taip:</w:t>
              </w:r>
            </w:p>
            <w:sdt>
              <w:sdtPr>
                <w:alias w:val="citata"/>
                <w:tag w:val="part_48b13be1fa194772a3490a7b932295fa"/>
                <w:lock w:val="sdtLocked"/>
                <w:richText/>
              </w:sdtPr>
              <w:sdtContent>
                <w:sdt>
                  <w:sdtPr>
                    <w:alias w:val="pastraipa"/>
                    <w:tag w:val="part_729dfff51c644c83ac321148737b0777"/>
                    <w:lock w:val="sdtLocked"/>
                    <w:richText/>
                  </w:sdtPr>
                  <w:sdtContent>
                    <w:p w14:paraId="3D358C5F" w14:textId="05826270">
                      <w:pPr>
                        <w:widowControl w:val="0"/>
                        <w:suppressAutoHyphens/>
                        <w:ind w:firstLine="709"/>
                        <w:jc w:val="both"/>
                        <w:rPr>
                          <w:rFonts w:eastAsia="HG Mincho Light J"/>
                          <w:bCs/>
                          <w:color w:val="000000"/>
                          <w:szCs w:val="24"/>
                          <w:lang w:eastAsia="lt-LT"/>
                        </w:rPr>
                      </w:pPr>
                      <w:r>
                        <w:rPr>
                          <w:rFonts w:eastAsia="HG Mincho Light J"/>
                          <w:color w:val="000000"/>
                          <w:szCs w:val="24"/>
                          <w:lang w:eastAsia="lt-LT"/>
                        </w:rPr>
                        <w:t>„</w:t>
                      </w:r>
                      <w:r>
                        <w:rPr>
                          <w:rFonts w:eastAsia="HG Mincho Light J"/>
                          <w:bCs/>
                          <w:color w:val="000000"/>
                          <w:szCs w:val="24"/>
                          <w:vertAlign w:val="superscript"/>
                          <w:lang w:eastAsia="lt-LT"/>
                        </w:rPr>
                        <w:t>1</w:t>
                      </w:r>
                      <w:r>
                        <w:rPr>
                          <w:rFonts w:eastAsia="HG Mincho Light J"/>
                          <w:bCs/>
                          <w:color w:val="000000"/>
                          <w:szCs w:val="24"/>
                          <w:lang w:eastAsia="lt-LT"/>
                        </w:rPr>
                        <w:t xml:space="preserve"> Nuolaida taikoma Šiaulių miesto savivaldybėje įregistruotoms ir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 vykdomiems darbo dienomis nuo 8 iki 17 val.</w:t>
                      </w:r>
                      <w:r>
                        <w:rPr>
                          <w:rFonts w:eastAsia="HG Mincho Light J"/>
                          <w:bCs/>
                          <w:szCs w:val="24"/>
                          <w:lang w:eastAsia="lt-LT"/>
                        </w:rPr>
                        <w:t>“</w:t>
                      </w:r>
                    </w:p>
                  </w:sdtContent>
                </w:sdt>
              </w:sdtContent>
            </w:sdt>
          </w:sdtContent>
        </w:sdt>
        <w:sdt>
          <w:sdtPr>
            <w:alias w:val="2 p."/>
            <w:tag w:val="part_53611b75d77a4ee0b55ff0a5c673914d"/>
            <w:lock w:val="sdtLocked"/>
            <w:richText/>
          </w:sdtPr>
          <w:sdtContent>
            <w:p w14:paraId="7B61E3E8" w14:textId="20A71EBF">
              <w:pPr>
                <w:widowControl w:val="0"/>
                <w:suppressAutoHyphens/>
                <w:ind w:firstLine="744"/>
                <w:jc w:val="both"/>
                <w:rPr>
                  <w:rFonts w:eastAsia="HG Mincho Light J"/>
                  <w:szCs w:val="24"/>
                  <w:lang w:eastAsia="lt-LT"/>
                </w:rPr>
              </w:pPr>
              <w:sdt>
                <w:sdtPr>
                  <w:alias w:val="Numeris"/>
                  <w:tag w:val="nr_53611b75d77a4ee0b55ff0a5c673914d"/>
                  <w:lock w:val="sdtLocked"/>
                  <w:richText/>
                </w:sdtPr>
                <w:sdtContent>
                  <w:r>
                    <w:rPr>
                      <w:rFonts w:eastAsia="HG Mincho Light J"/>
                      <w:bCs/>
                      <w:szCs w:val="24"/>
                      <w:lang w:eastAsia="lt-LT"/>
                    </w:rPr>
                    <w:t>2</w:t>
                  </w:r>
                </w:sdtContent>
              </w:sdt>
              <w:r>
                <w:rPr>
                  <w:rFonts w:eastAsia="HG Mincho Light J"/>
                  <w:bCs/>
                  <w:szCs w:val="24"/>
                  <w:lang w:eastAsia="lt-LT"/>
                </w:rPr>
                <w:t xml:space="preserve">. </w:t>
              </w:r>
              <w:r>
                <w:rPr>
                  <w:rFonts w:eastAsia="HG Mincho Light J"/>
                  <w:szCs w:val="24"/>
                  <w:lang w:eastAsia="lt-LT"/>
                </w:rPr>
                <w:t>Pakeisti 2 išnašą ir ją išdėstyti taip:</w:t>
              </w:r>
            </w:p>
            <w:sdt>
              <w:sdtPr>
                <w:alias w:val="citata"/>
                <w:tag w:val="part_4c9e459c75c7494082d80c1655436a1b"/>
                <w:lock w:val="sdtLocked"/>
                <w:richText/>
              </w:sdtPr>
              <w:sdtContent>
                <w:sdt>
                  <w:sdtPr>
                    <w:alias w:val="pastraipa"/>
                    <w:tag w:val="part_6c40daf845ee47b29f5becc4053580f3"/>
                    <w:lock w:val="sdtLocked"/>
                    <w:richText/>
                  </w:sdtPr>
                  <w:sdtContent>
                    <w:p w14:paraId="5B6F89E9" w14:textId="75712F31">
                      <w:pPr>
                        <w:widowControl w:val="0"/>
                        <w:suppressAutoHyphens/>
                        <w:ind w:firstLine="720"/>
                        <w:jc w:val="both"/>
                        <w:rPr>
                          <w:rFonts w:eastAsia="HG Mincho Light J"/>
                          <w:bCs/>
                          <w:color w:val="000000"/>
                          <w:szCs w:val="24"/>
                          <w:lang w:eastAsia="lt-LT"/>
                        </w:rPr>
                      </w:pPr>
                      <w:r>
                        <w:rPr>
                          <w:rFonts w:eastAsia="HG Mincho Light J"/>
                          <w:szCs w:val="24"/>
                          <w:lang w:eastAsia="lt-LT"/>
                        </w:rPr>
                        <w:t>„</w:t>
                      </w:r>
                      <w:r>
                        <w:rPr>
                          <w:rFonts w:eastAsia="HG Mincho Light J"/>
                          <w:bCs/>
                          <w:color w:val="000000"/>
                          <w:szCs w:val="24"/>
                          <w:vertAlign w:val="superscript"/>
                          <w:lang w:eastAsia="lt-LT"/>
                        </w:rPr>
                        <w:t>2</w:t>
                      </w:r>
                      <w:r>
                        <w:rPr>
                          <w:rFonts w:eastAsia="HG Mincho Light J"/>
                          <w:bCs/>
                          <w:color w:val="000000"/>
                          <w:szCs w:val="24"/>
                          <w:lang w:eastAsia="lt-LT"/>
                        </w:rPr>
                        <w:t xml:space="preserve"> Nuolaida taikoma Šiaulių miesto savivaldybėje įregistruotoms ir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 vykdomiems darbo dienomis nuo 17 val., savaitgaliais ir švenčių dienomis.</w:t>
                      </w:r>
                      <w:r>
                        <w:rPr>
                          <w:rFonts w:eastAsia="HG Mincho Light J"/>
                          <w:bCs/>
                          <w:szCs w:val="24"/>
                          <w:lang w:eastAsia="lt-LT"/>
                        </w:rPr>
                        <w:t>“</w:t>
                      </w:r>
                    </w:p>
                  </w:sdtContent>
                </w:sdt>
              </w:sdtContent>
            </w:sdt>
          </w:sdtContent>
        </w:sdt>
        <w:sdt>
          <w:sdtPr>
            <w:alias w:val="3 p."/>
            <w:tag w:val="part_903bb0b4c1d7449183143dd690c4c6b9"/>
            <w:lock w:val="sdtLocked"/>
            <w:richText/>
          </w:sdtPr>
          <w:sdtContent>
            <w:p w14:paraId="5DE0EDCC" w14:textId="31603638">
              <w:pPr>
                <w:widowControl w:val="0"/>
                <w:suppressAutoHyphens/>
                <w:ind w:firstLine="744"/>
                <w:jc w:val="both"/>
                <w:rPr>
                  <w:rFonts w:eastAsia="HG Mincho Light J"/>
                  <w:szCs w:val="24"/>
                  <w:lang w:eastAsia="lt-LT"/>
                </w:rPr>
              </w:pPr>
              <w:sdt>
                <w:sdtPr>
                  <w:alias w:val="Numeris"/>
                  <w:tag w:val="nr_903bb0b4c1d7449183143dd690c4c6b9"/>
                  <w:lock w:val="sdtLocked"/>
                  <w:richText/>
                </w:sdtPr>
                <w:sdtContent>
                  <w:r>
                    <w:rPr>
                      <w:rFonts w:eastAsia="HG Mincho Light J"/>
                      <w:bCs/>
                      <w:szCs w:val="24"/>
                      <w:lang w:eastAsia="lt-LT"/>
                    </w:rPr>
                    <w:t>3</w:t>
                  </w:r>
                </w:sdtContent>
              </w:sdt>
              <w:r>
                <w:rPr>
                  <w:rFonts w:eastAsia="HG Mincho Light J"/>
                  <w:bCs/>
                  <w:szCs w:val="24"/>
                  <w:lang w:eastAsia="lt-LT"/>
                </w:rPr>
                <w:t xml:space="preserve">. </w:t>
              </w:r>
              <w:r>
                <w:rPr>
                  <w:rFonts w:eastAsia="HG Mincho Light J"/>
                  <w:szCs w:val="24"/>
                  <w:lang w:eastAsia="lt-LT"/>
                </w:rPr>
                <w:t>Pakeisti 3 išnašą ir ją išdėstyti taip:</w:t>
              </w:r>
            </w:p>
            <w:sdt>
              <w:sdtPr>
                <w:alias w:val="citata"/>
                <w:tag w:val="part_b63eb703656740e6b5267ac9d73f1d69"/>
                <w:lock w:val="sdtLocked"/>
                <w:richText/>
              </w:sdtPr>
              <w:sdtContent>
                <w:sdt>
                  <w:sdtPr>
                    <w:alias w:val="pastraipa"/>
                    <w:tag w:val="part_0455a6b76c544150a524c2ea2552cc7f"/>
                    <w:lock w:val="sdtLocked"/>
                    <w:richText/>
                  </w:sdtPr>
                  <w:sdtContent>
                    <w:p w14:paraId="50E875E8" w14:textId="190F8660">
                      <w:pPr>
                        <w:widowControl w:val="0"/>
                        <w:suppressAutoHyphens/>
                        <w:ind w:firstLine="720"/>
                        <w:jc w:val="both"/>
                        <w:rPr>
                          <w:rFonts w:eastAsia="HG Mincho Light J"/>
                          <w:color w:val="000000"/>
                          <w:szCs w:val="24"/>
                          <w:lang w:eastAsia="lt-LT"/>
                        </w:rPr>
                      </w:pPr>
                      <w:r>
                        <w:rPr>
                          <w:rFonts w:eastAsia="HG Mincho Light J"/>
                          <w:bCs/>
                          <w:szCs w:val="24"/>
                          <w:lang w:eastAsia="lt-LT"/>
                        </w:rPr>
                        <w:t>„</w:t>
                      </w:r>
                      <w:r>
                        <w:rPr>
                          <w:bCs/>
                          <w:szCs w:val="24"/>
                          <w:vertAlign w:val="superscript"/>
                          <w:lang w:eastAsia="lt-LT"/>
                        </w:rPr>
                        <w:t>3</w:t>
                      </w:r>
                      <w:r>
                        <w:rPr>
                          <w:bCs/>
                          <w:color w:val="FF0000"/>
                          <w:szCs w:val="24"/>
                          <w:lang w:eastAsia="lt-LT"/>
                        </w:rPr>
                        <w:t xml:space="preserve"> </w:t>
                      </w:r>
                      <w:r>
                        <w:rPr>
                          <w:szCs w:val="24"/>
                          <w:lang w:eastAsia="lt-LT"/>
                        </w:rPr>
                        <w:t>Nuolaida taikoma Šiaulių miesto savivaldybėje įregistruotoms ir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w:t>
                      </w:r>
                    </w:p>
                    <w:p w14:paraId="4D6C7372" w14:textId="4FC7D02F">
                      <w:pPr>
                        <w:widowControl w:val="0"/>
                        <w:suppressAutoHyphens/>
                        <w:ind w:firstLine="851"/>
                        <w:jc w:val="both"/>
                        <w:rPr>
                          <w:rFonts w:eastAsia="HG Mincho Light J"/>
                          <w:color w:val="000000"/>
                          <w:szCs w:val="24"/>
                          <w:lang w:eastAsia="lt-LT"/>
                        </w:rPr>
                      </w:pPr>
                    </w:p>
                    <w:p w14:paraId="24A145DF" w14:textId="77777777">
                      <w:pPr>
                        <w:widowControl w:val="0"/>
                        <w:suppressAutoHyphens/>
                        <w:ind w:firstLine="851"/>
                        <w:jc w:val="both"/>
                        <w:rPr>
                          <w:rFonts w:eastAsia="HG Mincho Light J"/>
                          <w:color w:val="000000"/>
                          <w:szCs w:val="24"/>
                          <w:lang w:eastAsia="lt-LT"/>
                        </w:rPr>
                      </w:pPr>
                    </w:p>
                    <w:p w14:paraId="25A48961" w14:textId="77777777">
                      <w:pPr>
                        <w:widowControl w:val="0"/>
                        <w:suppressAutoHyphens/>
                        <w:ind w:firstLine="851"/>
                        <w:jc w:val="both"/>
                        <w:rPr>
                          <w:rFonts w:eastAsia="HG Mincho Light J"/>
                          <w:color w:val="000000"/>
                          <w:szCs w:val="24"/>
                          <w:lang w:eastAsia="lt-LT"/>
                        </w:rPr>
                      </w:pPr>
                    </w:p>
                    <w:p w14:paraId="25D14594" w14:textId="77777777">
                      <w:pPr>
                        <w:widowControl w:val="0"/>
                        <w:suppressAutoHyphens/>
                        <w:ind w:firstLine="851"/>
                        <w:jc w:val="both"/>
                        <w:rPr>
                          <w:rFonts w:eastAsia="HG Mincho Light J"/>
                          <w:color w:val="000000"/>
                          <w:szCs w:val="24"/>
                          <w:lang w:eastAsia="lt-LT"/>
                        </w:rPr>
                      </w:pPr>
                    </w:p>
                  </w:sdtContent>
                </w:sdt>
              </w:sdtContent>
            </w:sdt>
          </w:sdtContent>
        </w:sdt>
        <w:sdt>
          <w:sdtPr>
            <w:alias w:val="signatura"/>
            <w:tag w:val="part_2ba59d5ca6b34269b5b216dc3f4c1fdf"/>
            <w:lock w:val="sdtLocked"/>
            <w:richText/>
          </w:sdtPr>
          <w:sdtContent>
            <w:p w14:paraId="521732CC" w14:textId="3663295A">
              <w:pPr>
                <w:widowControl w:val="0"/>
                <w:suppressAutoHyphens/>
                <w:jc w:val="both"/>
                <w:rPr>
                  <w:rFonts w:ascii="Thorndale;Times New Roman" w:eastAsia="HG Mincho Light J" w:hAnsi="Thorndale;Times New Roman"/>
                  <w:color w:val="000000"/>
                  <w:szCs w:val="24"/>
                  <w:lang w:eastAsia="lt-LT"/>
                </w:rPr>
              </w:pPr>
              <w:r>
                <w:rPr>
                  <w:rFonts w:ascii="Thorndale;Times New Roman" w:eastAsia="HG Mincho Light J" w:hAnsi="Thorndale;Times New Roman"/>
                  <w:color w:val="000000"/>
                  <w:szCs w:val="24"/>
                  <w:lang w:eastAsia="lt-LT"/>
                </w:rPr>
                <w:t>Savivaldybės meras</w:t>
                <w:tab/>
                <w:tab/>
                <w:tab/>
                <w:t xml:space="preserve">                                              </w:t>
              </w:r>
            </w:p>
            <w:p w14:paraId="50441601" w14:textId="74B9AA62">
              <w:pPr>
                <w:widowControl w:val="0"/>
                <w:suppressAutoHyphens/>
                <w:ind w:firstLine="851"/>
                <w:jc w:val="both"/>
                <w:rPr>
                  <w:rFonts w:eastAsia="HG Mincho Light J"/>
                  <w:color w:val="00B0F0"/>
                  <w:szCs w:val="24"/>
                  <w:lang w:eastAsia="lt-LT"/>
                </w:rPr>
              </w:pPr>
            </w:p>
            <w:p w14:paraId="11193BB6" w14:textId="77777777">
              <w:pPr>
                <w:widowControl w:val="0"/>
                <w:suppressAutoHyphens/>
                <w:ind w:firstLine="720"/>
                <w:jc w:val="both"/>
                <w:rPr>
                  <w:rFonts w:eastAsia="HG Mincho Light J"/>
                  <w:color w:val="000000"/>
                  <w:szCs w:val="24"/>
                  <w:lang w:eastAsia="lt-LT"/>
                </w:rPr>
              </w:pPr>
            </w:p>
            <w:p w14:paraId="163E7147" w14:textId="7341E2C1">
              <w:pPr>
                <w:widowControl w:val="0"/>
                <w:suppressAutoHyphens/>
                <w:rPr>
                  <w:rFonts w:eastAsia="HG Mincho Light J"/>
                  <w:color w:val="000000"/>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232" w:right="567" w:bottom="1134" w:left="1701" w:header="1134" w:footer="1134"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F2CAF8" w14:textId="77777777">
      <w:pPr>
        <w:widowControl w:val="0"/>
        <w:suppressAutoHyphens/>
        <w:rPr>
          <w:rFonts w:ascii="Thorndale;Times New Roman" w:eastAsia="HG Mincho Light J" w:hAnsi="Thorndale;Times New Roman"/>
          <w:color w:val="000000"/>
          <w:szCs w:val="24"/>
          <w:lang w:eastAsia="lt-LT"/>
        </w:rPr>
      </w:pPr>
      <w:r>
        <w:rPr>
          <w:rFonts w:ascii="Thorndale;Times New Roman" w:eastAsia="HG Mincho Light J" w:hAnsi="Thorndale;Times New Roman"/>
          <w:color w:val="000000"/>
          <w:szCs w:val="24"/>
          <w:lang w:eastAsia="lt-LT"/>
        </w:rPr>
        <w:separator/>
      </w:r>
    </w:p>
  </w:endnote>
  <w:endnote w:type="continuationSeparator" w:id="0">
    <w:p w14:paraId="26383C91" w14:textId="77777777">
      <w:pPr>
        <w:widowControl w:val="0"/>
        <w:suppressAutoHyphens/>
        <w:rPr>
          <w:rFonts w:ascii="Thorndale;Times New Roman" w:eastAsia="HG Mincho Light J" w:hAnsi="Thorndale;Times New Roman"/>
          <w:color w:val="000000"/>
          <w:szCs w:val="24"/>
          <w:lang w:eastAsia="lt-LT"/>
        </w:rPr>
      </w:pPr>
      <w:r>
        <w:rPr>
          <w:rFonts w:ascii="Thorndale;Times New Roman" w:eastAsia="HG Mincho Light J" w:hAnsi="Thorndale;Times New Roman"/>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Times New Roman">
    <w:altName w:val="Times New Roman"/>
    <w:panose1 w:val="00000000000000000000"/>
    <w:charset w:val="00"/>
    <w:family w:val="roman"/>
    <w:notTrueType/>
    <w:pitch w:val="default"/>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F9820"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3E7154"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8F0D4"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B627F2" w14:textId="77777777">
      <w:pPr>
        <w:widowControl w:val="0"/>
        <w:suppressAutoHyphens/>
        <w:rPr>
          <w:rFonts w:ascii="Thorndale;Times New Roman" w:eastAsia="HG Mincho Light J" w:hAnsi="Thorndale;Times New Roman"/>
          <w:color w:val="000000"/>
          <w:szCs w:val="24"/>
          <w:lang w:eastAsia="lt-LT"/>
        </w:rPr>
      </w:pPr>
      <w:r>
        <w:rPr>
          <w:rFonts w:ascii="Thorndale;Times New Roman" w:eastAsia="HG Mincho Light J" w:hAnsi="Thorndale;Times New Roman"/>
          <w:color w:val="000000"/>
          <w:szCs w:val="24"/>
          <w:lang w:eastAsia="lt-LT"/>
        </w:rPr>
        <w:separator/>
      </w:r>
    </w:p>
  </w:footnote>
  <w:footnote w:type="continuationSeparator" w:id="0">
    <w:p w14:paraId="3988E9FB" w14:textId="77777777">
      <w:pPr>
        <w:widowControl w:val="0"/>
        <w:suppressAutoHyphens/>
        <w:rPr>
          <w:rFonts w:ascii="Thorndale;Times New Roman" w:eastAsia="HG Mincho Light J" w:hAnsi="Thorndale;Times New Roman"/>
          <w:color w:val="000000"/>
          <w:szCs w:val="24"/>
          <w:lang w:eastAsia="lt-LT"/>
        </w:rPr>
      </w:pPr>
      <w:r>
        <w:rPr>
          <w:rFonts w:ascii="Thorndale;Times New Roman" w:eastAsia="HG Mincho Light J" w:hAnsi="Thorndale;Times New Roman"/>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691FC"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8F147B" w14:textId="55A0CCC3">
    <w:pPr>
      <w:widowControl w:val="0"/>
      <w:tabs>
        <w:tab w:val="center" w:pos="4986"/>
        <w:tab w:val="right" w:pos="9972"/>
      </w:tabs>
      <w:suppressAutoHyphens/>
      <w:rPr>
        <w:rFonts w:eastAsia="HG Mincho Light J"/>
        <w:b/>
        <w:color w:val="000000"/>
        <w:szCs w:val="24"/>
        <w:lang w:eastAsia="lt-LT"/>
      </w:rPr>
    </w:pPr>
    <w:r>
      <w:rPr>
        <w:rFonts w:eastAsia="HG Mincho Light J"/>
        <w:b/>
        <w:color w:val="000000"/>
        <w:szCs w:val="24"/>
        <w:lang w:eastAsia="lt-LT"/>
      </w:rPr>
      <w:tab/>
      <w:tab/>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4D1CDD" w14:textId="237EB089">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94B"/>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3E7138"/>
  <w15:docId w15:val="{883EC7F6-7B1D-4C31-B472-360757BE39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752567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3eab68443034da2930d165e076b6a28" PartId="535ad15de3c54ecfbdead63a74fca73c">
    <Part Type="preambule" DocPartId="75177784c521441baaea4e860d5c8215" PartId="72250a32ef054b989155fc489d162f5d"/>
    <Part Type="pastraipa" DocPartId="7f540a316aa04299883b272365c4c6b5" PartId="98e8280bce10401083834b57e3ec221f"/>
    <Part Type="punktas" Nr="1" Abbr="1 p." DocPartId="8b12e7287dc045279f467250c83ff09f" PartId="fb40723efc6d4c7390ede41c23930c13">
      <Part Type="citata" DocPartId="1c47392c45e845cfab1d67c7cbec3dd0" PartId="48b13be1fa194772a3490a7b932295fa">
        <Part Type="pastraipa" DocPartId="63db258afa4645cd9ad7b06cae73927e" PartId="729dfff51c644c83ac321148737b0777"/>
      </Part>
    </Part>
    <Part Type="punktas" Nr="2" Abbr="2 p." DocPartId="fe529d1cc9a6444cb8f012d48fbba047" PartId="53611b75d77a4ee0b55ff0a5c673914d">
      <Part Type="citata" DocPartId="d164864f4e6e4ee4bb56378a0c23186e" PartId="4c9e459c75c7494082d80c1655436a1b">
        <Part Type="pastraipa" DocPartId="01815d7bb64a43039381ff4a20ca7f39" PartId="6c40daf845ee47b29f5becc4053580f3"/>
      </Part>
    </Part>
    <Part Type="punktas" Nr="3" Abbr="3 p." DocPartId="1f465f934354483c8afc4d82f0809eac" PartId="903bb0b4c1d7449183143dd690c4c6b9">
      <Part Type="citata" DocPartId="35d3ec44c0de42cdaf53286abbea34d7" PartId="b63eb703656740e6b5267ac9d73f1d69">
        <Part Type="pastraipa" DocPartId="4ddd6e6fc68c4c1b93ee960af9ad21f4" PartId="0455a6b76c544150a524c2ea2552cc7f"/>
      </Part>
    </Part>
    <Part Type="signatura" DocPartId="2fa35a1ecbf04b22898dcff99c0a1a36" PartId="2ba59d5ca6b34269b5b216dc3f4c1fdf"/>
  </Part>
</Parts>
</file>

<file path=customXml/itemProps1.xml><?xml version="1.0" encoding="utf-8"?>
<ds:datastoreItem xmlns:ds="http://schemas.openxmlformats.org/officeDocument/2006/customXml" ds:itemID="{9057880C-2CBB-4B95-AB90-58A437923CB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319</Words>
  <Characters>2473</Characters>
  <Application>Microsoft Office Word</Application>
  <DocSecurity>4</DocSecurity>
  <Lines>52</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2025-03-04T10:09:00Z</dcterms:created>
  <dc:creator>Violeta Valančienė</dc:creator>
  <dc:language>lt-LT</dc:language>
  <lastModifiedBy>adlibuser</lastModifiedBy>
  <lastPrinted>1995-11-21T17:41:00Z</lastPrinted>
  <dcterms:modified xsi:type="dcterms:W3CDTF">2025-03-04T10:09:00Z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