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sdt>
      <w:sdtPr>
        <w:alias w:val="pagrindine"/>
        <w:tag w:val="part_d91dc832d6484059abcb2e25160c9444"/>
        <w:lock w:val="sdtLocked"/>
        <w:richText/>
      </w:sdtPr>
      <w:sdtContent>
        <w:p>
          <w:pPr>
            <w:tabs>
              <w:tab w:val="center" w:pos="4819"/>
            </w:tabs>
            <w:jc w:val="right"/>
            <w:rPr>
              <w:b/>
              <w:bCs/>
              <w:szCs w:val="24"/>
            </w:rPr>
          </w:pPr>
          <w:r>
            <w:rPr>
              <w:b/>
              <w:bCs/>
              <w:szCs w:val="24"/>
            </w:rPr>
            <w:t>Projektas</w:t>
          </w:r>
        </w:p>
        <w:p>
          <w:pPr>
            <w:keepNext/>
            <w:jc w:val="center"/>
            <w:outlineLvl w:val="1"/>
            <w:rPr>
              <w:b/>
              <w:szCs w:val="22"/>
            </w:rPr>
          </w:pPr>
        </w:p>
        <w:p>
          <w:pPr>
            <w:rPr>
              <w:szCs w:val="24"/>
            </w:rPr>
          </w:pPr>
        </w:p>
        <w:p>
          <w:pPr>
            <w:keepNext/>
            <w:jc w:val="center"/>
            <w:outlineLvl w:val="1"/>
            <w:rPr>
              <w:b/>
              <w:szCs w:val="22"/>
            </w:rPr>
          </w:pPr>
          <w:r>
            <w:rPr>
              <w:b/>
              <w:szCs w:val="22"/>
            </w:rPr>
            <w:t>RADVILIŠKIO RAJONO SAVIVALDYBĖS TARYBA</w:t>
          </w:r>
        </w:p>
        <w:p>
          <w:pPr>
            <w:rPr>
              <w:szCs w:val="22"/>
            </w:rPr>
          </w:pPr>
        </w:p>
        <w:p>
          <w:pPr>
            <w:widowControl w:val="0"/>
            <w:suppressAutoHyphens/>
            <w:jc w:val="center"/>
            <w:rPr>
              <w:b/>
              <w:bCs/>
              <w:szCs w:val="24"/>
              <w:lang w:eastAsia="ar-SA"/>
            </w:rPr>
          </w:pPr>
          <w:r>
            <w:rPr>
              <w:b/>
              <w:bCs/>
              <w:szCs w:val="24"/>
              <w:lang w:eastAsia="ar-SA"/>
            </w:rPr>
            <w:t>SPRENDIMAS</w:t>
          </w:r>
        </w:p>
        <w:p>
          <w:pPr>
            <w:widowControl w:val="0"/>
            <w:suppressAutoHyphens/>
            <w:jc w:val="center"/>
            <w:rPr>
              <w:b/>
              <w:bCs/>
              <w:szCs w:val="24"/>
              <w:shd w:val="clear" w:color="auto" w:fill="FFFFFF"/>
              <w:lang w:eastAsia="ar-SA"/>
            </w:rPr>
          </w:pPr>
          <w:r>
            <w:rPr>
              <w:b/>
              <w:bCs/>
              <w:szCs w:val="24"/>
              <w:shd w:val="clear" w:color="auto" w:fill="FFFFFF"/>
              <w:lang w:eastAsia="ar-SA"/>
            </w:rPr>
            <w:t>DĖL RADVILIŠKIO RAJONO SAVIVALDYBĖS TARYBOS 2024 M. BALANDŽIO 11 D. SPRENDIMO T-320 „DĖL BŪSTO NUOMOS AR IŠPERKAMOSIOS BŪSTO NUOMOS MOKESČIŲ DALIES KOMPENSACIJOS MOKĖJIMO IR NETEISĖTAI GAUTOS KOMPENSACIJOS GRĄŽINIMO TVARKOS APRAŠO PATVIRTINIMO“ PAKEITIMO</w:t>
          </w:r>
        </w:p>
        <w:p>
          <w:pPr>
            <w:widowControl w:val="0"/>
            <w:suppressAutoHyphens/>
            <w:jc w:val="center"/>
            <w:rPr>
              <w:szCs w:val="24"/>
              <w:lang w:eastAsia="ar-SA"/>
            </w:rPr>
          </w:pPr>
        </w:p>
        <w:p>
          <w:pPr>
            <w:widowControl w:val="0"/>
            <w:suppressAutoHyphens/>
            <w:ind w:firstLine="60"/>
            <w:jc w:val="center"/>
            <w:rPr>
              <w:szCs w:val="24"/>
              <w:lang w:eastAsia="ar-SA"/>
            </w:rPr>
          </w:pPr>
          <w:r>
            <w:rPr>
              <w:szCs w:val="24"/>
              <w:lang w:eastAsia="ar-SA"/>
            </w:rPr>
            <w:t xml:space="preserve">2024 m.                        d. Nr. T-</w:t>
          </w:r>
        </w:p>
        <w:p>
          <w:pPr>
            <w:widowControl w:val="0"/>
            <w:suppressAutoHyphens/>
            <w:jc w:val="center"/>
            <w:rPr>
              <w:szCs w:val="24"/>
              <w:lang w:eastAsia="ar-SA"/>
            </w:rPr>
          </w:pPr>
          <w:r>
            <w:rPr>
              <w:szCs w:val="24"/>
              <w:lang w:eastAsia="ar-SA"/>
            </w:rPr>
            <w:t>Radviliškis</w:t>
          </w:r>
        </w:p>
        <w:p>
          <w:pPr>
            <w:widowControl w:val="0"/>
            <w:suppressAutoHyphens/>
            <w:jc w:val="both"/>
            <w:rPr>
              <w:szCs w:val="24"/>
              <w:lang w:eastAsia="ar-SA"/>
            </w:rPr>
          </w:pPr>
        </w:p>
        <w:sdt>
          <w:sdtPr>
            <w:alias w:val="preambule"/>
            <w:tag w:val="part_80ec31f6c49e418bae394721e2913d75"/>
            <w:lock w:val="sdtLocked"/>
            <w:richText/>
          </w:sdtPr>
          <w:sdtContent>
            <w:p>
              <w:pPr>
                <w:widowControl w:val="0"/>
                <w:suppressAutoHyphens/>
                <w:ind w:firstLine="709"/>
                <w:jc w:val="both"/>
                <w:rPr>
                  <w:spacing w:val="50"/>
                  <w:szCs w:val="24"/>
                  <w:lang w:eastAsia="ar-SA"/>
                </w:rPr>
              </w:pPr>
              <w:r>
                <w:rPr>
                  <w:spacing w:val="-6"/>
                  <w:szCs w:val="24"/>
                  <w:lang w:eastAsia="ar-SA"/>
                </w:rPr>
                <w:t>Vadovaudamasi Lietuvos Respublikos vietos savivaldos įstatymo 16</w:t>
              </w:r>
              <w:r>
                <w:rPr>
                  <w:color w:val="000000"/>
                  <w:spacing w:val="-6"/>
                  <w:szCs w:val="24"/>
                  <w:lang w:eastAsia="ar-SA"/>
                </w:rPr>
                <w:t xml:space="preserve"> straipsnio 1 dalimi ir Lietuvos Respublikos paramos būstui įsigyti ar išsinuomoti įstatymo 4 straipsnio 4 ir 5 dalimis bei 17 straipsniu Radviliškio rajono savivaldybės taryba </w:t>
              </w:r>
              <w:r>
                <w:rPr>
                  <w:spacing w:val="50"/>
                  <w:szCs w:val="24"/>
                  <w:lang w:eastAsia="ar-SA"/>
                </w:rPr>
                <w:t>nusprendži</w:t>
              </w:r>
              <w:r>
                <w:rPr>
                  <w:szCs w:val="24"/>
                  <w:lang w:eastAsia="ar-SA"/>
                </w:rPr>
                <w:t>a:</w:t>
              </w:r>
            </w:p>
          </w:sdtContent>
        </w:sdt>
        <w:sdt>
          <w:sdtPr>
            <w:alias w:val="pastraipa"/>
            <w:tag w:val="part_1ad6259e113e4b3c98c3f90b9d1f018c"/>
            <w:lock w:val="sdtLocked"/>
            <w:richText/>
          </w:sdtPr>
          <w:sdtContent>
            <w:p>
              <w:pPr>
                <w:widowControl w:val="0"/>
                <w:suppressAutoHyphens/>
                <w:ind w:firstLine="709"/>
                <w:jc w:val="both"/>
                <w:rPr>
                  <w:spacing w:val="-6"/>
                  <w:szCs w:val="24"/>
                  <w:lang w:eastAsia="ar-SA"/>
                </w:rPr>
              </w:pPr>
              <w:r>
                <w:rPr>
                  <w:color w:val="000000"/>
                  <w:spacing w:val="-6"/>
                  <w:szCs w:val="24"/>
                  <w:lang w:eastAsia="ar-SA"/>
                </w:rPr>
                <w:t>Pakeisti Būsto nuomos ar išperkamosios būsto nuomos mokesčių dalies kompensacijos mokėjimo ir neteisėtai gautos kompensacijos grąžinimo tvarkos aprašo, patvirtinto Radviliškio rajono savivaldybės tarybos 2024 m. balandžio 11 d. sprendimu Nr. T-320 „Dėl būsto nuomos ar išperkamosios būsto nuomos mokesčių dalies kompensacijos mokėjimo ir neteisėtai gautos kompensacijos grąžinimo tvarkos aprašo patvirtinimo“:</w:t>
              </w:r>
            </w:p>
          </w:sdtContent>
        </w:sdt>
        <w:sdt>
          <w:sdtPr>
            <w:alias w:val="1 p."/>
            <w:tag w:val="part_6edcc0acc6ea4ad68223768154c496ca"/>
            <w:lock w:val="sdtLocked"/>
            <w:richText/>
          </w:sdtPr>
          <w:sdtContent>
            <w:p>
              <w:pPr>
                <w:widowControl w:val="0"/>
                <w:tabs>
                  <w:tab w:val="left" w:pos="993"/>
                </w:tabs>
                <w:suppressAutoHyphens/>
                <w:ind w:left="709"/>
                <w:jc w:val="both"/>
                <w:rPr>
                  <w:color w:val="000000"/>
                  <w:spacing w:val="-6"/>
                  <w:lang w:eastAsia="ar-SA"/>
                </w:rPr>
              </w:pPr>
              <w:sdt>
                <w:sdtPr>
                  <w:alias w:val="Numeris"/>
                  <w:tag w:val="nr_6edcc0acc6ea4ad68223768154c496ca"/>
                  <w:lock w:val="sdtLocked"/>
                  <w:richText/>
                </w:sdtPr>
                <w:sdtContent>
                  <w:r>
                    <w:rPr>
                      <w:color w:val="000000"/>
                      <w:spacing w:val="-6"/>
                      <w:lang w:eastAsia="ar-SA"/>
                    </w:rPr>
                    <w:t>1</w:t>
                  </w:r>
                </w:sdtContent>
              </w:sdt>
              <w:r>
                <w:rPr>
                  <w:color w:val="000000"/>
                  <w:spacing w:val="-6"/>
                  <w:lang w:eastAsia="ar-SA"/>
                </w:rPr>
                <w:t>. 5 punktą ir jį išdėstyti taip:</w:t>
              </w:r>
            </w:p>
            <w:sdt>
              <w:sdtPr>
                <w:alias w:val="citata"/>
                <w:tag w:val="part_bb1c6ea46f334f7894681c9cae4b7040"/>
                <w:lock w:val="sdtLocked"/>
                <w:richText/>
              </w:sdtPr>
              <w:sdtContent>
                <w:sdt>
                  <w:sdtPr>
                    <w:alias w:val="5 p."/>
                    <w:tag w:val="part_5389be757b6347cdbb0846bb38751658"/>
                    <w:lock w:val="sdtLocked"/>
                    <w:richText/>
                  </w:sdtPr>
                  <w:sdtContent>
                    <w:p>
                      <w:pPr>
                        <w:widowControl w:val="0"/>
                        <w:tabs>
                          <w:tab w:val="left" w:pos="993"/>
                        </w:tabs>
                        <w:suppressAutoHyphens/>
                        <w:ind w:firstLine="709"/>
                        <w:jc w:val="both"/>
                        <w:rPr>
                          <w:color w:val="000000"/>
                          <w:spacing w:val="-6"/>
                          <w:lang w:eastAsia="ar-SA"/>
                        </w:rPr>
                      </w:pPr>
                      <w:r>
                        <w:rPr>
                          <w:color w:val="000000"/>
                          <w:spacing w:val="-6"/>
                          <w:lang w:eastAsia="ar-SA"/>
                        </w:rPr>
                        <w:t>„</w:t>
                      </w:r>
                      <w:sdt>
                        <w:sdtPr>
                          <w:alias w:val="Numeris"/>
                          <w:tag w:val="nr_5389be757b6347cdbb0846bb38751658"/>
                          <w:lock w:val="sdtLocked"/>
                          <w:richText/>
                        </w:sdtPr>
                        <w:sdtContent>
                          <w:r>
                            <w:rPr>
                              <w:color w:val="000000"/>
                              <w:spacing w:val="-6"/>
                              <w:lang w:eastAsia="ar-SA"/>
                            </w:rPr>
                            <w:t>5</w:t>
                          </w:r>
                        </w:sdtContent>
                      </w:sdt>
                      <w:r>
                        <w:rPr>
                          <w:color w:val="000000"/>
                          <w:spacing w:val="-6"/>
                          <w:lang w:eastAsia="ar-SA"/>
                        </w:rPr>
                        <w:t>. Teisę į būsto nuomos mokesčio dalies kompensaciją turi asmenys ir šeimos, kurie atitinka įstatymo 10 straipsnyje nurodytus reikalavimus. Teisę į išperkamosios būsto nuomos mokesčio dalies kompensaciją turi asmenys ir šeimos, kurie atitinka Įstatymo 8 straipsnyje nurodytus reikalavimus.“</w:t>
                      </w:r>
                    </w:p>
                  </w:sdtContent>
                </w:sdt>
              </w:sdtContent>
            </w:sdt>
          </w:sdtContent>
        </w:sdt>
        <w:sdt>
          <w:sdtPr>
            <w:alias w:val="2 p."/>
            <w:tag w:val="part_2f82d64e9c314016b9e06fdf8573a078"/>
            <w:lock w:val="sdtLocked"/>
            <w:richText/>
          </w:sdtPr>
          <w:sdtContent>
            <w:p>
              <w:pPr>
                <w:widowControl w:val="0"/>
                <w:tabs>
                  <w:tab w:val="left" w:pos="993"/>
                </w:tabs>
                <w:suppressAutoHyphens/>
                <w:ind w:firstLine="709"/>
                <w:jc w:val="both"/>
                <w:rPr>
                  <w:color w:val="000000"/>
                  <w:spacing w:val="-6"/>
                  <w:lang w:eastAsia="ar-SA"/>
                </w:rPr>
              </w:pPr>
              <w:sdt>
                <w:sdtPr>
                  <w:alias w:val="Numeris"/>
                  <w:tag w:val="nr_2f82d64e9c314016b9e06fdf8573a078"/>
                  <w:lock w:val="sdtLocked"/>
                  <w:richText/>
                </w:sdtPr>
                <w:sdtContent>
                  <w:r>
                    <w:rPr>
                      <w:color w:val="000000"/>
                      <w:spacing w:val="-6"/>
                      <w:lang w:eastAsia="ar-SA"/>
                    </w:rPr>
                    <w:t>2</w:t>
                  </w:r>
                </w:sdtContent>
              </w:sdt>
              <w:r>
                <w:rPr>
                  <w:color w:val="000000"/>
                  <w:spacing w:val="-6"/>
                  <w:lang w:eastAsia="ar-SA"/>
                </w:rPr>
                <w:t>. 13 punktą ir jį išdėstyti taip:</w:t>
              </w:r>
            </w:p>
            <w:sdt>
              <w:sdtPr>
                <w:alias w:val="citata"/>
                <w:tag w:val="part_8741ca54ba384736a6a3ebd81e8730fa"/>
                <w:lock w:val="sdtLocked"/>
                <w:richText/>
              </w:sdtPr>
              <w:sdtContent>
                <w:sdt>
                  <w:sdtPr>
                    <w:alias w:val="13 p."/>
                    <w:tag w:val="part_f7740becd4eb499388921711ffc4f76b"/>
                    <w:lock w:val="sdtLocked"/>
                    <w:richText/>
                  </w:sdtPr>
                  <w:sdtContent>
                    <w:p>
                      <w:pPr>
                        <w:widowControl w:val="0"/>
                        <w:tabs>
                          <w:tab w:val="left" w:pos="993"/>
                        </w:tabs>
                        <w:suppressAutoHyphens/>
                        <w:ind w:firstLine="709"/>
                        <w:jc w:val="both"/>
                        <w:rPr>
                          <w:color w:val="000000"/>
                          <w:spacing w:val="-6"/>
                          <w:szCs w:val="24"/>
                          <w:lang w:eastAsia="ar-SA"/>
                        </w:rPr>
                      </w:pPr>
                      <w:r>
                        <w:rPr>
                          <w:color w:val="000000"/>
                          <w:spacing w:val="-6"/>
                          <w:szCs w:val="24"/>
                          <w:lang w:eastAsia="ar-SA"/>
                        </w:rPr>
                        <w:t>„</w:t>
                      </w:r>
                      <w:sdt>
                        <w:sdtPr>
                          <w:alias w:val="Numeris"/>
                          <w:tag w:val="nr_f7740becd4eb499388921711ffc4f76b"/>
                          <w:lock w:val="sdtLocked"/>
                          <w:richText/>
                        </w:sdtPr>
                        <w:sdtContent>
                          <w:r>
                            <w:rPr>
                              <w:color w:val="000000"/>
                              <w:spacing w:val="-6"/>
                              <w:szCs w:val="24"/>
                              <w:lang w:eastAsia="ar-SA"/>
                            </w:rPr>
                            <w:t>13</w:t>
                          </w:r>
                        </w:sdtContent>
                      </w:sdt>
                      <w:r>
                        <w:rPr>
                          <w:color w:val="000000"/>
                          <w:spacing w:val="-6"/>
                          <w:szCs w:val="24"/>
                          <w:lang w:eastAsia="ar-SA"/>
                        </w:rPr>
                        <w:t>. Administracija sprendimą dėl būsto nuomos ar išperkamosios būsto nuomos mokesčio dalies kompensacijos mokėjimo priima ne vėliau kaip per 30 kalendorinių dienų nuo asmens ar šeimos kreipimosi dėl būsto nuomos ar išperkamosios būsto nuomos mokesčio dalies kompensacijos. Būsto nuomos ar išperkamosios būsto nuomos mokesčio dalies kompensacijos mokamos už laikotarpį nuo būsto nuomos ar išperkamosios būsto nuomos sutarties sudarymo dienos, jeigu administracija priėmė sprendimą mokėti būsto nuomos ar išperkamosios būsto nuomos mokesčio dalies kompensaciją, bet ne ankščiau kaip nuo asmenes ar šeimos kreipimosi dėl būsto nuomos ar išperkamosios būsto nuomos mokesčio dalies kompensacijos. Kai asmuo ar šeima nuomojasi tą patį būstą ir kreipiasi dėl būsto nuomos ar išperkamosios būsto nuomos mokesčio dalies kompensacijos mokėjimo pratęsimo, būsto nuomos ar išperkamosios būsto nuomos mokesčio dalies kompensacija mokama nuo teisės į būsto nuomos ar išperkamosios būsto nuomos mokesčio dalies kompensaciją nustatymo dienos ir kompensuojama už laikotarpį nuo einamųjų metų sausio 1 d. iki šios teisės nustatymo dienos.“</w:t>
                      </w:r>
                    </w:p>
                    <w:p>
                      <w:pPr>
                        <w:ind w:firstLine="558"/>
                        <w:jc w:val="both"/>
                        <w:rPr>
                          <w:szCs w:val="24"/>
                        </w:rPr>
                      </w:pPr>
                    </w:p>
                    <w:p>
                      <w:pPr>
                        <w:ind w:firstLine="720"/>
                        <w:jc w:val="both"/>
                        <w:rPr>
                          <w:szCs w:val="22"/>
                        </w:rPr>
                      </w:pPr>
                    </w:p>
                    <w:p>
                      <w:pPr>
                        <w:ind w:firstLine="720"/>
                        <w:jc w:val="both"/>
                        <w:rPr>
                          <w:szCs w:val="22"/>
                        </w:rPr>
                      </w:pPr>
                    </w:p>
                  </w:sdtContent>
                </w:sdt>
              </w:sdtContent>
            </w:sdt>
            <w:sdt>
              <w:sdtPr>
                <w:alias w:val="pastraipa"/>
                <w:tag w:val="part_67af5a177ded4fbeaa5072d87ac3f914"/>
                <w:lock w:val="sdtLocked"/>
                <w:richText/>
              </w:sdtPr>
              <w:sdtContent>
                <w:p>
                  <w:pPr>
                    <w:tabs>
                      <w:tab w:val="left" w:pos="7560"/>
                    </w:tabs>
                    <w:jc w:val="both"/>
                    <w:rPr>
                      <w:szCs w:val="22"/>
                    </w:rPr>
                  </w:pPr>
                  <w:r>
                    <w:rPr>
                      <w:szCs w:val="22"/>
                    </w:rPr>
                    <w:t xml:space="preserve">Savivaldybės meras </w:t>
                  </w:r>
                </w:p>
                <w:p>
                  <w:pPr>
                    <w:tabs>
                      <w:tab w:val="left" w:pos="7560"/>
                    </w:tabs>
                    <w:jc w:val="both"/>
                    <w:rPr>
                      <w:szCs w:val="22"/>
                    </w:rPr>
                  </w:pPr>
                </w:p>
                <w:p>
                  <w:pPr>
                    <w:tabs>
                      <w:tab w:val="left" w:pos="7560"/>
                    </w:tabs>
                    <w:jc w:val="both"/>
                    <w:rPr>
                      <w:szCs w:val="22"/>
                    </w:rPr>
                  </w:pPr>
                </w:p>
                <w:p>
                  <w:pPr>
                    <w:tabs>
                      <w:tab w:val="left" w:pos="7560"/>
                    </w:tabs>
                    <w:jc w:val="both"/>
                    <w:rPr>
                      <w:szCs w:val="22"/>
                    </w:rPr>
                  </w:pPr>
                </w:p>
                <w:p>
                  <w:pPr>
                    <w:tabs>
                      <w:tab w:val="left" w:pos="7560"/>
                    </w:tabs>
                    <w:jc w:val="both"/>
                    <w:rPr>
                      <w:szCs w:val="22"/>
                    </w:rPr>
                  </w:pPr>
                </w:p>
                <w:p>
                  <w:pPr>
                    <w:tabs>
                      <w:tab w:val="left" w:pos="7560"/>
                    </w:tabs>
                    <w:jc w:val="both"/>
                    <w:rPr>
                      <w:szCs w:val="22"/>
                    </w:rPr>
                  </w:pPr>
                </w:p>
                <w:p>
                  <w:pPr>
                    <w:tabs>
                      <w:tab w:val="left" w:pos="7560"/>
                    </w:tabs>
                    <w:jc w:val="both"/>
                    <w:rPr>
                      <w:szCs w:val="22"/>
                    </w:rPr>
                  </w:pPr>
                </w:p>
                <w:p>
                  <w:pPr>
                    <w:tabs>
                      <w:tab w:val="left" w:pos="7560"/>
                    </w:tabs>
                    <w:jc w:val="both"/>
                    <w:rPr>
                      <w:szCs w:val="22"/>
                    </w:rPr>
                  </w:pPr>
                </w:p>
                <w:p>
                  <w:pPr>
                    <w:tabs>
                      <w:tab w:val="left" w:pos="7560"/>
                    </w:tabs>
                    <w:jc w:val="both"/>
                    <w:rPr>
                      <w:szCs w:val="22"/>
                    </w:rPr>
                  </w:pPr>
                </w:p>
                <w:p>
                  <w:pPr>
                    <w:tabs>
                      <w:tab w:val="left" w:pos="7560"/>
                    </w:tabs>
                    <w:jc w:val="both"/>
                    <w:rPr>
                      <w:szCs w:val="22"/>
                    </w:rPr>
                  </w:pPr>
                </w:p>
                <w:p>
                  <w:pPr>
                    <w:tabs>
                      <w:tab w:val="left" w:pos="7560"/>
                    </w:tabs>
                    <w:jc w:val="both"/>
                    <w:rPr>
                      <w:szCs w:val="22"/>
                    </w:rPr>
                  </w:pPr>
                </w:p>
                <w:p>
                  <w:pPr>
                    <w:tabs>
                      <w:tab w:val="left" w:pos="7560"/>
                    </w:tabs>
                    <w:jc w:val="both"/>
                    <w:rPr>
                      <w:szCs w:val="22"/>
                    </w:rPr>
                  </w:pPr>
                </w:p>
              </w:sdtContent>
            </w:sdt>
          </w:sdtContent>
        </w:sdt>
        <w:sdt>
          <w:sdtPr>
            <w:alias w:val="skirsnis"/>
            <w:tag w:val="part_3e6408e9260f447fbb158c9add290384"/>
            <w:lock w:val="sdtLocked"/>
            <w:richText/>
          </w:sdtPr>
          <w:sdtContent>
            <w:p>
              <w:pPr>
                <w:ind w:firstLine="856"/>
                <w:jc w:val="center"/>
                <w:rPr>
                  <w:b/>
                  <w:bCs/>
                  <w:szCs w:val="24"/>
                  <w:lang w:eastAsia="lt-LT"/>
                </w:rPr>
              </w:pPr>
              <w:sdt>
                <w:sdtPr>
                  <w:alias w:val="Pavadinimas"/>
                  <w:tag w:val="title_3e6408e9260f447fbb158c9add290384"/>
                  <w:lock w:val="sdtLocked"/>
                  <w:richText/>
                </w:sdtPr>
                <w:sdtContent>
                  <w:r>
                    <w:rPr>
                      <w:b/>
                      <w:bCs/>
                      <w:szCs w:val="24"/>
                      <w:lang w:eastAsia="lt-LT"/>
                    </w:rPr>
                    <w:t>SPRENDIMO „</w:t>
                  </w:r>
                  <w:r>
                    <w:rPr>
                      <w:b/>
                      <w:bCs/>
                      <w:szCs w:val="24"/>
                      <w:shd w:val="clear" w:color="auto" w:fill="FFFFFF"/>
                      <w:lang w:eastAsia="ar-SA"/>
                    </w:rPr>
                    <w:t xml:space="preserve">DĖL RADVILIŠKIO RAJONO SAVIVALDYBĖS TARYBOS 2024 M. BALANDŽIO 11 D. SPRENDIMO T-320 „DĖL BŪSTO NUOMOS AR IŠPERKAMOSIOS BŪSTO NUOMOS MOKESČIŲ DALIES KOMPENSACIJOS MOKĖJIMO IR NETEISĖTAI GAUTOS KOMPENSACIJOS GRĄŽINIMO TVARKOS APRAŠO PATVIRTINIMO“ PAKEITIMO“ </w:t>
                  </w:r>
                  <w:r>
                    <w:rPr>
                      <w:b/>
                      <w:bCs/>
                      <w:szCs w:val="24"/>
                      <w:lang w:eastAsia="lt-LT"/>
                    </w:rPr>
                    <w:t>PROJEKTO</w:t>
                  </w:r>
                </w:sdtContent>
              </w:sdt>
            </w:p>
            <w:p>
              <w:pPr>
                <w:widowControl w:val="0"/>
                <w:suppressAutoHyphens/>
                <w:jc w:val="center"/>
                <w:rPr>
                  <w:b/>
                  <w:bCs/>
                  <w:szCs w:val="24"/>
                  <w:shd w:val="clear" w:color="auto" w:fill="FFFFFF"/>
                  <w:lang w:eastAsia="ar-SA"/>
                </w:rPr>
              </w:pPr>
            </w:p>
          </w:sdtContent>
        </w:sdt>
        <w:sdt>
          <w:sdtPr>
            <w:alias w:val="skirsnis"/>
            <w:tag w:val="part_3b6ae2629a344d60b89a490042f3c8d4"/>
            <w:lock w:val="sdtLocked"/>
            <w:richText/>
          </w:sdtPr>
          <w:sdtContent>
            <w:p>
              <w:pPr>
                <w:ind w:firstLine="856"/>
                <w:jc w:val="center"/>
                <w:rPr>
                  <w:b/>
                  <w:bCs/>
                  <w:szCs w:val="24"/>
                  <w:lang w:eastAsia="lt-LT"/>
                </w:rPr>
              </w:pPr>
              <w:sdt>
                <w:sdtPr>
                  <w:alias w:val="Pavadinimas"/>
                  <w:tag w:val="title_3b6ae2629a344d60b89a490042f3c8d4"/>
                  <w:lock w:val="sdtLocked"/>
                  <w:richText/>
                </w:sdtPr>
                <w:sdtContent>
                  <w:r>
                    <w:rPr>
                      <w:b/>
                      <w:bCs/>
                      <w:szCs w:val="24"/>
                      <w:lang w:eastAsia="lt-LT"/>
                    </w:rPr>
                    <w:t>AIŠKINAMASIS RAŠTAS</w:t>
                  </w:r>
                </w:sdtContent>
              </w:sdt>
            </w:p>
            <w:p>
              <w:pPr>
                <w:ind w:firstLine="856"/>
                <w:jc w:val="center"/>
                <w:rPr>
                  <w:b/>
                  <w:bCs/>
                  <w:szCs w:val="24"/>
                  <w:lang w:eastAsia="lt-LT"/>
                </w:rPr>
              </w:pPr>
            </w:p>
            <w:p>
              <w:pPr>
                <w:ind w:firstLine="856"/>
                <w:jc w:val="center"/>
                <w:rPr>
                  <w:bCs/>
                  <w:szCs w:val="24"/>
                  <w:lang w:eastAsia="lt-LT"/>
                </w:rPr>
              </w:pPr>
              <w:r>
                <w:rPr>
                  <w:bCs/>
                  <w:szCs w:val="24"/>
                  <w:lang w:eastAsia="lt-LT"/>
                </w:rPr>
                <w:t>2024 m. gruodžio 19 d.</w:t>
              </w:r>
            </w:p>
            <w:p>
              <w:pPr>
                <w:ind w:firstLine="856"/>
                <w:jc w:val="center"/>
                <w:rPr>
                  <w:bCs/>
                  <w:szCs w:val="24"/>
                  <w:lang w:eastAsia="lt-LT"/>
                </w:rPr>
              </w:pPr>
              <w:r>
                <w:rPr>
                  <w:bCs/>
                  <w:szCs w:val="24"/>
                  <w:lang w:eastAsia="lt-LT"/>
                </w:rPr>
                <w:t xml:space="preserve">Radviliškis </w:t>
              </w:r>
            </w:p>
            <w:p>
              <w:pPr>
                <w:ind w:firstLine="856"/>
                <w:rPr>
                  <w:b/>
                  <w:bCs/>
                  <w:szCs w:val="24"/>
                  <w:lang w:eastAsia="lt-LT"/>
                </w:rPr>
              </w:pPr>
            </w:p>
            <w:sdt>
              <w:sdtPr>
                <w:alias w:val="1 p."/>
                <w:tag w:val="part_eb9c9fba288a429c9b689d70162a0951"/>
                <w:lock w:val="sdtLocked"/>
                <w:richText/>
              </w:sdtPr>
              <w:sdtContent>
                <w:p>
                  <w:pPr>
                    <w:tabs>
                      <w:tab w:val="left" w:pos="1276"/>
                    </w:tabs>
                    <w:ind w:firstLine="851"/>
                    <w:rPr>
                      <w:b/>
                      <w:bCs/>
                      <w:color w:val="000000"/>
                      <w:szCs w:val="24"/>
                      <w:shd w:val="clear" w:color="auto" w:fill="FFFFFF"/>
                      <w:lang w:eastAsia="lt-LT"/>
                    </w:rPr>
                  </w:pPr>
                  <w:sdt>
                    <w:sdtPr>
                      <w:alias w:val="Numeris"/>
                      <w:tag w:val="nr_eb9c9fba288a429c9b689d70162a0951"/>
                      <w:lock w:val="sdtLocked"/>
                      <w:richText/>
                    </w:sdtPr>
                    <w:sdtContent>
                      <w:r>
                        <w:rPr>
                          <w:b/>
                          <w:bCs/>
                          <w:lang w:eastAsia="lt-LT"/>
                        </w:rPr>
                        <w:t>1</w:t>
                      </w:r>
                    </w:sdtContent>
                  </w:sdt>
                  <w:r>
                    <w:rPr>
                      <w:b/>
                      <w:bCs/>
                      <w:lang w:eastAsia="lt-LT"/>
                    </w:rPr>
                    <w:t>.</w:t>
                    <w:tab/>
                  </w:r>
                  <w:r>
                    <w:rPr>
                      <w:b/>
                      <w:bCs/>
                      <w:szCs w:val="24"/>
                      <w:lang w:eastAsia="lt-LT"/>
                    </w:rPr>
                    <w:t xml:space="preserve">Parengto rengimą paskatinusios priežastys, parengto projekto tikslai, sprendimo projekto tikslai ir uždaviniai. </w:t>
                  </w:r>
                </w:p>
                <w:p>
                  <w:pPr>
                    <w:tabs>
                      <w:tab w:val="left" w:pos="1276"/>
                    </w:tabs>
                    <w:ind w:firstLine="851"/>
                    <w:jc w:val="both"/>
                    <w:rPr>
                      <w:color w:val="000000"/>
                      <w:lang w:eastAsia="ar-SA"/>
                    </w:rPr>
                  </w:pPr>
                  <w:r>
                    <w:rPr>
                      <w:lang w:eastAsia="lt-LT"/>
                    </w:rPr>
                    <w:t xml:space="preserve">Šio sprendimo projekto tikslas pakoreguoti Aprašo </w:t>
                  </w:r>
                  <w:r>
                    <w:rPr>
                      <w:color w:val="000000"/>
                      <w:lang w:eastAsia="ar-SA"/>
                    </w:rPr>
                    <w:t>patvirtinto 2024 m. balandžio 11 d. sprendimu Nr.T-320 „Dėl būsto nuomos ar išperkamosios būsto nuomos mokesčių dalies kompensacijos mokėjimo ir neteisėtai gautos kompensacijos grąžinimo tvarkos aprašo patvirtinimo.“</w:t>
                  </w:r>
                  <w:r>
                    <w:rPr>
                      <w:lang w:eastAsia="lt-LT"/>
                    </w:rPr>
                    <w:t xml:space="preserve"> 5 puntą bei  13 punktą. Nuo 2024 m. liepos 1 d. įsigaliojo Lietuvos Respublikos paramos būstui įsigyti ar išsinuomoti įstatymo pakeitimai.</w:t>
                  </w:r>
                </w:p>
              </w:sdtContent>
            </w:sdt>
            <w:sdt>
              <w:sdtPr>
                <w:alias w:val="2 p."/>
                <w:tag w:val="part_ca138ec00f7b42bbb5c1bc0a384e4a8a"/>
                <w:lock w:val="sdtLocked"/>
                <w:richText/>
              </w:sdtPr>
              <w:sdtContent>
                <w:p>
                  <w:pPr>
                    <w:tabs>
                      <w:tab w:val="left" w:pos="1276"/>
                    </w:tabs>
                    <w:ind w:firstLine="851"/>
                    <w:jc w:val="both"/>
                    <w:rPr>
                      <w:b/>
                      <w:bCs/>
                      <w:szCs w:val="24"/>
                      <w:shd w:val="clear" w:color="auto" w:fill="FFFFFF"/>
                      <w:lang w:eastAsia="lt-LT"/>
                    </w:rPr>
                  </w:pPr>
                  <w:sdt>
                    <w:sdtPr>
                      <w:alias w:val="Numeris"/>
                      <w:tag w:val="nr_ca138ec00f7b42bbb5c1bc0a384e4a8a"/>
                      <w:lock w:val="sdtLocked"/>
                      <w:richText/>
                    </w:sdtPr>
                    <w:sdtContent>
                      <w:r>
                        <w:rPr>
                          <w:b/>
                          <w:bCs/>
                          <w:lang w:eastAsia="lt-LT"/>
                        </w:rPr>
                        <w:t>2</w:t>
                      </w:r>
                    </w:sdtContent>
                  </w:sdt>
                  <w:r>
                    <w:rPr>
                      <w:b/>
                      <w:bCs/>
                      <w:lang w:eastAsia="lt-LT"/>
                    </w:rPr>
                    <w:t>.</w:t>
                    <w:tab/>
                  </w:r>
                  <w:r>
                    <w:rPr>
                      <w:b/>
                      <w:bCs/>
                      <w:szCs w:val="24"/>
                      <w:shd w:val="clear" w:color="auto" w:fill="FFFFFF"/>
                      <w:lang w:eastAsia="lt-LT"/>
                    </w:rPr>
                    <w:t>Projekto iniciatoriai (institucija, asmenys ar piliečių atstovai) ir rengėjai.</w:t>
                  </w:r>
                </w:p>
                <w:p>
                  <w:pPr>
                    <w:tabs>
                      <w:tab w:val="left" w:pos="1276"/>
                    </w:tabs>
                    <w:ind w:firstLine="851"/>
                    <w:jc w:val="both"/>
                    <w:rPr>
                      <w:szCs w:val="24"/>
                      <w:shd w:val="clear" w:color="auto" w:fill="FFFFFF"/>
                      <w:lang w:eastAsia="lt-LT"/>
                    </w:rPr>
                  </w:pPr>
                  <w:r>
                    <w:rPr>
                      <w:szCs w:val="24"/>
                      <w:shd w:val="clear" w:color="auto" w:fill="FFFFFF"/>
                      <w:lang w:eastAsia="lt-LT"/>
                    </w:rPr>
                    <w:t xml:space="preserve">Radviliškio rajono savivaldybės administracijos Investicijų ir turto valdymo skyrius. </w:t>
                  </w:r>
                </w:p>
              </w:sdtContent>
            </w:sdt>
            <w:sdt>
              <w:sdtPr>
                <w:alias w:val="3 p."/>
                <w:tag w:val="part_3f1ec24575504934a36b0e4839f7066a"/>
                <w:lock w:val="sdtLocked"/>
                <w:richText/>
              </w:sdtPr>
              <w:sdtContent>
                <w:p>
                  <w:pPr>
                    <w:tabs>
                      <w:tab w:val="left" w:pos="1276"/>
                    </w:tabs>
                    <w:ind w:firstLine="851"/>
                    <w:jc w:val="both"/>
                    <w:rPr>
                      <w:b/>
                      <w:bCs/>
                      <w:szCs w:val="24"/>
                      <w:shd w:val="clear" w:color="auto" w:fill="FFFFFF"/>
                      <w:lang w:eastAsia="lt-LT"/>
                    </w:rPr>
                  </w:pPr>
                  <w:sdt>
                    <w:sdtPr>
                      <w:alias w:val="Numeris"/>
                      <w:tag w:val="nr_3f1ec24575504934a36b0e4839f7066a"/>
                      <w:lock w:val="sdtLocked"/>
                      <w:richText/>
                    </w:sdtPr>
                    <w:sdtContent>
                      <w:r>
                        <w:rPr>
                          <w:b/>
                          <w:bCs/>
                          <w:lang w:eastAsia="lt-LT"/>
                        </w:rPr>
                        <w:t>3</w:t>
                      </w:r>
                    </w:sdtContent>
                  </w:sdt>
                  <w:r>
                    <w:rPr>
                      <w:b/>
                      <w:bCs/>
                      <w:lang w:eastAsia="lt-LT"/>
                    </w:rPr>
                    <w:t>.</w:t>
                    <w:tab/>
                  </w:r>
                  <w:r>
                    <w:rPr>
                      <w:b/>
                      <w:bCs/>
                      <w:szCs w:val="24"/>
                      <w:shd w:val="clear" w:color="auto" w:fill="FFFFFF"/>
                      <w:lang w:eastAsia="lt-LT"/>
                    </w:rPr>
                    <w:t>Kaip šiuo metu yra reguliuojami sprendimo projekte aptarti teisiniai santykiai.</w:t>
                  </w:r>
                </w:p>
                <w:p>
                  <w:pPr>
                    <w:tabs>
                      <w:tab w:val="left" w:pos="1276"/>
                    </w:tabs>
                    <w:ind w:firstLine="851"/>
                    <w:jc w:val="both"/>
                    <w:rPr>
                      <w:szCs w:val="24"/>
                      <w:lang w:eastAsia="lt-LT"/>
                    </w:rPr>
                  </w:pPr>
                  <w:r>
                    <w:rPr>
                      <w:szCs w:val="24"/>
                      <w:lang w:eastAsia="lt-LT"/>
                    </w:rPr>
                    <w:t>Sprendimo projekto lyginamasis variantas:</w:t>
                  </w:r>
                </w:p>
                <w:p>
                  <w:pPr>
                    <w:tabs>
                      <w:tab w:val="left" w:pos="1276"/>
                    </w:tabs>
                    <w:ind w:firstLine="851"/>
                    <w:jc w:val="both"/>
                    <w:rPr>
                      <w:strike/>
                      <w:szCs w:val="24"/>
                      <w:lang w:eastAsia="lt-LT"/>
                    </w:rPr>
                  </w:pPr>
                  <w:r>
                    <w:rPr>
                      <w:strike/>
                      <w:szCs w:val="24"/>
                      <w:lang w:eastAsia="lt-LT"/>
                    </w:rPr>
                    <w:t xml:space="preserve">„5. Teisę į būsto nuomos mokesčio dalies kompensaciją turi asmenys ir šeimos, kurie atitinka įstatymo 10 straipsnyje nurodytus reikalavimus.  Teisę į valstybės iš dalies kompensuojamą būsto kreditą ir į išperkamosios būsto nuomos mokesčio dalies kompensaciją turi asmenys ir šeimos, kurie atitinka įstatymo 8 straipsnyje nurodytus reikalavimus.“</w:t>
                  </w:r>
                </w:p>
              </w:sdtContent>
            </w:sdt>
            <w:sdt>
              <w:sdtPr>
                <w:alias w:val="5 p."/>
                <w:tag w:val="part_dce8b740d2564d47be8763ae575ee41d"/>
                <w:lock w:val="sdtLocked"/>
                <w:richText/>
              </w:sdtPr>
              <w:sdtContent>
                <w:p>
                  <w:pPr>
                    <w:widowControl w:val="0"/>
                    <w:tabs>
                      <w:tab w:val="left" w:pos="993"/>
                      <w:tab w:val="left" w:pos="1276"/>
                    </w:tabs>
                    <w:suppressAutoHyphens/>
                    <w:ind w:firstLine="851"/>
                    <w:jc w:val="both"/>
                    <w:rPr>
                      <w:color w:val="000000"/>
                      <w:spacing w:val="-6"/>
                      <w:szCs w:val="24"/>
                      <w:lang w:eastAsia="ar-SA"/>
                    </w:rPr>
                  </w:pPr>
                  <w:r>
                    <w:rPr>
                      <w:color w:val="000000"/>
                      <w:spacing w:val="-6"/>
                      <w:szCs w:val="24"/>
                      <w:lang w:eastAsia="ar-SA"/>
                    </w:rPr>
                    <w:t>„</w:t>
                  </w:r>
                  <w:sdt>
                    <w:sdtPr>
                      <w:alias w:val="Numeris"/>
                      <w:tag w:val="nr_dce8b740d2564d47be8763ae575ee41d"/>
                      <w:lock w:val="sdtLocked"/>
                      <w:richText/>
                    </w:sdtPr>
                    <w:sdtContent>
                      <w:r>
                        <w:rPr>
                          <w:color w:val="000000"/>
                          <w:spacing w:val="-6"/>
                          <w:szCs w:val="24"/>
                          <w:lang w:eastAsia="ar-SA"/>
                        </w:rPr>
                        <w:t>5</w:t>
                      </w:r>
                    </w:sdtContent>
                  </w:sdt>
                  <w:r>
                    <w:rPr>
                      <w:color w:val="000000"/>
                      <w:spacing w:val="-6"/>
                      <w:szCs w:val="24"/>
                      <w:lang w:eastAsia="ar-SA"/>
                    </w:rPr>
                    <w:t>. Teisę į būsto nuomos mokesčio dalies kompensaciją turi asmenys ir šeimos, kurie atitinka įstatymo 10 straipsnyje nurodytus reikalavimus. Teisę į išperkamosios būsto nuomos mokesčio dalies kompensaciją turi asmenys ir šeimos, kurie atitinka Įstatymo 8 straipsnyje nurodytus reikalavimus.“</w:t>
                  </w:r>
                </w:p>
              </w:sdtContent>
            </w:sdt>
            <w:sdt>
              <w:sdtPr>
                <w:alias w:val="13 p."/>
                <w:tag w:val="part_92eeef44fb6a4ffe88a493bc49df8dfa"/>
                <w:lock w:val="sdtLocked"/>
                <w:richText/>
              </w:sdtPr>
              <w:sdtContent>
                <w:p>
                  <w:pPr>
                    <w:tabs>
                      <w:tab w:val="left" w:pos="1276"/>
                    </w:tabs>
                    <w:ind w:firstLine="851"/>
                    <w:jc w:val="both"/>
                    <w:rPr>
                      <w:strike/>
                      <w:color w:val="000000"/>
                      <w:szCs w:val="24"/>
                      <w:shd w:val="clear" w:color="auto" w:fill="FFFFFF"/>
                      <w:lang w:eastAsia="lt-LT"/>
                    </w:rPr>
                  </w:pPr>
                  <w:r>
                    <w:rPr>
                      <w:strike/>
                      <w:color w:val="000000"/>
                      <w:szCs w:val="24"/>
                      <w:shd w:val="clear" w:color="auto" w:fill="FFFFFF"/>
                      <w:lang w:eastAsia="lt-LT"/>
                    </w:rPr>
                    <w:t>„</w:t>
                  </w:r>
                  <w:sdt>
                    <w:sdtPr>
                      <w:alias w:val="Numeris"/>
                      <w:tag w:val="nr_92eeef44fb6a4ffe88a493bc49df8dfa"/>
                      <w:lock w:val="sdtLocked"/>
                      <w:richText/>
                    </w:sdtPr>
                    <w:sdtContent>
                      <w:r>
                        <w:rPr>
                          <w:strike/>
                          <w:color w:val="000000"/>
                          <w:szCs w:val="24"/>
                          <w:shd w:val="clear" w:color="auto" w:fill="FFFFFF"/>
                          <w:lang w:eastAsia="lt-LT"/>
                        </w:rPr>
                        <w:t>13</w:t>
                      </w:r>
                    </w:sdtContent>
                  </w:sdt>
                  <w:r>
                    <w:rPr>
                      <w:strike/>
                      <w:color w:val="000000"/>
                      <w:szCs w:val="24"/>
                      <w:shd w:val="clear" w:color="auto" w:fill="FFFFFF"/>
                      <w:lang w:eastAsia="lt-LT"/>
                    </w:rPr>
                    <w:t>. Jeigu pasibaigus būsto nuomos ar išperkamosios būsto nuomos sutarties galiojimui asmuo ar šeima nepraranda teisės į Kompensaciją pagal aprašo 7 punktą, Kompensacija asmeniui ar šeimai, pateikus prašymą, mokama pagal naują Nekilnojamojo turto registre įregistruotą būsto nuomos sutartį (susitarimą) arba išperkamosios būsto nuomos sutartį.“</w:t>
                  </w:r>
                </w:p>
              </w:sdtContent>
            </w:sdt>
            <w:sdt>
              <w:sdtPr>
                <w:alias w:val="13 p."/>
                <w:tag w:val="part_70fa0b9ee64443e3bef98b06326d8136"/>
                <w:lock w:val="sdtLocked"/>
                <w:richText/>
              </w:sdtPr>
              <w:sdtContent>
                <w:p>
                  <w:pPr>
                    <w:widowControl w:val="0"/>
                    <w:tabs>
                      <w:tab w:val="left" w:pos="993"/>
                      <w:tab w:val="left" w:pos="1276"/>
                    </w:tabs>
                    <w:suppressAutoHyphens/>
                    <w:ind w:firstLine="851"/>
                    <w:jc w:val="both"/>
                    <w:rPr>
                      <w:strike/>
                      <w:color w:val="000000"/>
                      <w:szCs w:val="24"/>
                      <w:shd w:val="clear" w:color="auto" w:fill="FFFFFF"/>
                      <w:lang w:eastAsia="lt-LT"/>
                    </w:rPr>
                  </w:pPr>
                  <w:r>
                    <w:rPr>
                      <w:color w:val="000000"/>
                      <w:spacing w:val="-6"/>
                      <w:szCs w:val="24"/>
                      <w:lang w:eastAsia="ar-SA"/>
                    </w:rPr>
                    <w:t>„</w:t>
                  </w:r>
                  <w:sdt>
                    <w:sdtPr>
                      <w:alias w:val="Numeris"/>
                      <w:tag w:val="nr_70fa0b9ee64443e3bef98b06326d8136"/>
                      <w:lock w:val="sdtLocked"/>
                      <w:richText/>
                    </w:sdtPr>
                    <w:sdtContent>
                      <w:r>
                        <w:rPr>
                          <w:color w:val="000000"/>
                          <w:spacing w:val="-6"/>
                          <w:szCs w:val="24"/>
                          <w:lang w:eastAsia="ar-SA"/>
                        </w:rPr>
                        <w:t>13</w:t>
                      </w:r>
                    </w:sdtContent>
                  </w:sdt>
                  <w:r>
                    <w:rPr>
                      <w:color w:val="000000"/>
                      <w:spacing w:val="-6"/>
                      <w:szCs w:val="24"/>
                      <w:lang w:eastAsia="ar-SA"/>
                    </w:rPr>
                    <w:t>. Administracija sprendimą dėl būsto nuomos ar išperkamosios būsto nuomos mokesčio dalies kompensacijos mokėjimo priima ne vėliau kaip per 30 kalendorinių dienų nuo asmens ar šeimos kreipimosi dėl būsto nuomos ar išperkamosios būsto nuomos mokesčio dalies kompensacijos. Būsto nuomos ar išperkamosios būsto nuomos mokesčio dalies kompensacijos mokamos už laikotarpį nuo būsto nuomos ar išperkamosios būsto nuomos sutarties sudarymo dienos, jeigu administracija priėmė sprendimą mokėti būsto nuomos ar išperkamosios būsto nuomos mokesčio dalies kompensaciją, bet ne ankščiau kaip nuo asmenes ar šeimos kreipimosi dėl būsto nuomos ar išperkamosios būsto nuomos mokesčio dalies kompensacijos. Kai asmuo ar šeima nuomojasi tą patį būstą ir kreipiasi dėl būsto nuomos ar išperkamosios būsto nuomos mokesčio dalies kompensacijos mokėjimo pratęsimo, būsto nuomos ar išperkamosios būsto nuomos mokesčio dalies kompensacija mokama nuo teisės į būsto nuomos ar išperkamosios būsto nuomos mokesčio dalies kompensaciją nustatymo dienos ir kompensuojama už laikotarpį nuo einamųjų metų sausio 1 d. iki šios teisės nustatymo dienos.“</w:t>
                  </w:r>
                </w:p>
              </w:sdtContent>
            </w:sdt>
            <w:sdt>
              <w:sdtPr>
                <w:alias w:val="4 p."/>
                <w:tag w:val="part_2696ce83db484acfb2c1396cdc49de3b"/>
                <w:lock w:val="sdtLocked"/>
                <w:richText/>
              </w:sdtPr>
              <w:sdtContent>
                <w:p>
                  <w:pPr>
                    <w:tabs>
                      <w:tab w:val="left" w:pos="993"/>
                      <w:tab w:val="left" w:pos="1276"/>
                      <w:tab w:val="left" w:pos="1843"/>
                    </w:tabs>
                    <w:ind w:firstLine="851"/>
                    <w:jc w:val="both"/>
                    <w:rPr>
                      <w:b/>
                      <w:bCs/>
                      <w:color w:val="000000"/>
                      <w:szCs w:val="24"/>
                      <w:lang w:eastAsia="ar-SA"/>
                    </w:rPr>
                  </w:pPr>
                  <w:sdt>
                    <w:sdtPr>
                      <w:alias w:val="Numeris"/>
                      <w:tag w:val="nr_2696ce83db484acfb2c1396cdc49de3b"/>
                      <w:lock w:val="sdtLocked"/>
                      <w:richText/>
                    </w:sdtPr>
                    <w:sdtContent>
                      <w:r>
                        <w:rPr>
                          <w:b/>
                          <w:bCs/>
                          <w:lang w:eastAsia="ar-SA"/>
                        </w:rPr>
                        <w:t>4</w:t>
                      </w:r>
                    </w:sdtContent>
                  </w:sdt>
                  <w:r>
                    <w:rPr>
                      <w:b/>
                      <w:bCs/>
                      <w:lang w:eastAsia="ar-SA"/>
                    </w:rPr>
                    <w:t>.</w:t>
                    <w:tab/>
                  </w:r>
                  <w:r>
                    <w:rPr>
                      <w:b/>
                      <w:bCs/>
                      <w:color w:val="000000"/>
                      <w:szCs w:val="24"/>
                      <w:lang w:eastAsia="ar-SA"/>
                    </w:rPr>
                    <w:t>Kokios siūlomos naujos teisinio reguliavimo nuostatos, kokių teigiamų rezultatų laukiama.</w:t>
                  </w:r>
                </w:p>
                <w:p>
                  <w:pPr>
                    <w:tabs>
                      <w:tab w:val="left" w:pos="993"/>
                      <w:tab w:val="left" w:pos="1276"/>
                      <w:tab w:val="left" w:pos="1843"/>
                    </w:tabs>
                    <w:ind w:firstLine="851"/>
                    <w:jc w:val="both"/>
                    <w:rPr>
                      <w:color w:val="000000"/>
                      <w:lang w:eastAsia="ar-SA"/>
                    </w:rPr>
                  </w:pPr>
                  <w:r>
                    <w:rPr>
                      <w:color w:val="000000"/>
                      <w:lang w:eastAsia="ar-SA"/>
                    </w:rPr>
                    <w:t>Pritarus tarybos sprendimo projektui bus pakoreguotas ir papildytas Aprašas patvirtintas 2024 m. balandžio 11 d. sprendimu Nr.T-320 „Dėl būsto nuomos ar išperkamosios būsto nuomos mokesčių dalies kompensacijos mokėjimo ir neteisėtai gautos kompensacijos grąžinimo tvarkos aprašo patvirtinimo.“</w:t>
                  </w:r>
                </w:p>
              </w:sdtContent>
            </w:sdt>
            <w:sdt>
              <w:sdtPr>
                <w:alias w:val="5 p."/>
                <w:tag w:val="part_4d23bd9856404efab9d3fdcb1da284b9"/>
                <w:lock w:val="sdtLocked"/>
                <w:richText/>
              </w:sdtPr>
              <w:sdtContent>
                <w:p>
                  <w:pPr>
                    <w:tabs>
                      <w:tab w:val="left" w:pos="856"/>
                      <w:tab w:val="left" w:pos="1276"/>
                      <w:tab w:val="left" w:pos="1843"/>
                    </w:tabs>
                    <w:ind w:firstLine="851"/>
                    <w:jc w:val="both"/>
                    <w:rPr>
                      <w:b/>
                      <w:bCs/>
                      <w:i/>
                      <w:szCs w:val="24"/>
                      <w:shd w:val="clear" w:color="auto" w:fill="FFFFFF"/>
                      <w:lang w:eastAsia="lt-LT"/>
                    </w:rPr>
                  </w:pPr>
                  <w:sdt>
                    <w:sdtPr>
                      <w:alias w:val="Numeris"/>
                      <w:tag w:val="nr_4d23bd9856404efab9d3fdcb1da284b9"/>
                      <w:lock w:val="sdtLocked"/>
                      <w:richText/>
                    </w:sdtPr>
                    <w:sdtContent>
                      <w:r>
                        <w:rPr>
                          <w:b/>
                          <w:bCs/>
                          <w:i/>
                          <w:lang w:eastAsia="lt-LT"/>
                        </w:rPr>
                        <w:t>5</w:t>
                      </w:r>
                    </w:sdtContent>
                  </w:sdt>
                  <w:r>
                    <w:rPr>
                      <w:b/>
                      <w:bCs/>
                      <w:i/>
                      <w:lang w:eastAsia="lt-LT"/>
                    </w:rPr>
                    <w:t>.</w:t>
                    <w:tab/>
                  </w:r>
                  <w:r>
                    <w:rPr>
                      <w:b/>
                      <w:bCs/>
                      <w:iCs/>
                      <w:szCs w:val="24"/>
                      <w:shd w:val="clear" w:color="auto" w:fill="FFFFFF"/>
                      <w:lang w:eastAsia="lt-LT"/>
                    </w:rPr>
                    <w:t>Galimos neigiamos priimto sprendimo projekto pasekmės ir kokių priemonių reiktų imtis, kad tokių pasekmių būtų išvengta.</w:t>
                  </w:r>
                </w:p>
                <w:p>
                  <w:pPr>
                    <w:tabs>
                      <w:tab w:val="left" w:pos="1276"/>
                    </w:tabs>
                    <w:ind w:firstLine="851"/>
                    <w:jc w:val="both"/>
                    <w:rPr>
                      <w:b/>
                      <w:bCs/>
                      <w:iCs/>
                      <w:shd w:val="clear" w:color="auto" w:fill="FFFFFF"/>
                      <w:lang w:eastAsia="lt-LT"/>
                    </w:rPr>
                  </w:pPr>
                  <w:r>
                    <w:rPr>
                      <w:rFonts w:cs="Tahoma"/>
                      <w:shd w:val="clear" w:color="auto" w:fill="FFFFFF"/>
                    </w:rPr>
                    <w:t>Neigiamų pasekmių nenumatoma.</w:t>
                  </w:r>
                </w:p>
              </w:sdtContent>
            </w:sdt>
            <w:sdt>
              <w:sdtPr>
                <w:alias w:val="6 p."/>
                <w:tag w:val="part_443290ac4f074031910b70fcdfce4454"/>
                <w:lock w:val="sdtLocked"/>
                <w:richText/>
              </w:sdtPr>
              <w:sdtContent>
                <w:p>
                  <w:pPr>
                    <w:tabs>
                      <w:tab w:val="left" w:pos="856"/>
                      <w:tab w:val="left" w:pos="1276"/>
                    </w:tabs>
                    <w:ind w:firstLine="851"/>
                    <w:jc w:val="both"/>
                    <w:rPr>
                      <w:b/>
                      <w:bCs/>
                      <w:iCs/>
                      <w:szCs w:val="24"/>
                      <w:shd w:val="clear" w:color="auto" w:fill="FFFFFF"/>
                      <w:lang w:eastAsia="lt-LT"/>
                    </w:rPr>
                  </w:pPr>
                  <w:sdt>
                    <w:sdtPr>
                      <w:alias w:val="Numeris"/>
                      <w:tag w:val="nr_443290ac4f074031910b70fcdfce4454"/>
                      <w:lock w:val="sdtLocked"/>
                      <w:richText/>
                    </w:sdtPr>
                    <w:sdtContent>
                      <w:r>
                        <w:rPr>
                          <w:b/>
                          <w:bCs/>
                          <w:iCs/>
                          <w:lang w:eastAsia="lt-LT"/>
                        </w:rPr>
                        <w:t>6</w:t>
                      </w:r>
                    </w:sdtContent>
                  </w:sdt>
                  <w:r>
                    <w:rPr>
                      <w:b/>
                      <w:bCs/>
                      <w:iCs/>
                      <w:lang w:eastAsia="lt-LT"/>
                    </w:rPr>
                    <w:t>.</w:t>
                    <w:tab/>
                  </w:r>
                  <w:r>
                    <w:rPr>
                      <w:b/>
                      <w:bCs/>
                      <w:iCs/>
                      <w:szCs w:val="24"/>
                      <w:shd w:val="clear" w:color="auto" w:fill="FFFFFF"/>
                      <w:lang w:eastAsia="lt-LT"/>
                    </w:rPr>
                    <w:t>Kokius teisės aktus būtina priimti, kokius galiojančius teisės aktus būtina pakeisti ar pripažinti netekusiais galios priėmus sprendimo projektą.</w:t>
                  </w:r>
                </w:p>
                <w:p>
                  <w:pPr>
                    <w:tabs>
                      <w:tab w:val="left" w:pos="1276"/>
                    </w:tabs>
                    <w:ind w:firstLine="851"/>
                    <w:rPr>
                      <w:b/>
                      <w:bCs/>
                      <w:iCs/>
                      <w:shd w:val="clear" w:color="auto" w:fill="FFFFFF"/>
                      <w:lang w:eastAsia="lt-LT"/>
                    </w:rPr>
                  </w:pPr>
                  <w:r>
                    <w:rPr>
                      <w:rFonts w:cs="Tahoma"/>
                      <w:shd w:val="clear" w:color="auto" w:fill="FFFFFF"/>
                    </w:rPr>
                    <w:t>Galiojančių savivaldybės teisės aktų keisti ar panaikinti, priimti papildomų teisės aktų nereikės.</w:t>
                  </w:r>
                </w:p>
              </w:sdtContent>
            </w:sdt>
            <w:sdt>
              <w:sdtPr>
                <w:alias w:val="7 p."/>
                <w:tag w:val="part_56afa35a3d054fe8b9f5d710ad300662"/>
                <w:lock w:val="sdtLocked"/>
                <w:richText/>
              </w:sdtPr>
              <w:sdtContent>
                <w:p>
                  <w:pPr>
                    <w:tabs>
                      <w:tab w:val="left" w:pos="1276"/>
                    </w:tabs>
                    <w:ind w:firstLine="851"/>
                    <w:jc w:val="both"/>
                    <w:rPr>
                      <w:b/>
                      <w:bCs/>
                      <w:iCs/>
                      <w:szCs w:val="24"/>
                      <w:shd w:val="clear" w:color="auto" w:fill="FFFFFF"/>
                      <w:lang w:eastAsia="lt-LT"/>
                    </w:rPr>
                  </w:pPr>
                  <w:sdt>
                    <w:sdtPr>
                      <w:alias w:val="Numeris"/>
                      <w:tag w:val="nr_56afa35a3d054fe8b9f5d710ad300662"/>
                      <w:lock w:val="sdtLocked"/>
                      <w:richText/>
                    </w:sdtPr>
                    <w:sdtContent>
                      <w:r>
                        <w:rPr>
                          <w:b/>
                          <w:bCs/>
                          <w:iCs/>
                          <w:lang w:eastAsia="lt-LT"/>
                        </w:rPr>
                        <w:t>7</w:t>
                      </w:r>
                    </w:sdtContent>
                  </w:sdt>
                  <w:r>
                    <w:rPr>
                      <w:b/>
                      <w:bCs/>
                      <w:iCs/>
                      <w:lang w:eastAsia="lt-LT"/>
                    </w:rPr>
                    <w:t>.</w:t>
                    <w:tab/>
                  </w:r>
                  <w:r>
                    <w:rPr>
                      <w:b/>
                      <w:bCs/>
                      <w:iCs/>
                      <w:szCs w:val="24"/>
                      <w:shd w:val="clear" w:color="auto" w:fill="FFFFFF"/>
                      <w:lang w:eastAsia="lt-LT"/>
                    </w:rPr>
                    <w:t>Sprendimo projektui įgyvendinti reikalingos lėšos, finansavimo šaltiniai.</w:t>
                  </w:r>
                </w:p>
                <w:p>
                  <w:pPr>
                    <w:tabs>
                      <w:tab w:val="left" w:pos="1276"/>
                    </w:tabs>
                    <w:ind w:firstLine="851"/>
                    <w:jc w:val="both"/>
                    <w:rPr>
                      <w:iCs/>
                      <w:shd w:val="clear" w:color="auto" w:fill="FFFFFF"/>
                      <w:lang w:eastAsia="lt-LT"/>
                    </w:rPr>
                  </w:pPr>
                  <w:r>
                    <w:rPr>
                      <w:iCs/>
                      <w:shd w:val="clear" w:color="auto" w:fill="FFFFFF"/>
                      <w:lang w:eastAsia="lt-LT"/>
                    </w:rPr>
                    <w:t>Sprendimo projektui įgyvendinti lėšų nereikės.</w:t>
                  </w:r>
                </w:p>
              </w:sdtContent>
            </w:sdt>
            <w:sdt>
              <w:sdtPr>
                <w:alias w:val="8 p."/>
                <w:tag w:val="part_c0c65350ee4446c989000504062c0a0f"/>
                <w:lock w:val="sdtLocked"/>
                <w:richText/>
              </w:sdtPr>
              <w:sdtContent>
                <w:p>
                  <w:pPr>
                    <w:tabs>
                      <w:tab w:val="left" w:pos="1276"/>
                    </w:tabs>
                    <w:ind w:firstLine="851"/>
                    <w:jc w:val="both"/>
                    <w:rPr>
                      <w:b/>
                      <w:bCs/>
                      <w:iCs/>
                      <w:szCs w:val="24"/>
                      <w:shd w:val="clear" w:color="auto" w:fill="FFFFFF"/>
                      <w:lang w:eastAsia="lt-LT"/>
                    </w:rPr>
                  </w:pPr>
                  <w:sdt>
                    <w:sdtPr>
                      <w:alias w:val="Numeris"/>
                      <w:tag w:val="nr_c0c65350ee4446c989000504062c0a0f"/>
                      <w:lock w:val="sdtLocked"/>
                      <w:richText/>
                    </w:sdtPr>
                    <w:sdtContent>
                      <w:r>
                        <w:rPr>
                          <w:b/>
                          <w:bCs/>
                          <w:iCs/>
                          <w:lang w:eastAsia="lt-LT"/>
                        </w:rPr>
                        <w:t>8</w:t>
                      </w:r>
                    </w:sdtContent>
                  </w:sdt>
                  <w:r>
                    <w:rPr>
                      <w:b/>
                      <w:bCs/>
                      <w:iCs/>
                      <w:lang w:eastAsia="lt-LT"/>
                    </w:rPr>
                    <w:t>.</w:t>
                    <w:tab/>
                  </w:r>
                  <w:r>
                    <w:rPr>
                      <w:b/>
                      <w:bCs/>
                      <w:iCs/>
                      <w:szCs w:val="24"/>
                      <w:shd w:val="clear" w:color="auto" w:fill="FFFFFF"/>
                      <w:lang w:eastAsia="lt-LT"/>
                    </w:rPr>
                    <w:t>Sprendimo projekto rengimo metu gauti specialistų vertinimai ir išvados.</w:t>
                  </w:r>
                </w:p>
                <w:p>
                  <w:pPr>
                    <w:tabs>
                      <w:tab w:val="left" w:pos="1276"/>
                    </w:tabs>
                    <w:ind w:firstLine="851"/>
                    <w:jc w:val="both"/>
                    <w:rPr>
                      <w:iCs/>
                      <w:szCs w:val="24"/>
                      <w:shd w:val="clear" w:color="auto" w:fill="FFFFFF"/>
                      <w:lang w:eastAsia="lt-LT"/>
                    </w:rPr>
                  </w:pPr>
                  <w:r>
                    <w:rPr>
                      <w:iCs/>
                      <w:szCs w:val="24"/>
                      <w:shd w:val="clear" w:color="auto" w:fill="FFFFFF"/>
                      <w:lang w:eastAsia="lt-LT"/>
                    </w:rPr>
                    <w:t xml:space="preserve">Sprendimo projektas suderintas su Savivaldybės administracijos direktore, juristu, kalbininku, Investicijų ir turto valdymo skyriaus vedėju. </w:t>
                  </w:r>
                </w:p>
              </w:sdtContent>
            </w:sdt>
            <w:sdt>
              <w:sdtPr>
                <w:alias w:val="9 p."/>
                <w:tag w:val="part_dcd568b8cfff415398ebd85034e28799"/>
                <w:lock w:val="sdtLocked"/>
                <w:richText/>
              </w:sdtPr>
              <w:sdtContent>
                <w:p>
                  <w:pPr>
                    <w:tabs>
                      <w:tab w:val="left" w:pos="1276"/>
                    </w:tabs>
                    <w:ind w:firstLine="851"/>
                    <w:jc w:val="both"/>
                    <w:rPr>
                      <w:b/>
                      <w:bCs/>
                      <w:iCs/>
                      <w:szCs w:val="24"/>
                      <w:shd w:val="clear" w:color="auto" w:fill="FFFFFF"/>
                      <w:lang w:eastAsia="lt-LT"/>
                    </w:rPr>
                  </w:pPr>
                  <w:sdt>
                    <w:sdtPr>
                      <w:alias w:val="Numeris"/>
                      <w:tag w:val="nr_dcd568b8cfff415398ebd85034e28799"/>
                      <w:lock w:val="sdtLocked"/>
                      <w:richText/>
                    </w:sdtPr>
                    <w:sdtContent>
                      <w:r>
                        <w:rPr>
                          <w:b/>
                          <w:bCs/>
                          <w:iCs/>
                          <w:lang w:eastAsia="lt-LT"/>
                        </w:rPr>
                        <w:t>9</w:t>
                      </w:r>
                    </w:sdtContent>
                  </w:sdt>
                  <w:r>
                    <w:rPr>
                      <w:b/>
                      <w:bCs/>
                      <w:iCs/>
                      <w:lang w:eastAsia="lt-LT"/>
                    </w:rPr>
                    <w:t>.</w:t>
                    <w:tab/>
                  </w:r>
                  <w:r>
                    <w:rPr>
                      <w:b/>
                      <w:bCs/>
                      <w:iCs/>
                      <w:szCs w:val="24"/>
                      <w:shd w:val="clear" w:color="auto" w:fill="FFFFFF"/>
                      <w:lang w:eastAsia="lt-LT"/>
                    </w:rPr>
                    <w:t>Numatomo teisinio reguliavimo poveikio vertinimo rezultatai.</w:t>
                  </w:r>
                </w:p>
                <w:p>
                  <w:pPr>
                    <w:tabs>
                      <w:tab w:val="left" w:pos="1276"/>
                    </w:tabs>
                    <w:ind w:firstLine="851"/>
                    <w:jc w:val="both"/>
                    <w:rPr>
                      <w:iCs/>
                      <w:shd w:val="clear" w:color="auto" w:fill="FFFFFF"/>
                      <w:lang w:eastAsia="lt-LT"/>
                    </w:rPr>
                  </w:pPr>
                  <w:r>
                    <w:rPr>
                      <w:iCs/>
                      <w:shd w:val="clear" w:color="auto" w:fill="FFFFFF"/>
                      <w:lang w:eastAsia="lt-LT"/>
                    </w:rPr>
                    <w:t>Rezultatai nenumatomi.</w:t>
                  </w:r>
                </w:p>
              </w:sdtContent>
            </w:sdt>
            <w:sdt>
              <w:sdtPr>
                <w:alias w:val="10 p."/>
                <w:tag w:val="part_bcae5eecbfd04c45bc500358642f3c9c"/>
                <w:lock w:val="sdtLocked"/>
                <w:richText/>
              </w:sdtPr>
              <w:sdtContent>
                <w:p>
                  <w:pPr>
                    <w:tabs>
                      <w:tab w:val="left" w:pos="1276"/>
                    </w:tabs>
                    <w:ind w:firstLine="851"/>
                    <w:jc w:val="both"/>
                    <w:rPr>
                      <w:b/>
                      <w:bCs/>
                      <w:iCs/>
                      <w:szCs w:val="24"/>
                      <w:shd w:val="clear" w:color="auto" w:fill="FFFFFF"/>
                      <w:lang w:eastAsia="lt-LT"/>
                    </w:rPr>
                  </w:pPr>
                  <w:sdt>
                    <w:sdtPr>
                      <w:alias w:val="Numeris"/>
                      <w:tag w:val="nr_bcae5eecbfd04c45bc500358642f3c9c"/>
                      <w:lock w:val="sdtLocked"/>
                      <w:richText/>
                    </w:sdtPr>
                    <w:sdtContent>
                      <w:r>
                        <w:rPr>
                          <w:b/>
                          <w:bCs/>
                          <w:iCs/>
                          <w:lang w:eastAsia="lt-LT"/>
                        </w:rPr>
                        <w:t>10</w:t>
                      </w:r>
                    </w:sdtContent>
                  </w:sdt>
                  <w:r>
                    <w:rPr>
                      <w:b/>
                      <w:bCs/>
                      <w:iCs/>
                      <w:lang w:eastAsia="lt-LT"/>
                    </w:rPr>
                    <w:t>.</w:t>
                    <w:tab/>
                  </w:r>
                  <w:r>
                    <w:rPr>
                      <w:b/>
                      <w:bCs/>
                      <w:iCs/>
                      <w:szCs w:val="24"/>
                      <w:shd w:val="clear" w:color="auto" w:fill="FFFFFF"/>
                      <w:lang w:eastAsia="lt-LT"/>
                    </w:rPr>
                    <w:t>Sprendimo projekto antikorupcinis vertinimas.</w:t>
                  </w:r>
                </w:p>
                <w:p>
                  <w:pPr>
                    <w:tabs>
                      <w:tab w:val="left" w:pos="1276"/>
                    </w:tabs>
                    <w:ind w:firstLine="851"/>
                    <w:jc w:val="both"/>
                    <w:rPr>
                      <w:iCs/>
                      <w:shd w:val="clear" w:color="auto" w:fill="FFFFFF"/>
                      <w:lang w:eastAsia="lt-LT"/>
                    </w:rPr>
                  </w:pPr>
                  <w:r>
                    <w:rPr>
                      <w:iCs/>
                      <w:shd w:val="clear" w:color="auto" w:fill="FFFFFF"/>
                      <w:lang w:eastAsia="lt-LT"/>
                    </w:rPr>
                    <w:t>Antikorupcinio vertinimo atlikti nereikia.</w:t>
                  </w:r>
                </w:p>
              </w:sdtContent>
            </w:sdt>
            <w:sdt>
              <w:sdtPr>
                <w:alias w:val="11 p."/>
                <w:tag w:val="part_7e957a3136924868ac5f78381eca5927"/>
                <w:lock w:val="sdtLocked"/>
                <w:richText/>
              </w:sdtPr>
              <w:sdtContent>
                <w:p>
                  <w:pPr>
                    <w:tabs>
                      <w:tab w:val="left" w:pos="1276"/>
                    </w:tabs>
                    <w:ind w:firstLine="851"/>
                    <w:jc w:val="both"/>
                    <w:rPr>
                      <w:b/>
                      <w:bCs/>
                      <w:iCs/>
                      <w:szCs w:val="24"/>
                      <w:shd w:val="clear" w:color="auto" w:fill="FFFFFF"/>
                      <w:lang w:eastAsia="lt-LT"/>
                    </w:rPr>
                  </w:pPr>
                  <w:sdt>
                    <w:sdtPr>
                      <w:alias w:val="Numeris"/>
                      <w:tag w:val="nr_7e957a3136924868ac5f78381eca5927"/>
                      <w:lock w:val="sdtLocked"/>
                      <w:richText/>
                    </w:sdtPr>
                    <w:sdtContent>
                      <w:r>
                        <w:rPr>
                          <w:b/>
                          <w:bCs/>
                          <w:iCs/>
                          <w:lang w:eastAsia="lt-LT"/>
                        </w:rPr>
                        <w:t>11</w:t>
                      </w:r>
                    </w:sdtContent>
                  </w:sdt>
                  <w:r>
                    <w:rPr>
                      <w:b/>
                      <w:bCs/>
                      <w:iCs/>
                      <w:lang w:eastAsia="lt-LT"/>
                    </w:rPr>
                    <w:t>.</w:t>
                    <w:tab/>
                  </w:r>
                  <w:r>
                    <w:rPr>
                      <w:b/>
                      <w:bCs/>
                      <w:iCs/>
                      <w:szCs w:val="24"/>
                      <w:shd w:val="clear" w:color="auto" w:fill="FFFFFF"/>
                      <w:lang w:eastAsia="lt-LT"/>
                    </w:rPr>
                    <w:t>Kiti, iniciatoriaus nuomone, reikalingi pagrindimai ir paaiškinimai.</w:t>
                  </w:r>
                </w:p>
                <w:p>
                  <w:pPr>
                    <w:jc w:val="both"/>
                    <w:rPr>
                      <w:szCs w:val="24"/>
                    </w:rPr>
                  </w:pPr>
                </w:p>
                <w:p>
                  <w:pPr>
                    <w:jc w:val="both"/>
                    <w:rPr>
                      <w:szCs w:val="24"/>
                    </w:rPr>
                  </w:pPr>
                </w:p>
                <w:p>
                  <w:pPr>
                    <w:jc w:val="both"/>
                    <w:rPr>
                      <w:szCs w:val="24"/>
                    </w:rPr>
                  </w:pPr>
                </w:p>
                <w:p>
                  <w:pPr>
                    <w:rPr>
                      <w:szCs w:val="24"/>
                    </w:rPr>
                  </w:pPr>
                </w:p>
                <w:p>
                  <w:pPr>
                    <w:rPr>
                      <w:szCs w:val="24"/>
                    </w:rPr>
                  </w:pPr>
                </w:p>
                <w:p>
                  <w:pPr>
                    <w:rPr>
                      <w:szCs w:val="24"/>
                    </w:rPr>
                  </w:pPr>
                </w:p>
                <w:p>
                  <w:pPr>
                    <w:rPr>
                      <w:szCs w:val="24"/>
                    </w:rPr>
                  </w:pPr>
                </w:p>
                <w:p>
                  <w:pPr>
                    <w:rPr>
                      <w:szCs w:val="24"/>
                    </w:rPr>
                  </w:pPr>
                </w:p>
              </w:sdtContent>
            </w:sdt>
          </w:sdtContent>
        </w:sdt>
        <w:sdt>
          <w:sdtPr>
            <w:alias w:val="signatura"/>
            <w:tag w:val="part_8a17fa5cf79e42b6a58f7fc66d1191fb"/>
            <w:lock w:val="sdtLocked"/>
            <w:richText/>
          </w:sdtPr>
          <w:sdtContent>
            <w:p>
              <w:pPr>
                <w:rPr>
                  <w:szCs w:val="24"/>
                </w:rPr>
              </w:pPr>
              <w:r>
                <w:rPr>
                  <w:szCs w:val="24"/>
                </w:rPr>
                <w:t>Investicijų ir turto valdymo skyriaus</w:t>
              </w:r>
            </w:p>
            <w:p>
              <w:pPr>
                <w:tabs>
                  <w:tab w:val="left" w:pos="6885"/>
                </w:tabs>
                <w:rPr>
                  <w:szCs w:val="24"/>
                </w:rPr>
              </w:pPr>
              <w:r>
                <w:rPr>
                  <w:szCs w:val="24"/>
                </w:rPr>
                <w:t>vyriausioji specialistė</w:t>
                <w:tab/>
                <w:t xml:space="preserve">   Nijolė Žilvytienė</w:t>
              </w:r>
            </w:p>
          </w:sdtContent>
        </w:sdt>
      </w:sdtContent>
    </w:sdt>
    <w:sectPr>
      <w:pgSz w:w="11906" w:h="16838"/>
      <w:pgMar w:top="851" w:right="567" w:bottom="709" w:left="1797" w:header="709" w:footer="709" w:gutter="0"/>
      <w:cols w:space="708"/>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rPr>
          <w:szCs w:val="24"/>
        </w:rPr>
      </w:pPr>
      <w:r>
        <w:rPr>
          <w:szCs w:val="24"/>
        </w:rPr>
        <w:separator/>
      </w:r>
    </w:p>
  </w:endnote>
  <w:endnote w:type="continuationSeparator" w:id="0">
    <w:p>
      <w:pPr>
        <w:rPr>
          <w:szCs w:val="24"/>
        </w:rPr>
      </w:pPr>
      <w:r>
        <w:rPr>
          <w:szCs w:val="24"/>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rPr>
          <w:szCs w:val="24"/>
        </w:rPr>
      </w:pPr>
      <w:r>
        <w:rPr>
          <w:szCs w:val="24"/>
        </w:rPr>
        <w:separator/>
      </w:r>
    </w:p>
  </w:footnote>
  <w:footnote w:type="continuationSeparator" w:id="0">
    <w:p>
      <w:pPr>
        <w:rPr>
          <w:szCs w:val="24"/>
        </w:rPr>
      </w:pPr>
      <w:r>
        <w:rPr>
          <w:szCs w:val="24"/>
        </w:rPr>
        <w:continuationSeparator/>
      </w:r>
    </w:p>
  </w:footnote>
</w:footnotes>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E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39F41ED-2577-491E-AA7F-465CF0678299}"/>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168841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fontTable" Target="fontTable.xml"/>
  <Relationship Id="rId8" Type="http://schemas.openxmlformats.org/officeDocument/2006/relationships/theme" Target="theme/theme1.xml"/>
  <Relationship Id="rId9" Type="http://schemas.openxmlformats.org/officeDocument/2006/relationships/customXml" Target="../customXml/item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arts xmlns="http://lrs.lt/TAIS/DocParts">
  <Part Type="pagrindine" DocPartId="4e28020abdaf4cdfa919926726ec0936" PartId="d91dc832d6484059abcb2e25160c9444">
    <Part Type="preambule" DocPartId="8e67f189168149a5b7d77aecf1e434a9" PartId="80ec31f6c49e418bae394721e2913d75"/>
    <Part Type="pastraipa" DocPartId="278092fde630461cbe2098947bbed724" PartId="1ad6259e113e4b3c98c3f90b9d1f018c"/>
    <Part Type="punktas" Nr="1" Abbr="1 p." DocPartId="37b8496b97ea47b3905d70bb18a9f50b" PartId="6edcc0acc6ea4ad68223768154c496ca">
      <Part Type="citata" DocPartId="294150ff114a4b1ab5fa68ee6f1ea03b" PartId="bb1c6ea46f334f7894681c9cae4b7040">
        <Part Type="punktas" Nr="5" Abbr="5 p." DocPartId="78baea20fa0e4c0ea03989d112f58313" PartId="5389be757b6347cdbb0846bb38751658"/>
      </Part>
    </Part>
    <Part Type="punktas" Nr="2" Abbr="2 p." DocPartId="84f77f2c214b44d7a7d070eaae66960c" PartId="2f82d64e9c314016b9e06fdf8573a078">
      <Part Type="citata" DocPartId="f5993083ba8541ec89271458f000640f" PartId="8741ca54ba384736a6a3ebd81e8730fa">
        <Part Type="punktas" Nr="13" Abbr="13 p." DocPartId="a59a3698e26d4bac9e5eefd06d527fcc" PartId="f7740becd4eb499388921711ffc4f76b"/>
      </Part>
      <Part Type="pastraipa" DocPartId="f0dc1972f572462589221ec9e9c4ccaa" PartId="67af5a177ded4fbeaa5072d87ac3f914"/>
    </Part>
    <Part Type="skirsnis" Title="SPRENDIMO „DĖL RADVILIŠKIO RAJONO SAVIVALDYBĖS TARYBOS 2024 M. BALANDŽIO 11 D. SPRENDIMO T-320 „DĖL BŪSTO NUOMOS AR IŠPERKAMOSIOS BŪSTO NUOMOS MOKESČIŲ DALIES KOMPENSACIJOS MOKĖJIMO IR NETEISĖTAI GAUTOS KOMPENSACIJOS GRĄŽINIMO TVARKOS APRAŠO PATVIRTINIMO“ PAKEITIMO“ PROJEKTO" DocPartId="e3568b92ab6046f58299343c4f896973" PartId="3e6408e9260f447fbb158c9add290384"/>
    <Part Type="skirsnis" Title="AIŠKINAMASIS RAŠTAS" DocPartId="bc4fb1b33d8844b6afc0c6b592701509" PartId="3b6ae2629a344d60b89a490042f3c8d4">
      <Part Type="punktas" Nr="1" Abbr="1 p." DocPartId="37564f46a7a641d699a04bb4405b3103" PartId="eb9c9fba288a429c9b689d70162a0951"/>
      <Part Type="punktas" Nr="2" Abbr="2 p." DocPartId="e905b686da384c86916864c475ba249f" PartId="ca138ec00f7b42bbb5c1bc0a384e4a8a"/>
      <Part Type="punktas" Nr="3" Abbr="3 p." DocPartId="3c75a9da6256446ca1baa605e2640ebd" PartId="3f1ec24575504934a36b0e4839f7066a"/>
      <Part Type="punktas" Nr="5" Abbr="5 p." Notes="Numeris ne iš eilės. Trūksta dalių? [DocDalys]" DocPartId="9d66da86f3584dd198d06916d3f011e4" PartId="dce8b740d2564d47be8763ae575ee41d"/>
      <Part Type="punktas" Nr="13" Abbr="13 p." Notes="Numeris ne iš eilės. Trūksta dalių? [DocDalys]" DocPartId="979967dcd43a4483879d8c700530aa0f" PartId="92eeef44fb6a4ffe88a493bc49df8dfa"/>
      <Part Type="punktas" Nr="13" Abbr="13 p." Notes="Numeris ne iš eilės. Trūksta dalių? [DocDalys]" DocPartId="dd57354110df4fd79c8c235be0f4e526" PartId="70fa0b9ee64443e3bef98b06326d8136"/>
      <Part Type="punktas" Nr="4" Abbr="4 p." Notes="Numeris ne iš eilės. Trūksta dalių? [DocDalys]" DocPartId="1857981003864eea98720780055c6cc4" PartId="2696ce83db484acfb2c1396cdc49de3b"/>
      <Part Type="punktas" Nr="5" Abbr="5 p." DocPartId="4126da6220d04630b1627496bce34306" PartId="4d23bd9856404efab9d3fdcb1da284b9"/>
      <Part Type="punktas" Nr="6" Abbr="6 p." DocPartId="e4493fc0b01c41fcaef8c21455d87905" PartId="443290ac4f074031910b70fcdfce4454"/>
      <Part Type="punktas" Nr="7" Abbr="7 p." DocPartId="fbce871583c24631b851971ce3327443" PartId="56afa35a3d054fe8b9f5d710ad300662"/>
      <Part Type="punktas" Nr="8" Abbr="8 p." DocPartId="0becdf7a38c84b27b7e56b50c1c0e4c2" PartId="c0c65350ee4446c989000504062c0a0f"/>
      <Part Type="punktas" Nr="9" Abbr="9 p." DocPartId="461e2708568a4a339522084875f0a3a9" PartId="dcd568b8cfff415398ebd85034e28799"/>
      <Part Type="punktas" Nr="10" Abbr="10 p." DocPartId="db112c6a3b4643b9bf64600e46e7e130" PartId="bcae5eecbfd04c45bc500358642f3c9c"/>
      <Part Type="punktas" Nr="11" Abbr="11 p." DocPartId="840abc8d553c4c3abb06e6430bc95d0b" PartId="7e957a3136924868ac5f78381eca5927"/>
    </Part>
    <Part Type="signatura" DocPartId="04b4642f77704f6185aaf74e871e35c4" PartId="8a17fa5cf79e42b6a58f7fc66d1191fb"/>
  </Part>
</Parts>
</file>

<file path=customXml/itemProps1.xml><?xml version="1.0" encoding="utf-8"?>
<ds:datastoreItem xmlns:ds="http://schemas.openxmlformats.org/officeDocument/2006/customXml" ds:itemID="{BC6A0B11-99EE-4670-87F6-51C321AD00D7}">
  <ds:schemaRefs>
    <ds:schemaRef ds:uri="http://schemas.openxmlformats.org/officeDocument/2006/bibliography"/>
  </ds:schemaRefs>
</ds:datastoreItem>
</file>

<file path=customXml/itemProps2.xml><?xml version="1.0" encoding="utf-8"?>
<ds:datastoreItem xmlns:ds="http://schemas.openxmlformats.org/officeDocument/2006/customXml" ds:itemID="{0F52E29E-AFAF-4F8F-978E-39788A613B02}">
  <ds:schemaRefs>
    <ds:schemaRef ds:uri="http://lrs.lt/TAIS/DocPar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937</Words>
  <Characters>6350</Characters>
  <Application>Microsoft Office Word</Application>
  <DocSecurity>4</DocSecurity>
  <Lines>135</Lines>
  <Paragraphs>50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7237</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2024-12-04T06:41:00Z</dcterms:created>
  <dc:creator>Administrator</dc:creator>
  <lastModifiedBy>adlibuser</lastModifiedBy>
  <lastPrinted>2017-04-10T07:17:00Z</lastPrinted>
  <dcterms:modified xsi:type="dcterms:W3CDTF">2024-12-04T06:41:00Z</dcterms:modified>
  <revision>2</revision>
</coreProperties>
</file>