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7fda50910f04217ae56a89f32810925"/>
        <w:lock w:val="sdtLocked"/>
        <w:richText/>
      </w:sdtPr>
      <w:sdtContent>
        <w:p w14:paraId="5BBF6F91" w14:textId="77777777">
          <w:pPr>
            <w:tabs>
              <w:tab w:val="center" w:pos="4986"/>
              <w:tab w:val="right" w:pos="9972"/>
            </w:tabs>
          </w:pPr>
        </w:p>
        <w:p w14:paraId="2ABEAF3F" w14:textId="6CA8B6F6">
          <w:pPr>
            <w:ind w:left="6480" w:firstLine="1296"/>
            <w:rPr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Projektas</w:t>
          </w:r>
          <w:r>
            <w:rPr>
              <w:b/>
              <w:bCs/>
              <w:szCs w:val="24"/>
            </w:rPr>
            <w:t xml:space="preserve"> </w:t>
          </w:r>
        </w:p>
        <w:p w14:paraId="7055CE10" w14:textId="38D27B23">
          <w:pPr>
            <w:ind w:left="6480" w:firstLine="1296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26CF3546" w14:textId="77777777">
          <w:pPr>
            <w:rPr>
              <w:szCs w:val="24"/>
            </w:rPr>
          </w:pPr>
        </w:p>
        <w:p w14:paraId="763B82D6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641745B9" w14:textId="77777777">
          <w:pPr>
            <w:jc w:val="center"/>
            <w:rPr>
              <w:b/>
              <w:bCs/>
              <w:szCs w:val="24"/>
            </w:rPr>
          </w:pPr>
        </w:p>
        <w:p w14:paraId="6BDABF51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1EA82F5" w14:textId="66C8581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RADVILIŠKIO RAJONO SAVIVALDYBĖS TARYBOS 2018 M. SPALIO 25 D. SPRENDIMO NR. T-991 „DĖL RADVILIŠKIO RAJONO SAVIVALDYBĖS MOKYKLINIŲ AUTOBUSŲ NAUDOJIMO TVARKOS APRAŠO IR VEŽIMO ĮKAINIŲ PATVIRTINIMO“ PAKEITIMO</w:t>
          </w:r>
        </w:p>
        <w:p w14:paraId="5CAEC6A5" w14:textId="77777777">
          <w:pPr>
            <w:jc w:val="center"/>
            <w:rPr>
              <w:szCs w:val="24"/>
            </w:rPr>
          </w:pPr>
        </w:p>
        <w:p w14:paraId="38079962" w14:textId="6BC96264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  d. Nr. T-</w:t>
          </w:r>
        </w:p>
        <w:p w14:paraId="16941E98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4B666677" w14:textId="77777777">
          <w:pPr>
            <w:jc w:val="center"/>
            <w:rPr>
              <w:szCs w:val="24"/>
            </w:rPr>
          </w:pPr>
        </w:p>
        <w:sdt>
          <w:sdtPr>
            <w:alias w:val="preambule"/>
            <w:tag w:val="part_7f851b8567394fc9becee159b4a5525b"/>
            <w:lock w:val="sdtLocked"/>
            <w:richText/>
          </w:sdtPr>
          <w:sdtContent>
            <w:p w14:paraId="3275B461" w14:textId="2EE86DDB">
              <w:pPr>
                <w:suppressAutoHyphens/>
                <w:ind w:right="105"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Radviliškio rajono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cc8875a066d044c0813a678d096115f4"/>
            <w:lock w:val="sdtLocked"/>
            <w:richText/>
          </w:sdtPr>
          <w:sdtContent>
            <w:p w14:paraId="39527127" w14:textId="2B6A42E7">
              <w:pPr>
                <w:tabs>
                  <w:tab w:val="left" w:pos="993"/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c8875a066d044c0813a678d096115f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Pakeisti Radviliškio rajono savivaldybės mokyklinių autobusų naudojimo tvarkos aprašo, patvirtinto 2018 m. spalio 25 d. Radviliškio rajono savivaldybės tarybos sprendimu Nr. T-991 „Dėl Radviliškio rajono savivaldybės mokyklinių autobusų naudojimo tvarkos aprašo ir vežimo įkainių patvirtinimo“:</w:t>
              </w:r>
            </w:p>
            <w:sdt>
              <w:sdtPr>
                <w:alias w:val="1.1 pp."/>
                <w:tag w:val="part_b3e47ae5f0954c8681ff8adc50608301"/>
                <w:lock w:val="sdtLocked"/>
                <w:richText/>
              </w:sdtPr>
              <w:sdtContent>
                <w:p w14:paraId="6895BC36" w14:textId="4AD4B6BC">
                  <w:pPr>
                    <w:ind w:left="1069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3e47ae5f0954c8681ff8adc5060830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 Papildyti 8.4. papunkčiu ir jį išdėstyti taip:</w:t>
                  </w:r>
                </w:p>
                <w:sdt>
                  <w:sdtPr>
                    <w:alias w:val="citata"/>
                    <w:tag w:val="part_5c73500ca4e04c2d9d89ff91dd7b27cc"/>
                    <w:lock w:val="sdtLocked"/>
                    <w:richText/>
                  </w:sdtPr>
                  <w:sdtContent>
                    <w:sdt>
                      <w:sdtPr>
                        <w:alias w:val="8.4 pp."/>
                        <w:tag w:val="part_33f4684a82c141879f4635f8ac1e0c28"/>
                        <w:lock w:val="sdtLocked"/>
                        <w:richText/>
                      </w:sdtPr>
                      <w:sdtContent>
                        <w:p w14:paraId="58A26DE6" w14:textId="646FF110">
                          <w:pPr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3f4684a82c141879f4635f8ac1e0c2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8.4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vežti paslaugų gavėjus, kuriems teikiamos dienos socialinės globos paslaugos Savivaldybės biudžetinėse įstaigose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e57204f902e43b49ca397f77bd26390"/>
                <w:lock w:val="sdtLocked"/>
                <w:richText/>
              </w:sdtPr>
              <w:sdtContent>
                <w:p w14:paraId="21CE393B" w14:textId="083C463F">
                  <w:pPr>
                    <w:ind w:left="1069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e57204f902e43b49ca397f77bd2639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 Pakeisti 11 punktą ir jį išdėstyti taip:</w:t>
                  </w:r>
                </w:p>
                <w:sdt>
                  <w:sdtPr>
                    <w:alias w:val="citata"/>
                    <w:tag w:val="part_98ab5262482b429c8b9d08b1fa51cd12"/>
                    <w:lock w:val="sdtLocked"/>
                    <w:richText/>
                  </w:sdtPr>
                  <w:sdtContent>
                    <w:sdt>
                      <w:sdtPr>
                        <w:alias w:val="11 p."/>
                        <w:tag w:val="part_3f47ef730ddd47f4af228ec34b6cd8ea"/>
                        <w:lock w:val="sdtLocked"/>
                        <w:richText/>
                      </w:sdtPr>
                      <w:sdtContent>
                        <w:p w14:paraId="511AE599" w14:textId="036DE19F">
                          <w:pPr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47ef730ddd47f4af228ec34b6cd8e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hd w:val="clear" w:color="auto" w:fill="FFFFFF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Aprašo 6, 7, 8.1, 8.2 ir 8.3 punktuose nurodytos mokyklinio autobuso naudojimo išlaidos finansuojamos iš švietimo įstaigai skirtų biudžeto lėšų, 8.4 papunktyje nurodytos išlaidos finansuojamos iš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Radviliškio rajono savivaldybės švietimo ir sporto paslaugų centro ūkio lėšų.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14:paraId="179BF4A3" w14:textId="77777777">
                          <w:pPr>
                            <w:tabs>
                              <w:tab w:val="left" w:pos="6173"/>
                            </w:tabs>
                          </w:pPr>
                        </w:p>
                        <w:p w14:paraId="36EB7E95" w14:textId="77777777">
                          <w:pPr>
                            <w:tabs>
                              <w:tab w:val="left" w:pos="6173"/>
                            </w:tabs>
                          </w:pPr>
                        </w:p>
                        <w:p w14:paraId="11F3D1F9" w14:textId="77777777">
                          <w:pPr>
                            <w:tabs>
                              <w:tab w:val="left" w:pos="6173"/>
                            </w:tabs>
                          </w:pPr>
                        </w:p>
                      </w:sdtContent>
                    </w:sdt>
                  </w:sdtContent>
                </w:sdt>
                <w:sdt>
                  <w:sdtPr>
                    <w:alias w:val="pastraipa"/>
                    <w:tag w:val="part_2b88ce7539474a8f84f66cbbbd733a34"/>
                    <w:lock w:val="sdtLocked"/>
                    <w:richText/>
                  </w:sdtPr>
                  <w:sdtContent>
                    <w:p w14:paraId="53E60281" w14:textId="142C19CC">
                      <w:pPr>
                        <w:tabs>
                          <w:tab w:val="left" w:pos="7230"/>
                        </w:tabs>
                        <w:rPr>
                          <w:rFonts w:eastAsia="Calibri"/>
                          <w:sz w:val="22"/>
                          <w:szCs w:val="24"/>
                        </w:rPr>
                        <w:sectPr>
                          <w:headerReference w:type="even" r:id="rId7"/>
                          <w:headerReference w:type="default" r:id="rId8"/>
                          <w:footerReference w:type="even" r:id="rId9"/>
                          <w:footerReference w:type="default" r:id="rId10"/>
                          <w:headerReference w:type="first" r:id="rId11"/>
                          <w:footerReference w:type="first" r:id="rId12"/>
                          <w:pgSz w:w="11906" w:h="16838" w:code="9"/>
                          <w:pgMar w:top="1134" w:right="567" w:bottom="1134" w:left="1701" w:header="709" w:footer="454" w:gutter="0"/>
                          <w:pgNumType w:start="1"/>
                          <w:cols w:space="1296"/>
                          <w:titlePg/>
                          <w:docGrid w:linePitch="360"/>
                        </w:sectPr>
                      </w:pPr>
                      <w:r>
                        <w:rPr>
                          <w:szCs w:val="24"/>
                          <w:lang w:eastAsia="lt-LT"/>
                        </w:rPr>
                        <w:t>Savivaldybės mera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kirsnis"/>
            <w:tag w:val="part_c511502ddf064603b6e9cb0d5329615f"/>
            <w:lock w:val="sdtLocked"/>
            <w:richText/>
          </w:sdtPr>
          <w:sdtContent>
            <w:sdt>
              <w:sdtPr>
                <w:alias w:val="Pavadinimas"/>
                <w:tag w:val="title_c511502ddf064603b6e9cb0d5329615f"/>
                <w:lock w:val="sdtLocked"/>
                <w:richText/>
              </w:sdtPr>
              <w:sdtContent>
                <w:p w14:paraId="3A80B056" w14:textId="7AE67435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 „DĖL RADVILIŠKIO RAJONO SAVIVALDYBĖS TARYBOS 2018 M. SPALIO 25 D. SPRENDIMO NR. T-991 „DĖL RADVILIŠKIO RAJONO SAVIVALDYBĖS MOKYKLINIŲ AUTOBUSŲ NAUDOJIMO TVARKOS APRAŠO IR VEŽIMO ĮKAINIŲ PATVIRTINIMO“ PAKEITIMO</w:t>
                  </w:r>
                </w:p>
                <w:p w14:paraId="5505125A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3E9DEE9F" w14:textId="77777777">
              <w:pPr>
                <w:ind w:firstLine="851"/>
                <w:jc w:val="center"/>
                <w:rPr>
                  <w:bCs/>
                  <w:szCs w:val="24"/>
                </w:rPr>
              </w:pPr>
            </w:p>
            <w:p w14:paraId="4BD82121" w14:textId="5C9CA38E"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 m. birželio 12 d.</w:t>
              </w:r>
            </w:p>
            <w:p w14:paraId="3D7BC0E3" w14:textId="77777777"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Radviliškis</w:t>
              </w:r>
            </w:p>
            <w:p w14:paraId="4FA38C65" w14:textId="77777777">
              <w:pPr>
                <w:jc w:val="both"/>
                <w:rPr>
                  <w:bCs/>
                  <w:szCs w:val="24"/>
                </w:rPr>
              </w:pPr>
            </w:p>
            <w:sdt>
              <w:sdtPr>
                <w:alias w:val="1 p."/>
                <w:tag w:val="part_79e1730770b54d719a837c93afdfc293"/>
                <w:lock w:val="sdtLocked"/>
                <w:richText/>
              </w:sdtPr>
              <w:sdtContent>
                <w:p w14:paraId="03F91DD7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e1730770b54d719a837c93afdfc29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Projekto rengimą paskatinusios priežastys, parengto projekto tikslai ir uždaviniai.</w:t>
                  </w:r>
                </w:p>
                <w:p w14:paraId="06FA7602" w14:textId="4446B65D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Parengto sprendimo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projekto tikslas – patvirtinti </w:t>
                  </w:r>
                  <w:r>
                    <w:rPr>
                      <w:szCs w:val="24"/>
                    </w:rPr>
                    <w:t>Radviliškio rajono savivaldybės mokyklinių autobusų naudojimo tvarkos aprašo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 xml:space="preserve"> (toliau – Aprašas) pakeitimus, kuriais socialinių paslaugų gavėjai, gaunantys dienos socialinės globos paslaugas, vežami nemokamai į dienos socialinių paslaugų biudžetines įstaigas. Išlaidos finansuojamos </w:t>
                  </w:r>
                  <w:r>
                    <w:rPr>
                      <w:szCs w:val="24"/>
                    </w:rPr>
                    <w:t>iš Radviliškio rajono savivaldybės švietimo ir sporto paslaugų centrui skirtų ūkio lėšų.</w:t>
                  </w:r>
                </w:p>
              </w:sdtContent>
            </w:sdt>
            <w:sdt>
              <w:sdtPr>
                <w:alias w:val="2 p."/>
                <w:tag w:val="part_8be2b8e34e4344559519a7f067a32110"/>
                <w:lock w:val="sdtLocked"/>
                <w:richText/>
              </w:sdtPr>
              <w:sdtContent>
                <w:p w14:paraId="518DE758" w14:textId="77777777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be2b8e34e4344559519a7f067a3211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Projekto iniciatoriai (institucija, asmenys ar piliečių atstovai) ir rengėjai.</w:t>
                  </w:r>
                </w:p>
                <w:p w14:paraId="4BF0F2C9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iniciatorius – Savivaldybės administracijos Švietimo ir sporto skyrius, rengėjai – Savivaldybės administracijos Švietimo ir sporto skyrius.</w:t>
                  </w:r>
                </w:p>
              </w:sdtContent>
            </w:sdt>
            <w:sdt>
              <w:sdtPr>
                <w:alias w:val="3 p."/>
                <w:tag w:val="part_a1219bbb7e724ee3804f6f642ded3794"/>
                <w:lock w:val="sdtLocked"/>
                <w:richText/>
              </w:sdtPr>
              <w:sdtContent>
                <w:p w14:paraId="759EDE5C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219bbb7e724ee3804f6f642ded379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Kaip šiuo metu yra reguliuojami projekte aptarti teisiniai santykiai.</w:t>
                  </w:r>
                </w:p>
                <w:p w14:paraId="6AC56B5A" w14:textId="5DF49AD7">
                  <w:pPr>
                    <w:tabs>
                      <w:tab w:val="left" w:pos="1134"/>
                    </w:tabs>
                    <w:suppressAutoHyphens/>
                    <w:ind w:right="105"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Vadovaujamasi </w:t>
                  </w:r>
                  <w:r>
                    <w:rPr>
                      <w:szCs w:val="24"/>
                    </w:rPr>
                    <w:t>Radviliškio rajono savivaldybės mokyklinių autobusų naudojimo tvarkos aprašo, patvirtinto 2018 m. spalio 25 d. Radviliškio rajono savivaldybės tarybos sprendimu Nr. T-991 „Dėl Radviliškio rajono savivaldybės mokyklinių autobusų naudojimo tvarkos aprašo ir vežimo įkainių patvirtinimo“.</w:t>
                  </w:r>
                </w:p>
              </w:sdtContent>
            </w:sdt>
            <w:sdt>
              <w:sdtPr>
                <w:alias w:val="4 p."/>
                <w:tag w:val="part_cd0d5235656146d1a878f234c7e49cc6"/>
                <w:lock w:val="sdtLocked"/>
                <w:richText/>
              </w:sdtPr>
              <w:sdtContent>
                <w:p w14:paraId="32B44652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d0d5235656146d1a878f234c7e49cc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Kokios siūlomos naujos teisinio reguliavimo nuostatos, kokių teigiamų rezultatų laukiama.</w:t>
                  </w:r>
                </w:p>
                <w:p w14:paraId="79184F6E" w14:textId="43C6BA98">
                  <w:pPr>
                    <w:tabs>
                      <w:tab w:val="left" w:pos="720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Dienos socialinė globa – asmeniui dienos metu teikiama nuolatinė specialistų pagalba, apimanti gyvybiškai svarbių funkcijų palaikymą ir (ar) savarankiškumo ugdymą. Paslaugos gavėjai – vaikai su negalia, suaugę asmenys su negalia, senyvo amžiaus asmenys.</w:t>
                  </w:r>
                </w:p>
                <w:p w14:paraId="7D89E792" w14:textId="56115FD4">
                  <w:pPr>
                    <w:widowControl w:val="0"/>
                    <w:suppressLineNumbers/>
                    <w:suppressAutoHyphens/>
                    <w:overflowPunct w:val="0"/>
                    <w:spacing w:line="100" w:lineRule="atLeast"/>
                    <w:ind w:firstLine="709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Pasekmės teigiamos, nes vadovaujantis pakeistu Aprašu dienos socialinių paslaugų gavėjai ir toliau gaus nemokamas pavėžėjimo paslaugas.</w:t>
                  </w:r>
                </w:p>
              </w:sdtContent>
            </w:sdt>
            <w:sdt>
              <w:sdtPr>
                <w:alias w:val="5 p."/>
                <w:tag w:val="part_0fc1c40489a1464d84fb1f57c41f60aa"/>
                <w:lock w:val="sdtLocked"/>
                <w:richText/>
              </w:sdtPr>
              <w:sdtContent>
                <w:p w14:paraId="2E85C73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c1c40489a1464d84fb1f57c41f60a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Galimos neigiamos priimto sprendimo projekto pasekmės ir kokių priemonių reikėtų imtis, kad tokių pasekmių būtų išvengta.</w:t>
                  </w:r>
                </w:p>
                <w:p w14:paraId="5D38AC66" w14:textId="5EDEC5EB">
                  <w:pPr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sprendimą, neigiamų pasekmių </w:t>
                  </w:r>
                  <w:r>
                    <w:rPr>
                      <w:kern w:val="2"/>
                      <w:szCs w:val="24"/>
                      <w14:ligatures w14:val="standardContextual"/>
                    </w:rPr>
                    <w:t xml:space="preserve">nenumatoma. </w:t>
                  </w:r>
                </w:p>
              </w:sdtContent>
            </w:sdt>
            <w:sdt>
              <w:sdtPr>
                <w:alias w:val="6 p."/>
                <w:tag w:val="part_d9fe0b3b77554e319ca45de54cbd4310"/>
                <w:lock w:val="sdtLocked"/>
                <w:richText/>
              </w:sdtPr>
              <w:sdtContent>
                <w:p w14:paraId="623AA4F6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9fe0b3b77554e319ca45de54cbd431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 w14:paraId="0237DB6E" w14:textId="475EDB8A">
                  <w:pPr>
                    <w:tabs>
                      <w:tab w:val="left" w:pos="1134"/>
                    </w:tabs>
                    <w:suppressAutoHyphens/>
                    <w:ind w:right="105"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Pakeisti</w:t>
                  </w:r>
                  <w:r>
                    <w:rPr>
                      <w:szCs w:val="24"/>
                    </w:rPr>
                    <w:t xml:space="preserve"> Radviliškio rajono savivaldybės mokyklinių autobusų naudojimo tvarkos aprašą, patvirtintą 2018 m. spalio 25 d. Radviliškio rajono savivaldybės tarybos sprendimu Nr. T-991 „Dėl Radviliškio rajono savivaldybės mokyklinių autobusų naudojimo tvarkos aprašo ir vežimo įkainių patvirtinimo“, papildant 8.4 papunkčiu ir pakeičiant 11 punktą.</w:t>
                  </w:r>
                </w:p>
              </w:sdtContent>
            </w:sdt>
            <w:sdt>
              <w:sdtPr>
                <w:alias w:val="7 p."/>
                <w:tag w:val="part_42b8e4310bfc41cdba24b00072e6f8c6"/>
                <w:lock w:val="sdtLocked"/>
                <w:richText/>
              </w:sdtPr>
              <w:sdtContent>
                <w:p w14:paraId="274CE0D2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b8e4310bfc41cdba24b00072e6f8c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projektui įgyvendinti reikalingos lėšos, finansavimo šaltiniai.</w:t>
                  </w:r>
                </w:p>
                <w:p w14:paraId="4B599EA5" w14:textId="491DF450">
                  <w:pPr>
                    <w:widowControl w:val="0"/>
                    <w:suppressLineNumbers/>
                    <w:overflowPunct w:val="0"/>
                    <w:spacing w:line="100" w:lineRule="atLeast"/>
                    <w:ind w:firstLine="709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papildomos biudžeto lėšos nereikalingos.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 Įstaigoms skirtos lėšos bus perskirstytos savivaldybės tarybos nustatyta tvarka.</w:t>
                  </w:r>
                </w:p>
              </w:sdtContent>
            </w:sdt>
            <w:sdt>
              <w:sdtPr>
                <w:alias w:val="8 p."/>
                <w:tag w:val="part_6734bc2768fd48c08549f4d0931e8f33"/>
                <w:lock w:val="sdtLocked"/>
                <w:richText/>
              </w:sdtPr>
              <w:sdtContent>
                <w:p w14:paraId="48280F4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34bc2768fd48c08549f4d0931e8f3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rengimo metu gauti specialistų vertinimai ir išvados.</w:t>
                  </w:r>
                </w:p>
                <w:p w14:paraId="43DF3A36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projektas suderintas su savivaldybės administracijos juristu, kalbininku, direktore, vicemerais, meru ir Švietimo ir sporto skyriaus vedėju.</w:t>
                  </w:r>
                </w:p>
              </w:sdtContent>
            </w:sdt>
            <w:sdt>
              <w:sdtPr>
                <w:alias w:val="9 p."/>
                <w:tag w:val="part_898284142c6a4a209dcaeed81b5a3d74"/>
                <w:lock w:val="sdtLocked"/>
                <w:richText/>
              </w:sdtPr>
              <w:sdtContent>
                <w:p w14:paraId="65C90986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8284142c6a4a209dcaeed81b5a3d7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Numatomo teisinio reguliavimo poveikio vertinimo rezultatai.</w:t>
                  </w:r>
                </w:p>
                <w:p w14:paraId="6C7F46B3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Vertinimas neatliekamas.</w:t>
                  </w:r>
                </w:p>
              </w:sdtContent>
            </w:sdt>
            <w:sdt>
              <w:sdtPr>
                <w:alias w:val="10 p."/>
                <w:tag w:val="part_e8d4cbae298448c5bf1d9cad222c035d"/>
                <w:lock w:val="sdtLocked"/>
                <w:richText/>
              </w:sdtPr>
              <w:sdtContent>
                <w:p w14:paraId="69C825E1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d4cbae298448c5bf1d9cad222c035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antikorupcinis vertinimas.</w:t>
                  </w:r>
                </w:p>
                <w:p w14:paraId="3E621576" w14:textId="77777777">
                  <w:pPr>
                    <w:tabs>
                      <w:tab w:val="left" w:pos="1276"/>
                    </w:tabs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kern w:val="2"/>
                      <w:szCs w:val="24"/>
                      <w14:ligatures w14:val="standardContextual"/>
                    </w:rPr>
                    <w:t>Sprendimo projektas antikorupciniam vertinimui neteikiamas.</w:t>
                  </w:r>
                </w:p>
              </w:sdtContent>
            </w:sdt>
            <w:sdt>
              <w:sdtPr>
                <w:alias w:val="11 p."/>
                <w:tag w:val="part_493272cffb254b0f977f3432cddb0de6"/>
                <w:lock w:val="sdtLocked"/>
                <w:richText/>
              </w:sdtPr>
              <w:sdtContent>
                <w:p w14:paraId="53DE18D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93272cffb254b0f977f3432cddb0de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Kiti, iniciatoriaus nuomone, reikalingi pagrindimai ir paaiškinimai.</w:t>
                  </w:r>
                </w:p>
                <w:p w14:paraId="0A6C1387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702b3a3ed01944a08daa947d8c49fa7b"/>
                <w:lock w:val="sdtLocked"/>
                <w:richText/>
              </w:sdtPr>
              <w:sdtContent>
                <w:p w14:paraId="6F35DB96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2b3a3ed01944a08daa947d8c49fa7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Pridedami dokumentai.</w:t>
                  </w:r>
                </w:p>
                <w:p w14:paraId="0035F684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  <w:p w14:paraId="313EE485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14:paraId="54D18F7E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2E35AFEE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163a6593ab649a398635be29c59d2e1"/>
            <w:lock w:val="sdtLocked"/>
            <w:richText/>
          </w:sdtPr>
          <w:sdtContent>
            <w:p w14:paraId="5CAB011F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 ir sporto skyriaus vyriausioji specialistė</w:t>
                <w:tab/>
                <w:t xml:space="preserve">                                                Rūta Šadbarienė</w:t>
              </w:r>
            </w:p>
            <w:p w14:paraId="0B29E542" w14:textId="65E7AD88">
              <w:pPr>
                <w:tabs>
                  <w:tab w:val="left" w:pos="1134"/>
                </w:tabs>
                <w:ind w:firstLine="709"/>
                <w:rPr>
                  <w:bCs/>
                  <w:color w:val="000000"/>
                  <w:szCs w:val="24"/>
                  <w:lang w:eastAsia="lt-LT"/>
                </w:rPr>
              </w:pPr>
            </w:p>
            <w:p w14:paraId="5D227F00" w14:textId="77777777">
              <w:pPr>
                <w:rPr>
                  <w:szCs w:val="24"/>
                  <w:lang w:eastAsia="lt-LT"/>
                </w:rPr>
              </w:pPr>
            </w:p>
            <w:p w14:paraId="31118854" w14:textId="77777777">
              <w:pPr>
                <w:rPr>
                  <w:szCs w:val="24"/>
                  <w:lang w:eastAsia="lt-LT"/>
                </w:rPr>
              </w:pPr>
            </w:p>
            <w:p w14:paraId="2915B8E4" w14:textId="77777777">
              <w:pPr>
                <w:rPr>
                  <w:szCs w:val="24"/>
                  <w:lang w:eastAsia="lt-LT"/>
                </w:rPr>
              </w:pPr>
            </w:p>
            <w:p w14:paraId="03771A52" w14:textId="77777777">
              <w:pPr>
                <w:rPr>
                  <w:szCs w:val="24"/>
                  <w:lang w:eastAsia="lt-LT"/>
                </w:rPr>
              </w:pPr>
            </w:p>
            <w:p w14:paraId="36EF840C" w14:textId="77777777">
              <w:pPr>
                <w:rPr>
                  <w:szCs w:val="24"/>
                  <w:lang w:eastAsia="lt-LT"/>
                </w:rPr>
              </w:pPr>
            </w:p>
            <w:p w14:paraId="0C37831A" w14:textId="77777777">
              <w:pPr>
                <w:rPr>
                  <w:szCs w:val="24"/>
                  <w:lang w:eastAsia="lt-LT"/>
                </w:rPr>
              </w:pPr>
            </w:p>
            <w:p w14:paraId="38FCEC6C" w14:textId="77777777">
              <w:pPr>
                <w:rPr>
                  <w:szCs w:val="24"/>
                  <w:lang w:eastAsia="lt-LT"/>
                </w:rPr>
              </w:pPr>
            </w:p>
            <w:p w14:paraId="4F30CDAE" w14:textId="77777777">
              <w:pPr>
                <w:rPr>
                  <w:szCs w:val="24"/>
                  <w:lang w:eastAsia="lt-LT"/>
                </w:rPr>
              </w:pPr>
            </w:p>
            <w:p w14:paraId="67331095" w14:textId="77777777">
              <w:pPr>
                <w:rPr>
                  <w:szCs w:val="24"/>
                  <w:lang w:eastAsia="lt-LT"/>
                </w:rPr>
              </w:pPr>
            </w:p>
            <w:p w14:paraId="5C57C4B1" w14:textId="77777777">
              <w:pPr>
                <w:rPr>
                  <w:szCs w:val="24"/>
                  <w:lang w:eastAsia="lt-LT"/>
                </w:rPr>
              </w:pPr>
            </w:p>
            <w:p w14:paraId="5B3CA3BB" w14:textId="77777777">
              <w:pPr>
                <w:rPr>
                  <w:szCs w:val="24"/>
                  <w:lang w:eastAsia="lt-LT"/>
                </w:rPr>
              </w:pPr>
            </w:p>
            <w:p w14:paraId="0D4D0466" w14:textId="77777777">
              <w:pPr>
                <w:rPr>
                  <w:szCs w:val="24"/>
                  <w:lang w:eastAsia="lt-LT"/>
                </w:rPr>
              </w:pPr>
            </w:p>
            <w:p w14:paraId="66CF0FAD" w14:textId="77777777">
              <w:pPr>
                <w:rPr>
                  <w:szCs w:val="24"/>
                  <w:lang w:eastAsia="lt-LT"/>
                </w:rPr>
              </w:pPr>
            </w:p>
            <w:p w14:paraId="064EACAD" w14:textId="77777777">
              <w:pPr>
                <w:rPr>
                  <w:szCs w:val="24"/>
                  <w:lang w:eastAsia="lt-LT"/>
                </w:rPr>
              </w:pPr>
            </w:p>
            <w:p w14:paraId="0FD936E1" w14:textId="77777777">
              <w:pPr>
                <w:rPr>
                  <w:szCs w:val="24"/>
                  <w:lang w:eastAsia="lt-LT"/>
                </w:rPr>
              </w:pPr>
            </w:p>
            <w:p w14:paraId="7A28B306" w14:textId="77777777">
              <w:pPr>
                <w:rPr>
                  <w:szCs w:val="24"/>
                  <w:lang w:eastAsia="lt-LT"/>
                </w:rPr>
              </w:pPr>
            </w:p>
            <w:p w14:paraId="02BDD679" w14:textId="77777777">
              <w:pPr>
                <w:rPr>
                  <w:szCs w:val="24"/>
                  <w:lang w:eastAsia="lt-LT"/>
                </w:rPr>
              </w:pPr>
            </w:p>
            <w:p w14:paraId="00AC3E7F" w14:textId="77777777">
              <w:pPr>
                <w:rPr>
                  <w:szCs w:val="24"/>
                  <w:lang w:eastAsia="lt-LT"/>
                </w:rPr>
              </w:pPr>
            </w:p>
            <w:p w14:paraId="1B7ED798" w14:textId="77777777">
              <w:pPr>
                <w:rPr>
                  <w:szCs w:val="24"/>
                  <w:lang w:eastAsia="lt-LT"/>
                </w:rPr>
              </w:pPr>
            </w:p>
            <w:p w14:paraId="61F6C2A0" w14:textId="77777777">
              <w:pPr>
                <w:rPr>
                  <w:szCs w:val="24"/>
                  <w:lang w:eastAsia="lt-LT"/>
                </w:rPr>
              </w:pPr>
            </w:p>
            <w:p w14:paraId="45ABC517" w14:textId="77777777">
              <w:pPr>
                <w:rPr>
                  <w:szCs w:val="24"/>
                  <w:lang w:eastAsia="lt-LT"/>
                </w:rPr>
              </w:pPr>
            </w:p>
            <w:p w14:paraId="5C0C4806" w14:textId="77777777">
              <w:pPr>
                <w:rPr>
                  <w:szCs w:val="24"/>
                  <w:lang w:eastAsia="lt-LT"/>
                </w:rPr>
              </w:pPr>
            </w:p>
            <w:p w14:paraId="087B57F1" w14:textId="77777777">
              <w:pPr>
                <w:rPr>
                  <w:szCs w:val="24"/>
                  <w:lang w:eastAsia="lt-LT"/>
                </w:rPr>
              </w:pPr>
            </w:p>
            <w:p w14:paraId="5A276E21" w14:textId="77777777">
              <w:pPr>
                <w:rPr>
                  <w:szCs w:val="24"/>
                  <w:lang w:eastAsia="lt-LT"/>
                </w:rPr>
              </w:pPr>
            </w:p>
            <w:p w14:paraId="0EFE9084" w14:textId="77777777">
              <w:pPr>
                <w:rPr>
                  <w:szCs w:val="24"/>
                  <w:lang w:eastAsia="lt-LT"/>
                </w:rPr>
              </w:pPr>
            </w:p>
            <w:p w14:paraId="6D07DBE4" w14:textId="77777777">
              <w:pPr>
                <w:rPr>
                  <w:szCs w:val="24"/>
                  <w:lang w:eastAsia="lt-LT"/>
                </w:rPr>
              </w:pPr>
            </w:p>
            <w:p w14:paraId="467E2CE6" w14:textId="77777777">
              <w:pPr>
                <w:rPr>
                  <w:szCs w:val="24"/>
                  <w:lang w:eastAsia="lt-LT"/>
                </w:rPr>
              </w:pPr>
            </w:p>
            <w:p w14:paraId="52D6A4C5" w14:textId="77777777">
              <w:pPr>
                <w:rPr>
                  <w:szCs w:val="24"/>
                  <w:lang w:eastAsia="lt-LT"/>
                </w:rPr>
              </w:pPr>
            </w:p>
            <w:p w14:paraId="23B3D1BF" w14:textId="77777777">
              <w:pPr>
                <w:rPr>
                  <w:szCs w:val="24"/>
                  <w:lang w:eastAsia="lt-LT"/>
                </w:rPr>
              </w:pPr>
            </w:p>
            <w:p w14:paraId="54A7C9A5" w14:textId="77777777">
              <w:pPr>
                <w:rPr>
                  <w:szCs w:val="24"/>
                  <w:lang w:eastAsia="lt-LT"/>
                </w:rPr>
              </w:pPr>
            </w:p>
            <w:p w14:paraId="5B3AB184" w14:textId="77777777">
              <w:pPr>
                <w:rPr>
                  <w:szCs w:val="24"/>
                  <w:lang w:eastAsia="lt-LT"/>
                </w:rPr>
              </w:pPr>
            </w:p>
            <w:p w14:paraId="52D031DD" w14:textId="77777777">
              <w:pPr>
                <w:rPr>
                  <w:bCs/>
                  <w:color w:val="000000"/>
                  <w:szCs w:val="24"/>
                  <w:lang w:eastAsia="lt-LT"/>
                </w:rPr>
              </w:pPr>
            </w:p>
            <w:p w14:paraId="1A42FFBE" w14:textId="77777777">
              <w:pPr>
                <w:rPr>
                  <w:szCs w:val="24"/>
                  <w:lang w:eastAsia="lt-LT"/>
                </w:rPr>
              </w:pPr>
            </w:p>
            <w:p w14:paraId="6D4BDE38" w14:textId="77777777">
              <w:pPr>
                <w:rPr>
                  <w:bCs/>
                  <w:color w:val="000000"/>
                  <w:szCs w:val="24"/>
                  <w:lang w:eastAsia="lt-LT"/>
                </w:rPr>
              </w:pPr>
            </w:p>
            <w:p w14:paraId="11D50A07" w14:textId="77777777">
              <w:pPr>
                <w:rPr>
                  <w:bCs/>
                  <w:color w:val="000000"/>
                  <w:szCs w:val="24"/>
                  <w:lang w:eastAsia="lt-LT"/>
                </w:rPr>
              </w:pPr>
            </w:p>
            <w:p w14:paraId="37DFCF3D" w14:textId="77777777">
              <w:pPr>
                <w:rPr>
                  <w:szCs w:val="24"/>
                  <w:lang w:eastAsia="lt-LT"/>
                </w:rPr>
              </w:pPr>
            </w:p>
            <w:p w14:paraId="41E2F7D1" w14:textId="77777777">
              <w:pPr>
                <w:rPr>
                  <w:szCs w:val="24"/>
                  <w:lang w:eastAsia="lt-LT"/>
                </w:rPr>
              </w:pPr>
            </w:p>
            <w:p w14:paraId="2E2A6B09" w14:textId="77777777">
              <w:pPr>
                <w:rPr>
                  <w:szCs w:val="24"/>
                  <w:lang w:eastAsia="lt-LT"/>
                </w:rPr>
              </w:pPr>
            </w:p>
            <w:p w14:paraId="57CADF33" w14:textId="77777777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59B90D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9984592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A90FC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F305F5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257CE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9166E4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EBCF69F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317559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903845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9049DA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929E733"/>
  <w15:docId w15:val="{B8843522-A2EC-4415-B9FF-B4A8F7786E5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091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0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258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94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068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2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93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5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7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86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71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16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3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7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51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76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9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87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0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73da385496a439bb7a50f14ef96c55d" PartId="e7fda50910f04217ae56a89f32810925">
    <Part Type="preambule" DocPartId="892057960afc4f08ba7faeb5a48ee295" PartId="7f851b8567394fc9becee159b4a5525b"/>
    <Part Type="punktas" Nr="1" Abbr="1 p." DocPartId="55d6e8aa55314761bf8561fd1bd0053c" PartId="cc8875a066d044c0813a678d096115f4">
      <Part Type="papunktis" Nr="1.1" Abbr="1.1 pp." DocPartId="ab5a6fe767e54f9ba510adcd062399ab" PartId="b3e47ae5f0954c8681ff8adc50608301">
        <Part Type="citata" DocPartId="26758827601c43a4b561e444d0564059" PartId="5c73500ca4e04c2d9d89ff91dd7b27cc">
          <Part Type="papunktis" Nr="8.4" Abbr="8.4 pp." DocPartId="c4c4ef707c7746f4a8068f95bfca143c" PartId="33f4684a82c141879f4635f8ac1e0c28"/>
        </Part>
      </Part>
      <Part Type="papunktis" Nr="1.2" Abbr="1.2 pp." DocPartId="84f2c4fc5d1043bb83533db5b27e3f32" PartId="8e57204f902e43b49ca397f77bd26390">
        <Part Type="citata" DocPartId="f730d70d5456437c9f97bdeefd8f5785" PartId="98ab5262482b429c8b9d08b1fa51cd12">
          <Part Type="punktas" Nr="11" Abbr="11 p." DocPartId="b20329ce9e1c40118b61047b1534a585" PartId="3f47ef730ddd47f4af228ec34b6cd8ea"/>
        </Part>
        <Part Type="pastraipa" DocPartId="1ca1a2660f42461398bb4a58e0709d6c" PartId="2b88ce7539474a8f84f66cbbbd733a34"/>
      </Part>
    </Part>
    <Part Type="skirsnis" Title="RADVILIŠKIO RAJONO SAVIVALDYBĖS TARYBOS SPRENDIMO PROJEKTO „DĖL RADVILIŠKIO RAJONO SAVIVALDYBĖS TARYBOS 2018 M. SPALIO 25 D. SPRENDIMO NR. T-991 „DĖL RADVILIŠKIO RAJONO SAVIVALDYBĖS MOKYKLINIŲ AUTOBUSŲ NAUDOJIMO TVARKOS APRAŠO IR VEŽIMO ĮKAINIŲ PATVIRTINIMO“ PAKEITIMO AIŠKINAMASIS RAŠTAS" DocPartId="bd2a98c3e83148aab099dd8b6310ac31" PartId="c511502ddf064603b6e9cb0d5329615f">
      <Part Type="punktas" Nr="1" Abbr="1 p." DocPartId="1ddae0faffa740158aa386eb9256a01d" PartId="79e1730770b54d719a837c93afdfc293"/>
      <Part Type="punktas" Nr="2" Abbr="2 p." DocPartId="1164fba8b939444e97d2398e91654f23" PartId="8be2b8e34e4344559519a7f067a32110"/>
      <Part Type="punktas" Nr="3" Abbr="3 p." DocPartId="332ad4ab873e4cd48ceae6392c8cfd4e" PartId="a1219bbb7e724ee3804f6f642ded3794"/>
      <Part Type="punktas" Nr="4" Abbr="4 p." DocPartId="1f24cfc2843f44838c0fb4ed8bc6a32a" PartId="cd0d5235656146d1a878f234c7e49cc6"/>
      <Part Type="punktas" Nr="5" Abbr="5 p." DocPartId="5d3a38b3d2ab4c5db9235e9ca0f5ceaa" PartId="0fc1c40489a1464d84fb1f57c41f60aa"/>
      <Part Type="punktas" Nr="6" Abbr="6 p." DocPartId="1591fa9b224447c194c84f446983b4e8" PartId="d9fe0b3b77554e319ca45de54cbd4310"/>
      <Part Type="punktas" Nr="7" Abbr="7 p." DocPartId="17db301c47da4cbb927aac6aef463009" PartId="42b8e4310bfc41cdba24b00072e6f8c6"/>
      <Part Type="punktas" Nr="8" Abbr="8 p." DocPartId="0bd6cfa48c394ce386d550edb3203b95" PartId="6734bc2768fd48c08549f4d0931e8f33"/>
      <Part Type="punktas" Nr="9" Abbr="9 p." DocPartId="320391fc1758473783754e976da7e07e" PartId="898284142c6a4a209dcaeed81b5a3d74"/>
      <Part Type="punktas" Nr="10" Abbr="10 p." DocPartId="45e4bab0e9f443e89f3dece8ea61ee5f" PartId="e8d4cbae298448c5bf1d9cad222c035d"/>
      <Part Type="punktas" Nr="11" Abbr="11 p." DocPartId="ba1d0844f6e84475a8083630cc9386aa" PartId="493272cffb254b0f977f3432cddb0de6"/>
      <Part Type="punktas" Nr="12" Abbr="12 p." DocPartId="6e8257dacbc849bd9832fef364ea6580" PartId="702b3a3ed01944a08daa947d8c49fa7b"/>
    </Part>
    <Part Type="signatura" DocPartId="978c9c18e00a4767be193790b811cec5" PartId="b163a6593ab649a398635be29c59d2e1"/>
  </Part>
</Parts>
</file>

<file path=customXml/itemProps1.xml><?xml version="1.0" encoding="utf-8"?>
<ds:datastoreItem xmlns:ds="http://schemas.openxmlformats.org/officeDocument/2006/customXml" ds:itemID="{DEE1BADB-B7C3-489B-9CD8-A40CEE7F032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BF6BD95-285B-457B-8232-BC53B494F7F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567</Words>
  <Characters>4164</Characters>
  <Application>Microsoft Office Word</Application>
  <DocSecurity>4</DocSecurity>
  <Lines>134</Lines>
  <Paragraphs>51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2025-06-16T07:37:00Z</dcterms:created>
  <dc:creator>Romualda Baginienė</dc:creator>
  <lastModifiedBy>adlibuser</lastModifiedBy>
  <lastPrinted>2025-06-12T06:40:00Z</lastPrinted>
  <dcterms:modified xsi:type="dcterms:W3CDTF">2025-06-16T07:37:00Z</dcterms:modified>
  <revision>2</revision>
</coreProperties>
</file>