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4E041E63" w14:textId="77777777">
      <w:pPr>
        <w:tabs>
          <w:tab w:val="center" w:pos="4153"/>
          <w:tab w:val="right" w:pos="8306"/>
        </w:tabs>
        <w:suppressAutoHyphens/>
        <w:ind w:firstLine="720"/>
        <w:jc w:val="right"/>
        <w:textAlignment w:val="baseline"/>
        <w:rPr>
          <w:b/>
          <w:szCs w:val="24"/>
        </w:rPr>
      </w:pPr>
      <w:r>
        <w:rPr>
          <w:b/>
          <w:szCs w:val="24"/>
        </w:rPr>
        <w:t xml:space="preserve">Projektas </w:t>
      </w:r>
    </w:p>
    <w:p w14:paraId="4F2BDB8F" w14:textId="77777777">
      <w:pPr>
        <w:suppressAutoHyphens/>
        <w:jc w:val="center"/>
        <w:textAlignment w:val="baseline"/>
        <w:rPr>
          <w:szCs w:val="24"/>
          <w:lang w:val="en-US" w:eastAsia="lt-LT"/>
        </w:rPr>
      </w:pPr>
    </w:p>
    <w:p w14:paraId="6092E9F8" w14:textId="77777777">
      <w:pPr>
        <w:suppressAutoHyphens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VALSTYBINĖ KAINŲ IR ENERGETIKOS KONTROLĖS KOMISIJA</w:t>
      </w:r>
    </w:p>
    <w:p w14:paraId="431DF217" w14:textId="77777777">
      <w:pPr>
        <w:suppressAutoHyphens/>
        <w:jc w:val="center"/>
        <w:textAlignment w:val="baseline"/>
        <w:rPr>
          <w:b/>
          <w:szCs w:val="24"/>
          <w:lang w:eastAsia="lt-LT"/>
        </w:rPr>
      </w:pPr>
    </w:p>
    <w:p w14:paraId="7F26B3F2" w14:textId="77777777">
      <w:pPr>
        <w:suppressAutoHyphens/>
        <w:ind w:firstLine="72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NUTARIMAS</w:t>
      </w:r>
    </w:p>
    <w:p w14:paraId="3DA77187" w14:textId="1A7B8182">
      <w:pPr>
        <w:suppressAutoHyphens/>
        <w:ind w:firstLine="720"/>
        <w:jc w:val="center"/>
        <w:textAlignment w:val="baseline"/>
        <w:rPr>
          <w:rFonts w:ascii="Arial" w:hAnsi="Arial" w:cs="Arial"/>
          <w:sz w:val="20"/>
        </w:rPr>
      </w:pPr>
      <w:r>
        <w:rPr>
          <w:b/>
          <w:caps/>
          <w:szCs w:val="24"/>
        </w:rPr>
        <w:t xml:space="preserve">DĖL vALSTYBINĖS KAINŲ IR ENERGETIKOS KONTROLĖS KOMISIJOS </w:t>
        <w:br/>
        <w:t>2008 M. lapkričio 17 D. NUTARIMo NR. o3-187 „</w:t>
      </w:r>
      <w:r>
        <w:rPr>
          <w:b/>
          <w:szCs w:val="24"/>
        </w:rPr>
        <w:t>DĖL GAMTINIŲ DUJŲ NAUJŲ VARTOTOJŲ PRIJUNGIMO ĮKAINIŲ SKAIČIAVIMO METODIKOS PATVIRTINIMO“ PAKEITIMO</w:t>
      </w:r>
    </w:p>
    <w:p w14:paraId="5BBB2DF2" w14:textId="77777777">
      <w:pPr>
        <w:suppressAutoHyphens/>
        <w:ind w:firstLine="720"/>
        <w:jc w:val="center"/>
        <w:textAlignment w:val="baseline"/>
        <w:rPr>
          <w:szCs w:val="24"/>
        </w:rPr>
      </w:pPr>
    </w:p>
    <w:p w14:paraId="36DE77F4" w14:textId="20B933CD">
      <w:pPr>
        <w:suppressAutoHyphens/>
        <w:ind w:firstLine="720"/>
        <w:jc w:val="center"/>
        <w:textAlignment w:val="baseline"/>
        <w:rPr>
          <w:szCs w:val="24"/>
        </w:rPr>
      </w:pPr>
      <w:r>
        <w:rPr>
          <w:szCs w:val="24"/>
        </w:rPr>
        <w:t xml:space="preserve">2019 m. balandžio   d. Nr. O3E-</w:t>
      </w:r>
    </w:p>
    <w:p w14:paraId="0FAC99B8" w14:textId="77777777">
      <w:pPr>
        <w:suppressAutoHyphens/>
        <w:ind w:firstLine="72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14:paraId="6B91E5A8" w14:textId="77777777">
      <w:pPr>
        <w:suppressAutoHyphens/>
        <w:ind w:firstLine="720"/>
        <w:jc w:val="both"/>
        <w:textAlignment w:val="baseline"/>
        <w:rPr>
          <w:szCs w:val="24"/>
        </w:rPr>
      </w:pPr>
    </w:p>
    <w:p w14:paraId="559661A0" w14:textId="2E06D0B3">
      <w:pPr>
        <w:suppressAutoHyphens/>
        <w:ind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Vadovaudamasi Lietuvos Respublikos gamtinių dujų įstatymo 9 straipsnio 2 dalimi, atsižvelgdama į Valstybinės kainų ir energetikos kontrolės komisijos (toliau – Komisija) Dujų ir elektros departamento Dujų skyriaus 2019 m. balandžio     d. pažymą Nr. O5E-    „Dėl Valstybinės kainų ir energetikos kontrolės komisijos 2008  m. lapkričio 17 d. nutarimo Nr. O3-187 „Dėl Gamtinių dujų naujų vartotojų prijungimo įkainių skaičiavimo metodikos patvirtinimo“ pakeitimo“, Komisija n u t a r i a:</w:t>
      </w:r>
    </w:p>
    <w:p w14:paraId="28685F2B" w14:textId="1B3A1EE7">
      <w:pPr>
        <w:suppressAutoHyphens/>
        <w:ind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Pakeisti Gamtinių dujų naujų vartotojų, naujų gamtinių dujų sistemų ir biodujų jėgainių  prijungimo įkainių nustatymo metodiką, patvirtintą Komisijos 2008 m. lapkričio 17 d. nutarimu </w:t>
        <w:br/>
        <w:t>Nr. O3-187 „Dėl Gamtinių dujų naujų vartotojų prijungimo įkainių skaičiavimo metodikos patvirtinimo“ (toliau – Metodika):</w:t>
      </w:r>
    </w:p>
    <w:p w14:paraId="4717D02F" w14:textId="5550D8C6">
      <w:pPr>
        <w:suppressAutoHyphens/>
        <w:ind w:left="1080" w:hanging="360"/>
        <w:jc w:val="both"/>
        <w:textAlignment w:val="baseline"/>
        <w:rPr>
          <w:szCs w:val="16"/>
        </w:rPr>
      </w:pPr>
      <w:r>
        <w:rPr>
          <w:szCs w:val="16"/>
        </w:rPr>
        <w:t>1</w:t>
      </w:r>
      <w:r>
        <w:rPr>
          <w:szCs w:val="16"/>
        </w:rPr>
        <w:t>.</w:t>
        <w:tab/>
        <w:t>Pakeisti Metodikos 36 punktą ir išdėstyti jį taip:</w:t>
      </w:r>
    </w:p>
    <w:p w14:paraId="1C2FE6D0" w14:textId="48D48DBB">
      <w:pPr>
        <w:suppressAutoHyphens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 xml:space="preserve">. Buitinių vartotojų prijungimo įkainiai yra nustatomi pagal šio skirsnio nuostatas atskirai: </w:t>
      </w:r>
    </w:p>
    <w:p w14:paraId="74B679EC" w14:textId="4040E616">
      <w:pPr>
        <w:tabs>
          <w:tab w:val="left" w:pos="720"/>
        </w:tabs>
        <w:suppressAutoHyphens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– buitiniams vartotojams, suvartojantiems iki 300 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per metus arba dujas naudosiantiems buitinėms viryklėms;</w:t>
      </w:r>
    </w:p>
    <w:p w14:paraId="17705410" w14:textId="14C7A8BF">
      <w:pPr>
        <w:tabs>
          <w:tab w:val="left" w:pos="720"/>
        </w:tabs>
        <w:suppressAutoHyphens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– buitiniams vartotojams, suvartojantiems daugiau kaip 300 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per metus arba dujas naudosiantiems vandeniui ir (arba) patalpoms šildyti.“</w:t>
      </w:r>
    </w:p>
    <w:p w14:paraId="763978EA" w14:textId="5A5A4D35">
      <w:pPr>
        <w:suppressAutoHyphens/>
        <w:ind w:left="1080" w:hanging="360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  <w:tab/>
        <w:t>Papildyti Metodiką 47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 w14:paraId="58B30F54" w14:textId="1FC04B54">
      <w:pPr>
        <w:tabs>
          <w:tab w:val="left" w:pos="1134"/>
        </w:tabs>
        <w:suppressAutoHyphens/>
        <w:ind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lang w:eastAsia="lt-LT"/>
        </w:rPr>
        <w:t>47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 Jei dujų įmonės pateikti faktiniai duomenys prijungimo įkainio nustatymui apima tik pradėtą, bet dar nebaigtą dujofikuoti gyvenamųjų namų kvartalą, prijungimo įkainis skaičiuojamas, vertinant viso kvartalo dujofikavimo duomenis: būtinas investicijas, potencialų vartotojų skaičių, reikalingą nutiesti dujotiekio ilgį.</w:t>
      </w:r>
      <w:r>
        <w:rPr>
          <w:szCs w:val="24"/>
          <w:lang w:eastAsia="lt-LT"/>
        </w:rPr>
        <w:t>“</w:t>
      </w:r>
    </w:p>
    <w:p w14:paraId="72BC9F16" w14:textId="77777777">
      <w:pPr>
        <w:tabs>
          <w:tab w:val="left" w:pos="1134"/>
        </w:tabs>
        <w:suppressAutoHyphens/>
        <w:ind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Pakeisti Metodikos priedą ir išdėstyti jį nauja redakcija. </w:t>
      </w:r>
    </w:p>
    <w:p w14:paraId="6B7E8269" w14:textId="5F3E43D1">
      <w:pPr>
        <w:tabs>
          <w:tab w:val="left" w:pos="1134"/>
        </w:tabs>
        <w:suppressAutoHyphens/>
        <w:ind w:firstLine="709"/>
        <w:jc w:val="both"/>
        <w:textAlignment w:val="baseline"/>
        <w:rPr>
          <w:szCs w:val="24"/>
          <w:lang w:eastAsia="lt-LT"/>
        </w:rPr>
      </w:pPr>
    </w:p>
    <w:p w14:paraId="6C3E9956" w14:textId="388D7034">
      <w:pPr>
        <w:tabs>
          <w:tab w:val="left" w:pos="1134"/>
        </w:tabs>
        <w:suppressAutoHyphens/>
        <w:ind w:firstLine="709"/>
        <w:jc w:val="both"/>
        <w:textAlignment w:val="baseline"/>
        <w:rPr>
          <w:szCs w:val="24"/>
          <w:lang w:eastAsia="lt-LT"/>
        </w:rPr>
      </w:pPr>
    </w:p>
    <w:p w14:paraId="25164D63" w14:textId="77777777">
      <w:pPr>
        <w:tabs>
          <w:tab w:val="left" w:pos="1134"/>
        </w:tabs>
        <w:suppressAutoHyphens/>
        <w:ind w:firstLine="709"/>
        <w:jc w:val="both"/>
        <w:textAlignment w:val="baseline"/>
        <w:rPr>
          <w:szCs w:val="24"/>
          <w:lang w:eastAsia="lt-LT"/>
        </w:rPr>
      </w:pPr>
    </w:p>
    <w:p w14:paraId="03ACC719" w14:textId="2B8CC460">
      <w:pPr>
        <w:suppressAutoHyphens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Komisijos pirmininkas</w:t>
      </w:r>
    </w:p>
    <w:p w14:paraId="525652AB" w14:textId="4A834EC7">
      <w:pPr>
        <w:suppressAutoHyphens/>
        <w:jc w:val="both"/>
        <w:textAlignment w:val="baseline"/>
        <w:rPr>
          <w:color w:val="000000"/>
          <w:szCs w:val="24"/>
        </w:rPr>
      </w:pPr>
    </w:p>
    <w:p w14:paraId="2A7209DA" w14:textId="69CC1B26">
      <w:pPr>
        <w:suppressAutoHyphens/>
        <w:jc w:val="both"/>
        <w:textAlignment w:val="baseline"/>
        <w:rPr>
          <w:color w:val="000000"/>
          <w:szCs w:val="24"/>
        </w:rPr>
      </w:pPr>
    </w:p>
    <w:p w14:paraId="563A6189" w14:textId="3D8DBB7A">
      <w:pPr>
        <w:suppressAutoHyphens/>
        <w:jc w:val="both"/>
        <w:textAlignment w:val="baseline"/>
        <w:rPr>
          <w:color w:val="000000"/>
          <w:szCs w:val="24"/>
        </w:rPr>
      </w:pPr>
    </w:p>
    <w:p w14:paraId="015E185B" w14:textId="27D4B85F">
      <w:pPr>
        <w:suppressAutoHyphens/>
        <w:jc w:val="both"/>
        <w:textAlignment w:val="baseline"/>
        <w:rPr>
          <w:color w:val="000000"/>
          <w:szCs w:val="24"/>
        </w:rPr>
      </w:pPr>
    </w:p>
    <w:p w14:paraId="26B1CFB5" w14:textId="011F106E">
      <w:pPr>
        <w:suppressAutoHyphens/>
        <w:jc w:val="both"/>
        <w:textAlignment w:val="baseline"/>
        <w:rPr>
          <w:color w:val="000000"/>
          <w:szCs w:val="24"/>
        </w:rPr>
      </w:pPr>
    </w:p>
    <w:p w14:paraId="1FC60655" w14:textId="1F10C798">
      <w:pPr>
        <w:suppressAutoHyphens/>
        <w:jc w:val="both"/>
        <w:textAlignment w:val="baseline"/>
        <w:rPr>
          <w:color w:val="000000"/>
          <w:szCs w:val="24"/>
        </w:rPr>
      </w:pPr>
    </w:p>
    <w:p w14:paraId="61C5CD43" w14:textId="584ECCB4">
      <w:pPr>
        <w:suppressAutoHyphens/>
        <w:jc w:val="both"/>
        <w:textAlignment w:val="baseline"/>
        <w:rPr>
          <w:color w:val="000000"/>
          <w:szCs w:val="24"/>
        </w:rPr>
      </w:pPr>
    </w:p>
    <w:p w14:paraId="62100B07" w14:textId="6C9C3AFA">
      <w:pPr>
        <w:suppressAutoHyphens/>
        <w:jc w:val="both"/>
        <w:textAlignment w:val="baseline"/>
        <w:rPr>
          <w:color w:val="000000"/>
          <w:szCs w:val="24"/>
        </w:rPr>
      </w:pPr>
    </w:p>
    <w:p w14:paraId="408F78C3" w14:textId="04D67081">
      <w:pPr>
        <w:suppressAutoHyphens/>
        <w:jc w:val="both"/>
        <w:textAlignment w:val="baseline"/>
        <w:rPr>
          <w:color w:val="000000"/>
          <w:szCs w:val="24"/>
        </w:rPr>
      </w:pPr>
    </w:p>
    <w:p w14:paraId="31A6A7EE" w14:textId="3FDF30E5">
      <w:pPr>
        <w:suppressAutoHyphens/>
        <w:jc w:val="both"/>
        <w:textAlignment w:val="baseline"/>
        <w:rPr>
          <w:color w:val="000000"/>
          <w:szCs w:val="24"/>
        </w:rPr>
      </w:pPr>
    </w:p>
    <w:p w14:paraId="706390EA" w14:textId="439A1741">
      <w:pPr>
        <w:suppressAutoHyphens/>
        <w:jc w:val="both"/>
        <w:textAlignment w:val="baseline"/>
        <w:rPr>
          <w:color w:val="000000"/>
          <w:szCs w:val="24"/>
        </w:rPr>
      </w:pPr>
    </w:p>
    <w:p w14:paraId="097AEF4F" w14:textId="4E156F59">
      <w:pPr>
        <w:suppressAutoHyphens/>
        <w:jc w:val="both"/>
        <w:textAlignment w:val="baseline"/>
        <w:rPr>
          <w:color w:val="000000"/>
          <w:szCs w:val="24"/>
        </w:rPr>
      </w:pPr>
    </w:p>
    <w:p w14:paraId="275D95E8" w14:textId="0F457E28">
      <w:pPr>
        <w:suppressAutoHyphens/>
        <w:jc w:val="both"/>
        <w:textAlignment w:val="baseline"/>
        <w:rPr>
          <w:color w:val="000000"/>
          <w:szCs w:val="24"/>
        </w:rPr>
      </w:pPr>
    </w:p>
    <w:p w14:paraId="78056BDE" w14:textId="5F6562CB">
      <w:pPr>
        <w:suppressAutoHyphens/>
        <w:jc w:val="both"/>
        <w:textAlignment w:val="baseline"/>
        <w:rPr>
          <w:color w:val="000000"/>
          <w:szCs w:val="24"/>
        </w:rPr>
      </w:pPr>
    </w:p>
    <w:p w14:paraId="6A8D773A" w14:textId="77777777">
      <w:pPr>
        <w:ind w:left="4395" w:hanging="426"/>
        <w:jc w:val="both"/>
        <w:rPr>
          <w:lang w:eastAsia="lt-LT"/>
        </w:rPr>
      </w:pPr>
      <w:r>
        <w:rPr>
          <w:lang w:eastAsia="lt-LT"/>
        </w:rPr>
        <w:t>Gamtinių dujų naujų vartotojų, naujų gamtinių</w:t>
      </w:r>
    </w:p>
    <w:p w14:paraId="5023DD70" w14:textId="77777777">
      <w:pPr>
        <w:ind w:left="3969"/>
        <w:jc w:val="both"/>
        <w:rPr>
          <w:lang w:eastAsia="lt-LT"/>
        </w:rPr>
      </w:pPr>
      <w:r>
        <w:rPr>
          <w:lang w:eastAsia="lt-LT"/>
        </w:rPr>
        <w:t>dujų sistemų ir biodujų jėgainių prijungimo</w:t>
      </w:r>
    </w:p>
    <w:p w14:paraId="233CD77C" w14:textId="29BBA4DC">
      <w:pPr>
        <w:ind w:left="3969"/>
        <w:jc w:val="both"/>
        <w:rPr>
          <w:lang w:eastAsia="lt-LT"/>
        </w:rPr>
      </w:pPr>
      <w:r>
        <w:rPr>
          <w:lang w:eastAsia="lt-LT"/>
        </w:rPr>
        <w:t>įkainių nustatymo metodikos priedas</w:t>
      </w:r>
    </w:p>
    <w:p w14:paraId="702380D1" w14:textId="77777777">
      <w:pPr>
        <w:ind w:left="5102"/>
        <w:jc w:val="both"/>
        <w:rPr>
          <w:lang w:eastAsia="lt-LT"/>
        </w:rPr>
      </w:pPr>
    </w:p>
    <w:p w14:paraId="1D11CACA" w14:textId="77777777">
      <w:pPr>
        <w:widowControl w:val="0"/>
        <w:ind w:firstLine="60"/>
        <w:jc w:val="center"/>
        <w:rPr>
          <w:b/>
          <w:lang w:eastAsia="lt-LT"/>
        </w:rPr>
      </w:pPr>
      <w:r>
        <w:rPr>
          <w:b/>
          <w:lang w:eastAsia="lt-LT"/>
        </w:rPr>
        <w:t>(Naujų buitinių vartotojų prijungimo įkainio skaičiavimo lentelės forma)</w:t>
      </w:r>
    </w:p>
    <w:p w14:paraId="4E9D5A69" w14:textId="77777777">
      <w:pPr>
        <w:widowControl w:val="0"/>
        <w:jc w:val="center"/>
        <w:rPr>
          <w:lang w:eastAsia="lt-LT"/>
        </w:rPr>
      </w:pPr>
    </w:p>
    <w:p w14:paraId="05A23C60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___________________________________________________________________</w:t>
      </w:r>
    </w:p>
    <w:p w14:paraId="3BF2D444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(įmonės pavadinimas)</w:t>
      </w:r>
    </w:p>
    <w:p w14:paraId="6DC600AE" w14:textId="77777777">
      <w:pPr>
        <w:widowControl w:val="0"/>
        <w:jc w:val="center"/>
        <w:rPr>
          <w:lang w:eastAsia="lt-LT"/>
        </w:rPr>
      </w:pPr>
    </w:p>
    <w:p w14:paraId="6014F417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_________________________________________________________________________________</w:t>
      </w:r>
    </w:p>
    <w:p w14:paraId="1EE51151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(įmonės teisinė forma, buveinės adresas, telefonas, faksas, el. paštas, registro, kuriame kaupiami ir saugomi duomenys, pavadinimas, įmonės kodas, PVM mokėtojo kodas)</w:t>
      </w:r>
    </w:p>
    <w:p w14:paraId="54D606AC" w14:textId="77777777">
      <w:pPr>
        <w:widowControl w:val="0"/>
        <w:jc w:val="center"/>
        <w:rPr>
          <w:lang w:eastAsia="lt-LT"/>
        </w:rPr>
      </w:pPr>
    </w:p>
    <w:p w14:paraId="31CAE1CE" w14:textId="77777777">
      <w:pPr>
        <w:widowControl w:val="0"/>
        <w:jc w:val="center"/>
        <w:rPr>
          <w:b/>
          <w:lang w:eastAsia="lt-LT"/>
        </w:rPr>
      </w:pPr>
      <w:r>
        <w:rPr>
          <w:b/>
          <w:lang w:eastAsia="lt-LT"/>
        </w:rPr>
        <w:t>NAUJŲ BUITINIŲ VARTOTOJŲ PRIJUNGIMO ĮKAINIO SKAIČIAVIMO LENTELĖ</w:t>
      </w:r>
    </w:p>
    <w:p w14:paraId="4F457633" w14:textId="77777777">
      <w:pPr>
        <w:ind w:right="14"/>
        <w:jc w:val="center"/>
        <w:rPr>
          <w:lang w:eastAsia="lt-LT"/>
        </w:rPr>
      </w:pPr>
    </w:p>
    <w:p w14:paraId="36D45E9D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20.............</w:t>
      </w:r>
      <w:r>
        <w:rPr>
          <w:lang w:eastAsia="lt-LT"/>
        </w:rPr>
        <w:t>m..................................d. Nr.</w:t>
      </w:r>
    </w:p>
    <w:p w14:paraId="0C3E8FF2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___________________________________</w:t>
      </w:r>
    </w:p>
    <w:p w14:paraId="5724E166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3CE7DF85" w14:textId="77777777">
      <w:pPr>
        <w:tabs>
          <w:tab w:val="left" w:leader="dot" w:pos="514"/>
          <w:tab w:val="left" w:leader="dot" w:pos="2563"/>
        </w:tabs>
        <w:ind w:right="14"/>
        <w:jc w:val="center"/>
        <w:rPr>
          <w:lang w:eastAsia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7044"/>
        <w:gridCol w:w="1156"/>
        <w:gridCol w:w="682"/>
      </w:tblGrid>
      <w:tr w14:paraId="71191979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C683" w14:textId="77777777">
            <w:pPr>
              <w:ind w:left="14"/>
              <w:jc w:val="both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5739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Rodikliai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F20F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Mato vnt.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06CF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20_</w:t>
            </w:r>
          </w:p>
        </w:tc>
      </w:tr>
      <w:tr w14:paraId="3E822BC6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34D6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D594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Investicijos </w:t>
            </w:r>
            <w:r>
              <w:rPr>
                <w:szCs w:val="24"/>
                <w:lang w:eastAsia="lt-LT"/>
              </w:rPr>
              <w:t>naujiems buitiniams vartotojams prijungti</w:t>
            </w:r>
            <w:r>
              <w:rPr>
                <w:lang w:eastAsia="lt-LT"/>
              </w:rPr>
              <w:t xml:space="preserve"> iš viso: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4E87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Eur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80FC" w14:textId="77777777">
            <w:pPr>
              <w:jc w:val="both"/>
              <w:rPr>
                <w:lang w:eastAsia="lt-LT"/>
              </w:rPr>
            </w:pPr>
          </w:p>
        </w:tc>
      </w:tr>
      <w:tr w14:paraId="3902E310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17E2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017C" w14:textId="77777777">
            <w:pPr>
              <w:ind w:left="5"/>
              <w:jc w:val="both"/>
              <w:rPr>
                <w:lang w:eastAsia="lt-LT"/>
              </w:rPr>
            </w:pPr>
            <w:r>
              <w:rPr>
                <w:lang w:eastAsia="lt-LT"/>
              </w:rPr>
              <w:t>Praėjusių 4 ketvirčių dujų įmonės atliktos investicijos naujiems buitiniams vartotojams prijungti, iš viso: (išvardinti pagal filialus)*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B75A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F893" w14:textId="77777777">
            <w:pPr>
              <w:jc w:val="both"/>
              <w:rPr>
                <w:lang w:eastAsia="lt-LT"/>
              </w:rPr>
            </w:pPr>
          </w:p>
        </w:tc>
      </w:tr>
      <w:tr w14:paraId="440CDF19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B77A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1.1.1.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94EA" w14:textId="4AA15731">
            <w:pPr>
              <w:ind w:right="67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buitiniams vartotojams, suvartojantiems iki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naudojantiems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DCB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B718" w14:textId="77777777">
            <w:pPr>
              <w:jc w:val="both"/>
              <w:rPr>
                <w:lang w:eastAsia="lt-LT"/>
              </w:rPr>
            </w:pPr>
          </w:p>
        </w:tc>
      </w:tr>
      <w:tr w14:paraId="0CE27574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9195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1.1.2.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D041" w14:textId="78DC4FFA">
            <w:pPr>
              <w:ind w:right="187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buitiniams vartotojams, suvartojantiems daugiau kaip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naudojantiems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2042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6B3A" w14:textId="77777777">
            <w:pPr>
              <w:jc w:val="both"/>
              <w:rPr>
                <w:lang w:eastAsia="lt-LT"/>
              </w:rPr>
            </w:pPr>
          </w:p>
        </w:tc>
      </w:tr>
      <w:tr w14:paraId="43A15D4E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8D66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6CFB" w14:textId="77777777">
            <w:pPr>
              <w:ind w:left="10"/>
              <w:jc w:val="both"/>
              <w:rPr>
                <w:lang w:eastAsia="lt-LT"/>
              </w:rPr>
            </w:pPr>
            <w:r>
              <w:rPr>
                <w:lang w:eastAsia="lt-LT"/>
              </w:rPr>
              <w:t>Naujų buitinių vartotojų sumokėti prijungimo įkainiai iš viso: (išvardyti pagal filialus)*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9461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13BF" w14:textId="77777777">
            <w:pPr>
              <w:jc w:val="both"/>
              <w:rPr>
                <w:lang w:eastAsia="lt-LT"/>
              </w:rPr>
            </w:pPr>
          </w:p>
        </w:tc>
      </w:tr>
      <w:tr w14:paraId="1644715A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47CA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1.2.1.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CAAE" w14:textId="2A9AC84C">
            <w:pPr>
              <w:ind w:right="269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buitinių vartotojų, suvartojančių iki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naudojančių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34D3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64A8" w14:textId="77777777">
            <w:pPr>
              <w:jc w:val="both"/>
              <w:rPr>
                <w:lang w:eastAsia="lt-LT"/>
              </w:rPr>
            </w:pPr>
          </w:p>
        </w:tc>
      </w:tr>
      <w:tr w14:paraId="67C84162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47E2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1.2.2.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A02A" w14:textId="0F02C8C1">
            <w:pPr>
              <w:ind w:right="326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buitinių vartotojų, suvartojančių daugiau kaip 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naudojančių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36C9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9A74" w14:textId="77777777">
            <w:pPr>
              <w:jc w:val="both"/>
              <w:rPr>
                <w:lang w:eastAsia="lt-LT"/>
              </w:rPr>
            </w:pPr>
          </w:p>
        </w:tc>
      </w:tr>
      <w:tr w14:paraId="2E828B25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465D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17A1" w14:textId="77777777">
            <w:pPr>
              <w:ind w:left="5"/>
              <w:jc w:val="both"/>
              <w:rPr>
                <w:lang w:eastAsia="lt-LT"/>
              </w:rPr>
            </w:pPr>
            <w:r>
              <w:rPr>
                <w:lang w:eastAsia="lt-LT"/>
              </w:rPr>
              <w:t>Dujų įmonės nutiestų dujų sistemų buitiniams vartotojams ilgis iš viso: (išvardyti pagal filialus)*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5E05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m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BA2F" w14:textId="77777777">
            <w:pPr>
              <w:jc w:val="both"/>
              <w:rPr>
                <w:lang w:eastAsia="lt-LT"/>
              </w:rPr>
            </w:pPr>
          </w:p>
        </w:tc>
      </w:tr>
      <w:tr w14:paraId="545E7460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DDC3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5B14" w14:textId="2949D156">
            <w:pPr>
              <w:ind w:right="67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buitiniams vartotojams, suvartojantiems iki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naudojantiems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F4EB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AF5D" w14:textId="77777777">
            <w:pPr>
              <w:jc w:val="both"/>
              <w:rPr>
                <w:lang w:eastAsia="lt-LT"/>
              </w:rPr>
            </w:pPr>
          </w:p>
        </w:tc>
      </w:tr>
      <w:tr w14:paraId="001E0E7A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6ECD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85D8" w14:textId="51467000">
            <w:pPr>
              <w:ind w:right="187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buitiniams vartotojams, suvartojantiems daugiau kaip 300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naudojantiems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5B01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FD4C" w14:textId="77777777">
            <w:pPr>
              <w:jc w:val="both"/>
              <w:rPr>
                <w:lang w:eastAsia="lt-LT"/>
              </w:rPr>
            </w:pPr>
          </w:p>
        </w:tc>
      </w:tr>
      <w:tr w14:paraId="27A7CA6B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04D6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4728" w14:textId="77777777">
            <w:pPr>
              <w:ind w:left="5"/>
              <w:jc w:val="both"/>
              <w:rPr>
                <w:lang w:eastAsia="lt-LT"/>
              </w:rPr>
            </w:pPr>
            <w:r>
              <w:rPr>
                <w:lang w:eastAsia="lt-LT"/>
              </w:rPr>
              <w:t>Prijungtų naujų buitinių vartotojų skaičius iš viso: (išvardyti pagal filialus)*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159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vart. sk.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A8AC" w14:textId="77777777">
            <w:pPr>
              <w:jc w:val="both"/>
              <w:rPr>
                <w:lang w:eastAsia="lt-LT"/>
              </w:rPr>
            </w:pPr>
          </w:p>
        </w:tc>
      </w:tr>
      <w:tr w14:paraId="5C5D8825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2EFB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314A" w14:textId="1A642B39">
            <w:pPr>
              <w:ind w:right="173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buitiniai vartotojai, suvartojantys iki 300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naudojantys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E97C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E86E" w14:textId="77777777">
            <w:pPr>
              <w:jc w:val="both"/>
              <w:rPr>
                <w:lang w:eastAsia="lt-LT"/>
              </w:rPr>
            </w:pPr>
          </w:p>
        </w:tc>
      </w:tr>
      <w:tr w14:paraId="32CE0FD4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D886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416E" w14:textId="0FF08D2A">
            <w:pPr>
              <w:ind w:right="230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buitiniai vartotojai, suvartojantys daugiau kaip 300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naudojantys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EE01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7C6D" w14:textId="77777777">
            <w:pPr>
              <w:jc w:val="both"/>
              <w:rPr>
                <w:lang w:eastAsia="lt-LT"/>
              </w:rPr>
            </w:pPr>
          </w:p>
        </w:tc>
      </w:tr>
      <w:tr w14:paraId="17932025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4A1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2B72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Naujų buitinių vartotojų gamtinių dujų suvartojimas iš viso: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8EC7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tūkst. m /1 vart.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4462" w14:textId="77777777">
            <w:pPr>
              <w:jc w:val="both"/>
              <w:rPr>
                <w:lang w:eastAsia="lt-LT"/>
              </w:rPr>
            </w:pPr>
          </w:p>
        </w:tc>
      </w:tr>
      <w:tr w14:paraId="34DB1A7F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FC4B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4.1.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C59" w14:textId="0FDAEE92">
            <w:pPr>
              <w:ind w:right="173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buitiniai vartotojai, suvartojantys iki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naudojantys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787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4AD" w14:textId="77777777">
            <w:pPr>
              <w:jc w:val="both"/>
              <w:rPr>
                <w:lang w:eastAsia="lt-LT"/>
              </w:rPr>
            </w:pPr>
          </w:p>
        </w:tc>
      </w:tr>
      <w:tr w14:paraId="5528EDF0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5878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E7BB" w14:textId="082E09C1">
            <w:pPr>
              <w:ind w:right="230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buitiniai vartotojai, suvartojantys daugiau kaip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naudojantys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DF9B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FBA7" w14:textId="77777777">
            <w:pPr>
              <w:jc w:val="both"/>
              <w:rPr>
                <w:lang w:eastAsia="lt-LT"/>
              </w:rPr>
            </w:pPr>
          </w:p>
        </w:tc>
      </w:tr>
      <w:tr w14:paraId="3529B246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F9D7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64EE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Naujų buitinių vartotojų ribinės eksploatacinės sąnaudos iš viso: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E4D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Eur/km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6085" w14:textId="77777777">
            <w:pPr>
              <w:jc w:val="both"/>
              <w:rPr>
                <w:lang w:eastAsia="lt-LT"/>
              </w:rPr>
            </w:pPr>
          </w:p>
        </w:tc>
      </w:tr>
      <w:tr w14:paraId="5AC8F924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E6E6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B343" w14:textId="10CC498B">
            <w:pPr>
              <w:ind w:right="269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buitinių vartotojų, suvartojančių iki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naudojančių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388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E293" w14:textId="77777777">
            <w:pPr>
              <w:jc w:val="both"/>
              <w:rPr>
                <w:lang w:eastAsia="lt-LT"/>
              </w:rPr>
            </w:pPr>
          </w:p>
        </w:tc>
      </w:tr>
      <w:tr w14:paraId="07292DEB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CED0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019E" w14:textId="39C68AEC">
            <w:pPr>
              <w:ind w:left="5"/>
              <w:jc w:val="both"/>
              <w:rPr>
                <w:lang w:eastAsia="lt-LT"/>
              </w:rPr>
            </w:pPr>
            <w:r>
              <w:rPr>
                <w:lang w:eastAsia="lt-LT"/>
              </w:rPr>
              <w:t>buitinių vartotojų, suvartojančių daugiau kaip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naudojančių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CE35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AFDB" w14:textId="77777777">
            <w:pPr>
              <w:jc w:val="both"/>
              <w:rPr>
                <w:lang w:eastAsia="lt-LT"/>
              </w:rPr>
            </w:pPr>
          </w:p>
        </w:tc>
      </w:tr>
      <w:tr w14:paraId="5FD02204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3D2D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D904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Naujų buitinių vartotojų metinės nusidėvėjimo sąnaudos iš viso: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36FD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Eur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4CA" w14:textId="77777777">
            <w:pPr>
              <w:jc w:val="both"/>
              <w:rPr>
                <w:lang w:eastAsia="lt-LT"/>
              </w:rPr>
            </w:pPr>
          </w:p>
        </w:tc>
      </w:tr>
      <w:tr w14:paraId="4679E60F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DE60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6.1.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EA6F" w14:textId="3BD6C814">
            <w:pPr>
              <w:ind w:right="269"/>
              <w:jc w:val="both"/>
              <w:rPr>
                <w:lang w:eastAsia="lt-LT"/>
              </w:rPr>
            </w:pPr>
            <w:r>
              <w:rPr>
                <w:lang w:eastAsia="lt-LT"/>
              </w:rPr>
              <w:t>iš jų: buitinių vartotojų, suvartojančių iki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>  per metus arba dujas naudojančių buitinėms viryklėms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6AD5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44D" w14:textId="77777777">
            <w:pPr>
              <w:jc w:val="both"/>
              <w:rPr>
                <w:lang w:eastAsia="lt-LT"/>
              </w:rPr>
            </w:pPr>
          </w:p>
        </w:tc>
      </w:tr>
      <w:tr w14:paraId="7C0336C3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E1B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6.2.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27CA" w14:textId="55DA896C">
            <w:pPr>
              <w:ind w:left="5"/>
              <w:jc w:val="both"/>
              <w:rPr>
                <w:lang w:eastAsia="lt-LT"/>
              </w:rPr>
            </w:pPr>
            <w:r>
              <w:rPr>
                <w:lang w:eastAsia="lt-LT"/>
              </w:rPr>
              <w:t>buitinių vartotojų, suvartojančių daugiau kaip 300 m</w:t>
            </w:r>
            <w:r>
              <w:rPr>
                <w:vertAlign w:val="superscript"/>
                <w:lang w:eastAsia="lt-LT"/>
              </w:rPr>
              <w:t>3</w:t>
            </w:r>
            <w:r>
              <w:rPr>
                <w:lang w:eastAsia="lt-LT"/>
              </w:rPr>
              <w:t xml:space="preserve"> per metus arba dujas naudojančių </w:t>
            </w:r>
            <w:r>
              <w:rPr>
                <w:szCs w:val="24"/>
                <w:lang w:eastAsia="lt-LT"/>
              </w:rPr>
              <w:t>vandeniui ir (arba) patalpoms šildyti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2C06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D27E" w14:textId="77777777">
            <w:pPr>
              <w:jc w:val="both"/>
              <w:rPr>
                <w:lang w:eastAsia="lt-LT"/>
              </w:rPr>
            </w:pPr>
          </w:p>
        </w:tc>
      </w:tr>
      <w:tr w14:paraId="21F60DA0" w14:textId="77777777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D4F2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165D" w14:textId="77777777">
            <w:pPr>
              <w:ind w:right="86"/>
              <w:jc w:val="both"/>
              <w:rPr>
                <w:lang w:eastAsia="lt-LT"/>
              </w:rPr>
            </w:pPr>
            <w:r>
              <w:rPr>
                <w:lang w:eastAsia="lt-LT"/>
              </w:rPr>
              <w:t>Įgyvendintų investicijų buitiniams vartotojams dalis, nepriklausanti nuo tiesiamų dujotiekių buitiniams vartotojams prijungti ilgio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CE70" w14:textId="777777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AB07" w14:textId="77777777">
            <w:pPr>
              <w:jc w:val="both"/>
              <w:rPr>
                <w:lang w:eastAsia="lt-LT"/>
              </w:rPr>
            </w:pPr>
          </w:p>
        </w:tc>
      </w:tr>
    </w:tbl>
    <w:p w14:paraId="7775840B" w14:textId="77777777">
      <w:pPr>
        <w:widowControl w:val="0"/>
        <w:jc w:val="both"/>
        <w:rPr>
          <w:lang w:eastAsia="lt-LT"/>
        </w:rPr>
      </w:pPr>
    </w:p>
    <w:p w14:paraId="7257A0CA" w14:textId="77777777">
      <w:pPr>
        <w:widowControl w:val="0"/>
        <w:jc w:val="both"/>
        <w:rPr>
          <w:lang w:eastAsia="lt-LT"/>
        </w:rPr>
      </w:pPr>
      <w:r>
        <w:rPr>
          <w:lang w:eastAsia="lt-LT"/>
        </w:rPr>
        <w:t>Pastaba: pateikiant duomenis, vertinamos tik investicijos (investicijų projektai), kurios skirtos tik buitiniams vartotojams prijungti.</w:t>
      </w:r>
    </w:p>
    <w:p w14:paraId="26C05CE5" w14:textId="07AD8910">
      <w:pPr>
        <w:widowControl w:val="0"/>
        <w:jc w:val="both"/>
        <w:rPr>
          <w:lang w:eastAsia="lt-LT"/>
        </w:rPr>
      </w:pPr>
      <w:r>
        <w:rPr>
          <w:lang w:eastAsia="lt-LT"/>
        </w:rPr>
        <w:t>* Toms dujų įmonėms, kurios dujas transportuoja skirtinguose Lietuvos regionuose.</w:t>
      </w:r>
    </w:p>
    <w:p w14:paraId="276FD6CC" w14:textId="08901B7E">
      <w:pPr>
        <w:widowControl w:val="0"/>
        <w:jc w:val="both"/>
        <w:rPr>
          <w:lang w:eastAsia="lt-LT"/>
        </w:rPr>
      </w:pPr>
    </w:p>
    <w:p w14:paraId="1C846E37" w14:textId="77777777">
      <w:pPr>
        <w:widowControl w:val="0"/>
        <w:jc w:val="both"/>
        <w:rPr>
          <w:lang w:eastAsia="lt-LT"/>
        </w:rPr>
      </w:pPr>
    </w:p>
    <w:p w14:paraId="3CB88C3E" w14:textId="77777777">
      <w:pPr>
        <w:tabs>
          <w:tab w:val="left" w:leader="underscore" w:pos="1853"/>
          <w:tab w:val="left" w:leader="underscore" w:pos="3418"/>
          <w:tab w:val="left" w:leader="underscore" w:pos="7013"/>
        </w:tabs>
        <w:jc w:val="both"/>
        <w:rPr>
          <w:lang w:eastAsia="lt-LT"/>
        </w:rPr>
      </w:pPr>
      <w:r>
        <w:rPr>
          <w:lang w:eastAsia="lt-LT"/>
        </w:rPr>
        <w:t>20</w:t>
        <w:tab/>
        <w:t>m.</w:t>
        <w:tab/>
        <w:t>Įmonės vadovas</w:t>
        <w:tab/>
      </w:r>
    </w:p>
    <w:p w14:paraId="0EE8F234" w14:textId="77777777">
      <w:pPr>
        <w:tabs>
          <w:tab w:val="left" w:pos="709"/>
          <w:tab w:val="left" w:pos="993"/>
        </w:tabs>
        <w:spacing w:line="264" w:lineRule="auto"/>
        <w:ind w:left="705"/>
        <w:jc w:val="both"/>
        <w:rPr>
          <w:lang w:eastAsia="lt-LT"/>
        </w:rPr>
      </w:pPr>
    </w:p>
    <w:p w14:paraId="19A079E7" w14:textId="77777777">
      <w:pPr>
        <w:tabs>
          <w:tab w:val="left" w:pos="709"/>
          <w:tab w:val="left" w:pos="993"/>
        </w:tabs>
        <w:spacing w:line="264" w:lineRule="auto"/>
        <w:ind w:left="705"/>
        <w:jc w:val="both"/>
        <w:rPr>
          <w:lang w:eastAsia="lt-LT"/>
        </w:rPr>
      </w:pPr>
    </w:p>
    <w:p w14:paraId="091042E6" w14:textId="77777777">
      <w:pPr>
        <w:jc w:val="both"/>
        <w:rPr>
          <w:rFonts w:eastAsia="Calibri"/>
          <w:b/>
          <w:color w:val="000000"/>
          <w:szCs w:val="24"/>
        </w:rPr>
      </w:pPr>
    </w:p>
    <w:p w14:paraId="37022673" w14:textId="77777777">
      <w:pPr>
        <w:jc w:val="both"/>
        <w:rPr>
          <w:rFonts w:eastAsia="Calibri"/>
          <w:b/>
          <w:color w:val="000000"/>
          <w:szCs w:val="24"/>
        </w:rPr>
      </w:pPr>
    </w:p>
    <w:p w14:paraId="759D1FBD" w14:textId="77777777">
      <w:pPr>
        <w:jc w:val="both"/>
        <w:rPr>
          <w:rFonts w:eastAsia="Calibri"/>
          <w:color w:val="000000"/>
          <w:szCs w:val="24"/>
        </w:rPr>
      </w:pPr>
    </w:p>
    <w:p w14:paraId="54087C4A" w14:textId="77777777">
      <w:pPr>
        <w:jc w:val="both"/>
        <w:rPr>
          <w:rFonts w:eastAsia="Calibri"/>
          <w:b/>
          <w:color w:val="000000"/>
          <w:szCs w:val="24"/>
        </w:rPr>
      </w:pPr>
    </w:p>
    <w:p w14:paraId="64950B55" w14:textId="77777777">
      <w:pPr>
        <w:jc w:val="both"/>
        <w:rPr>
          <w:rFonts w:eastAsia="Calibri"/>
          <w:b/>
          <w:color w:val="000000"/>
          <w:szCs w:val="24"/>
        </w:rPr>
      </w:pPr>
    </w:p>
    <w:p w14:paraId="28E42CC9" w14:textId="1FB94205">
      <w:pPr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______________</w:t>
      </w:r>
    </w:p>
    <w:p w14:paraId="2F69E206" w14:textId="20F9444B">
      <w:pPr>
        <w:suppressAutoHyphens/>
        <w:textAlignment w:val="baseline"/>
        <w:rPr>
          <w:color w:val="000000"/>
          <w:szCs w:val="24"/>
        </w:rPr>
      </w:pPr>
    </w:p>
    <w:p w14:paraId="0C10CA36" w14:textId="2F498AF5">
      <w:pPr>
        <w:suppressAutoHyphens/>
        <w:ind w:firstLine="720"/>
        <w:textAlignment w:val="baseline"/>
        <w:rPr>
          <w:rFonts w:ascii="Arial" w:hAnsi="Arial" w:cs="Arial"/>
          <w:sz w:val="20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F5EE" w14:textId="77777777">
      <w:pPr>
        <w:suppressAutoHyphens/>
        <w:ind w:firstLine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eparator/>
      </w:r>
    </w:p>
  </w:endnote>
  <w:endnote w:type="continuationSeparator" w:id="0">
    <w:p w14:paraId="2DCC44F6" w14:textId="77777777">
      <w:pPr>
        <w:suppressAutoHyphens/>
        <w:ind w:firstLine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continuationSeparator/>
      </w:r>
    </w:p>
  </w:endnote>
  <w:endnote w:type="continuationNotice" w:id="1">
    <w:p w14:paraId="5837D7B9" w14:textId="77777777"/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4167" w14:textId="77777777">
    <w:pPr>
      <w:tabs>
        <w:tab w:val="center" w:pos="4819"/>
        <w:tab w:val="right" w:pos="9638"/>
      </w:tabs>
      <w:suppressAutoHyphens/>
      <w:ind w:firstLine="720"/>
      <w:textAlignment w:val="baseline"/>
      <w:rPr>
        <w:rFonts w:ascii="Arial" w:hAnsi="Arial" w:cs="Arial"/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1A27" w14:textId="77777777">
    <w:pPr>
      <w:tabs>
        <w:tab w:val="center" w:pos="4819"/>
        <w:tab w:val="right" w:pos="9638"/>
      </w:tabs>
      <w:suppressAutoHyphens/>
      <w:ind w:firstLine="720"/>
      <w:textAlignment w:val="baseline"/>
      <w:rPr>
        <w:rFonts w:ascii="Arial" w:hAnsi="Arial" w:cs="Arial"/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C79C" w14:textId="77777777">
    <w:pPr>
      <w:tabs>
        <w:tab w:val="center" w:pos="4819"/>
        <w:tab w:val="right" w:pos="9638"/>
      </w:tabs>
      <w:suppressAutoHyphens/>
      <w:ind w:firstLine="720"/>
      <w:textAlignment w:val="baseline"/>
      <w:rPr>
        <w:rFonts w:ascii="Arial" w:hAnsi="Arial" w:cs="Arial"/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E674" w14:textId="77777777">
      <w:pPr>
        <w:suppressAutoHyphens/>
        <w:ind w:firstLine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separator/>
      </w:r>
    </w:p>
  </w:footnote>
  <w:footnote w:type="continuationSeparator" w:id="0">
    <w:p w14:paraId="15B32501" w14:textId="77777777">
      <w:pPr>
        <w:suppressAutoHyphens/>
        <w:ind w:firstLine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continuationSeparator/>
      </w:r>
    </w:p>
  </w:footnote>
  <w:footnote w:type="continuationNotice" w:id="1">
    <w:p w14:paraId="3CED3874" w14:textId="77777777"/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4808" w14:textId="77777777">
    <w:pPr>
      <w:tabs>
        <w:tab w:val="center" w:pos="4153"/>
        <w:tab w:val="right" w:pos="8306"/>
      </w:tabs>
      <w:suppressAutoHyphens/>
      <w:ind w:firstLine="720"/>
      <w:textAlignment w:val="baseline"/>
      <w:rPr>
        <w:rFonts w:ascii="Arial" w:hAnsi="Arial" w:cs="Arial"/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D982" w14:textId="77777777">
    <w:pPr>
      <w:tabs>
        <w:tab w:val="center" w:pos="4153"/>
        <w:tab w:val="right" w:pos="8306"/>
      </w:tabs>
      <w:suppressAutoHyphens/>
      <w:textAlignment w:val="baseline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8418C" wp14:editId="58079FC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2EB582" w14:textId="49AA406A">
                          <w:pPr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textAlignment w:val="baseline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IXk8lwEAADQDAAAOAAAAZHJzL2Uyb0RvYy54bWysUk1r4zAQvRf6H4TujZIelmLihC2hZaG0 hXZ/gCJLsUDSCI0aO/++I9lJl+5t2ct4NPP85s3Hejt6x446oYXQ8tViyZkOCjobDi3//f5wc8cZ Zhk66SDolp808u3m+mo9xEbfQg+u04kRScBmiC3vc46NEKh67SUuIOpASQPJy0zPdBBdkgOxeydu l8sfYoDUxQRKI1J0NyX5pvIbo1V+MQZ1Zq7lpC1Xm6rdFys2a9kckoy9VbMM+Q8qvLSBil6odjJL 9pHsX1TeqgQIJi8UeAHGWKVrD9TNavmtm7deRl17oeFgvIwJ/x+tej6+JmY72h1nQXpa0bseM7uH ka3KdIaIDYHeIsHySOGCnONIwdL0aJIvX2qHUZ7mfLrMtpCpKajOUfH1S0yYHzV4VpyWJ1pYnaM8 PmGmMgQ9Q0oFF4oN8GCdq6sryZ3EfoKWtCiKJ2XFy+N+nOXuoTtRFwNtu+WBzpEz9yvQMMthnJ10 dvazUwpi/PmRqWhVVFgnqrkYraYKnc+o7P7Pd0V9HfvmEwAA//8DAFBLAwQUAAYACAAAACEABNLo D9IAAAD/AAAADwAAAGRycy9kb3ducmV2LnhtbEyPQU/DMAyF70j8h8hI3FgKB5hK0wlN4sKNgZC4 eY3XVCROlWRd++9xT3B79rOev9fs5uDVRCkPkQ3cbypQxF20A/cGPj9e77agckG26COTgYUy7Nrr qwZrGy/8TtOh9EpCONdowJUy1lrnzlHAvIkjsXinmAIWGVOvbcKLhAevH6rqUQccWD44HGnvqPs5 nIOBp/kr0phpT9+nqUtuWLb+bTHm9mZ+eQZVaC5/x7DiCzq0wnSMZ7ZZeQNSpKxbJZ7o46p12+j/ 3O0vAAAA//8DAFBLAQItABQABgAIAAAAIQC2gziS/gAAAOEBAAATAAAAAAAAAAAAAAAAAAAAAABb Q29udGVudF9UeXBlc10ueG1sUEsBAi0AFAAGAAgAAAAhADj9If/WAAAAlAEAAAsAAAAAAAAAAAAA AAAALwEAAF9yZWxzLy5yZWxzUEsBAi0AFAAGAAgAAAAhAB8heTyXAQAANAMAAA4AAAAAAAAAAAAA AAAALgIAAGRycy9lMm9Eb2MueG1sUEsBAi0AFAAGAAgAAAAhAATS6A/SAAAA/wAAAA8AAAAAAAAA AAAAAAAA8QMAAGRycy9kb3ducmV2LnhtbFBLBQYAAAAABAAEAPMAAADwBAAAAAA= " filled="f" stroked="f">
              <v:textbox style="mso-fit-shape-to-text:t" inset="0,0,0,0">
                <w:txbxContent>
                  <w:p w14:paraId="642EB582" w14:textId="49AA406A">
                    <w:pPr>
                      <w:tabs>
                        <w:tab w:val="center" w:pos="4153"/>
                        <w:tab w:val="right" w:pos="8306"/>
                      </w:tabs>
                      <w:suppressAutoHyphens/>
                      <w:textAlignment w:val="baseline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1605" w14:textId="0F0E89D2">
    <w:pPr>
      <w:tabs>
        <w:tab w:val="center" w:pos="4153"/>
        <w:tab w:val="right" w:pos="8306"/>
      </w:tabs>
      <w:suppressAutoHyphens/>
      <w:ind w:firstLine="720"/>
      <w:textAlignment w:val="baseline"/>
      <w:rPr>
        <w:rFonts w:ascii="Arial" w:hAnsi="Arial" w:cs="Arial"/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defaultTabStop w:val="720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8AC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67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4968</Characters>
  <Application>Microsoft Office Word</Application>
  <DocSecurity>4</DocSecurity>
  <Lines>216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/>
  <LinksUpToDate>false</LinksUpToDate>
  <CharactersWithSpaces>5585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2019-04-15T07:07:00Z</dcterms:created>
  <dc:creator>rasaz</dc:creator>
  <lastModifiedBy>adlibuser</lastModifiedBy>
  <lastPrinted>2017-04-27T06:22:00Z</lastPrinted>
  <dcterms:modified xsi:type="dcterms:W3CDTF">2019-04-15T07:07:00Z</dcterms:modified>
  <revision>2</revision>
  <dc:title>VALSTYBINĖ KAINŲ IR ENERGETIKOS KONTROLĖS KOMISIJA</dc:title>
</coreProperties>
</file>