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b7bbeda7a854fdf9868b36a6414adef"/>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„Kultūros objektų, esančių Šv. Jokūbo piligriminiame kelyje, pritaikymas lankymui“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2026 m.                     d. Nr. T-</w:t>
          </w:r>
        </w:p>
        <w:p>
          <w:pPr>
            <w:jc w:val="center"/>
            <w:rPr>
              <w:szCs w:val="24"/>
            </w:rPr>
          </w:pPr>
          <w:r>
            <w:rPr>
              <w:szCs w:val="24"/>
            </w:rPr>
            <w:t>Radviliškis</w:t>
          </w:r>
        </w:p>
        <w:p>
          <w:pPr>
            <w:jc w:val="both"/>
            <w:rPr>
              <w:szCs w:val="24"/>
            </w:rPr>
          </w:pPr>
        </w:p>
        <w:sdt>
          <w:sdtPr>
            <w:alias w:val="preambule"/>
            <w:tag w:val="part_aa7f3095ad1547e5b5a3c024b73a9b7e"/>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(toliau – Gairės), Radviliškio rajono savivaldybės taryba </w:t>
              </w:r>
              <w:r>
                <w:rPr>
                  <w:spacing w:val="50"/>
                  <w:szCs w:val="24"/>
                </w:rPr>
                <w:t>nusprendži</w:t>
              </w:r>
              <w:r>
                <w:rPr>
                  <w:szCs w:val="24"/>
                </w:rPr>
                <w:t>a:</w:t>
              </w:r>
            </w:p>
          </w:sdtContent>
        </w:sdt>
        <w:sdt>
          <w:sdtPr>
            <w:alias w:val="1 p."/>
            <w:tag w:val="part_f5c0191ae7b0455890fe16e871d5fbda"/>
            <w:lock w:val="sdtLocked"/>
            <w:richText/>
          </w:sdtPr>
          <w:sdtContent>
            <w:p>
              <w:pPr>
                <w:spacing w:line="276" w:lineRule="auto"/>
                <w:ind w:firstLine="851"/>
                <w:jc w:val="both"/>
                <w:rPr>
                  <w:szCs w:val="24"/>
                </w:rPr>
              </w:pPr>
              <w:sdt>
                <w:sdtPr>
                  <w:alias w:val="Numeris"/>
                  <w:tag w:val="nr_f5c0191ae7b0455890fe16e871d5fbda"/>
                  <w:lock w:val="sdtLocked"/>
                  <w:richText/>
                </w:sdtPr>
                <w:sdtContent>
                  <w:r>
                    <w:rPr>
                      <w:szCs w:val="24"/>
                    </w:rPr>
                    <w:t>1</w:t>
                  </w:r>
                </w:sdtContent>
              </w:sdt>
              <w:r>
                <w:rPr>
                  <w:szCs w:val="24"/>
                </w:rPr>
                <w:t>.</w:t>
                <w:tab/>
                <w:t xml:space="preserve">Pritarti, kad Radviliškio rajono savivaldybės administracija, gavus finansavimą, įgyvendintų projektą </w:t>
              </w:r>
              <w:r>
                <w:rPr>
                  <w:color w:val="000000"/>
                  <w:szCs w:val="24"/>
                </w:rPr>
                <w:t>„</w:t>
              </w:r>
              <w:r>
                <w:rPr>
                  <w:szCs w:val="24"/>
                </w:rPr>
                <w:t>Kultūros objektų, esančių Šv. Jokūbo piligriminiame kelyje, pritaikymas lankymui“</w:t>
              </w:r>
              <w:r>
                <w:rPr>
                  <w:color w:val="000000"/>
                  <w:szCs w:val="24"/>
                </w:rPr>
                <w:t xml:space="preserve"> (toliau – Projektas).</w:t>
              </w:r>
            </w:p>
          </w:sdtContent>
        </w:sdt>
        <w:sdt>
          <w:sdtPr>
            <w:alias w:val="2 p."/>
            <w:tag w:val="part_c548d066725149cca718d67027474bd7"/>
            <w:lock w:val="sdtLocked"/>
            <w:richText/>
          </w:sdtPr>
          <w:sdtContent>
            <w:p>
              <w:pPr>
                <w:tabs>
                  <w:tab w:val="left" w:pos="993"/>
                </w:tabs>
                <w:spacing w:line="276" w:lineRule="auto"/>
                <w:ind w:firstLine="851"/>
                <w:jc w:val="both"/>
                <w:rPr>
                  <w:szCs w:val="24"/>
                </w:rPr>
              </w:pPr>
              <w:sdt>
                <w:sdtPr>
                  <w:alias w:val="Numeris"/>
                  <w:tag w:val="nr_c548d066725149cca718d67027474bd7"/>
                  <w:lock w:val="sdtLocked"/>
                  <w:richText/>
                </w:sdtPr>
                <w:sdtContent>
                  <w:r>
                    <w:rPr>
                      <w:szCs w:val="24"/>
                    </w:rPr>
                    <w:t>2</w:t>
                  </w:r>
                </w:sdtContent>
              </w:sdt>
              <w:r>
                <w:rPr>
                  <w:szCs w:val="24"/>
                </w:rPr>
                <w:t>.</w:t>
                <w:tab/>
                <w:t xml:space="preserve">Įgalioti Radviliškio rajono savivaldybės administracijos direktorių pasirašyti ir pateikti Projekto įgyvendinimo planą (PĮP) bei kitus dokumentus, reikalingus finansavimui gauti, o projektui gavus finansavimą – pasirašyti kitus Projekto įgyvendinimui reikalingus dokumentus. </w:t>
              </w:r>
            </w:p>
          </w:sdtContent>
        </w:sdt>
        <w:sdt>
          <w:sdtPr>
            <w:alias w:val="3 p."/>
            <w:tag w:val="part_125410046fa847e78f1ccd008fff1f92"/>
            <w:lock w:val="sdtLocked"/>
            <w:richText/>
          </w:sdtPr>
          <w:sdtContent>
            <w:p>
              <w:pPr>
                <w:tabs>
                  <w:tab w:val="left" w:pos="993"/>
                </w:tabs>
                <w:spacing w:line="276" w:lineRule="auto"/>
                <w:ind w:firstLine="851"/>
                <w:jc w:val="both"/>
                <w:rPr>
                  <w:szCs w:val="24"/>
                </w:rPr>
              </w:pPr>
              <w:sdt>
                <w:sdtPr>
                  <w:alias w:val="Numeris"/>
                  <w:tag w:val="nr_125410046fa847e78f1ccd008fff1f92"/>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130c3a409d1147358bad123adc2de68f"/>
                <w:lock w:val="sdtLocked"/>
                <w:richText/>
              </w:sdtPr>
              <w:sdtContent>
                <w:p>
                  <w:pPr>
                    <w:tabs>
                      <w:tab w:val="left" w:pos="993"/>
                    </w:tabs>
                    <w:spacing w:line="276" w:lineRule="auto"/>
                    <w:ind w:left="851"/>
                    <w:jc w:val="both"/>
                    <w:rPr>
                      <w:szCs w:val="24"/>
                    </w:rPr>
                  </w:pPr>
                  <w:sdt>
                    <w:sdtPr>
                      <w:alias w:val="Numeris"/>
                      <w:tag w:val="nr_130c3a409d1147358bad123adc2de68f"/>
                      <w:lock w:val="sdtLocked"/>
                      <w:richText/>
                    </w:sdtPr>
                    <w:sdtContent>
                      <w:r>
                        <w:rPr>
                          <w:szCs w:val="24"/>
                        </w:rPr>
                        <w:t>3.1</w:t>
                      </w:r>
                    </w:sdtContent>
                  </w:sdt>
                  <w:r>
                    <w:rPr>
                      <w:szCs w:val="24"/>
                    </w:rPr>
                    <w:t xml:space="preserve">. ne mažiau kaip 15 procentų visų tinkamų finansuoti; </w:t>
                  </w:r>
                </w:p>
              </w:sdtContent>
            </w:sdt>
            <w:sdt>
              <w:sdtPr>
                <w:alias w:val="3.2 pp."/>
                <w:tag w:val="part_221dfa8b056f4d629ee16b9bab86e2dd"/>
                <w:lock w:val="sdtLocked"/>
                <w:richText/>
              </w:sdtPr>
              <w:sdtContent>
                <w:p>
                  <w:pPr>
                    <w:tabs>
                      <w:tab w:val="left" w:pos="993"/>
                    </w:tabs>
                    <w:spacing w:line="276" w:lineRule="auto"/>
                    <w:ind w:left="851"/>
                    <w:jc w:val="both"/>
                    <w:rPr>
                      <w:szCs w:val="24"/>
                    </w:rPr>
                  </w:pPr>
                  <w:sdt>
                    <w:sdtPr>
                      <w:alias w:val="Numeris"/>
                      <w:tag w:val="nr_221dfa8b056f4d629ee16b9bab86e2dd"/>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9fc9c4112d87408985f5ee2df531ef74"/>
                <w:lock w:val="sdtLocked"/>
                <w:richText/>
              </w:sdtPr>
              <w:sdtContent>
                <w:p>
                  <w:pPr>
                    <w:tabs>
                      <w:tab w:val="left" w:pos="993"/>
                    </w:tabs>
                    <w:spacing w:line="276" w:lineRule="auto"/>
                    <w:ind w:left="851"/>
                    <w:jc w:val="both"/>
                    <w:rPr>
                      <w:szCs w:val="24"/>
                    </w:rPr>
                  </w:pPr>
                  <w:sdt>
                    <w:sdtPr>
                      <w:alias w:val="Numeris"/>
                      <w:tag w:val="nr_9fc9c4112d87408985f5ee2df531ef74"/>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be0c1c915c7749ca9107dab6b31462b3"/>
            <w:lock w:val="sdtLocked"/>
            <w:richText/>
          </w:sdtPr>
          <w:sdtContent>
            <w:p>
              <w:pPr>
                <w:tabs>
                  <w:tab w:val="left" w:pos="993"/>
                </w:tabs>
                <w:spacing w:line="276" w:lineRule="auto"/>
                <w:ind w:left="851"/>
                <w:jc w:val="both"/>
                <w:rPr>
                  <w:szCs w:val="24"/>
                </w:rPr>
              </w:pPr>
              <w:sdt>
                <w:sdtPr>
                  <w:alias w:val="Numeris"/>
                  <w:tag w:val="nr_be0c1c915c7749ca9107dab6b31462b3"/>
                  <w:lock w:val="sdtLocked"/>
                  <w:richText/>
                </w:sdtPr>
                <w:sdtContent>
                  <w:r>
                    <w:rPr>
                      <w:szCs w:val="24"/>
                    </w:rPr>
                    <w:t>4</w:t>
                  </w:r>
                </w:sdtContent>
              </w:sdt>
              <w:r>
                <w:rPr>
                  <w:szCs w:val="24"/>
                </w:rPr>
                <w:t xml:space="preserve">.     Užtikrinti Projekto rezultatų tęstinumą 5 metus po Projekto įgyvendinimo pabaigos.</w:t>
              </w:r>
            </w:p>
          </w:sdtContent>
        </w:sdt>
        <w:sdt>
          <w:sdtPr>
            <w:alias w:val="5 p."/>
            <w:tag w:val="part_a0ebaf5fcaf24ad490ff8498431eba4e"/>
            <w:lock w:val="sdtLocked"/>
            <w:richText/>
          </w:sdtPr>
          <w:sdtContent>
            <w:p>
              <w:pPr>
                <w:spacing w:line="276" w:lineRule="auto"/>
                <w:ind w:firstLine="851"/>
                <w:jc w:val="both"/>
                <w:rPr>
                  <w:szCs w:val="24"/>
                </w:rPr>
              </w:pPr>
              <w:sdt>
                <w:sdtPr>
                  <w:alias w:val="Numeris"/>
                  <w:tag w:val="nr_a0ebaf5fcaf24ad490ff8498431eba4e"/>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66e4286282c34b318a4cb33f1c88caf0"/>
            <w:lock w:val="sdtLocked"/>
            <w:richText/>
          </w:sdtPr>
          <w:sdtContent>
            <w:sdt>
              <w:sdtPr>
                <w:alias w:val="Pavadinimas"/>
                <w:tag w:val="title_66e4286282c34b318a4cb33f1c88caf0"/>
                <w:lock w:val="sdtLocked"/>
                <w:richText/>
              </w:sdtPr>
              <w:sdtContent>
                <w:p>
                  <w:pPr>
                    <w:jc w:val="center"/>
                    <w:rPr>
                      <w:b/>
                      <w:caps/>
                      <w:szCs w:val="24"/>
                    </w:rPr>
                  </w:pPr>
                  <w:r>
                    <w:rPr>
                      <w:b/>
                      <w:szCs w:val="24"/>
                    </w:rPr>
                    <w:t xml:space="preserve">RADVILIŠKIO RAJONO SAVIVALDYBĖS TARYBOS SPRENDIMO „DĖL PRITARIMO PROJEKTO </w:t>
                  </w:r>
                  <w:r>
                    <w:rPr>
                      <w:b/>
                      <w:bCs/>
                      <w:caps/>
                      <w:szCs w:val="24"/>
                    </w:rPr>
                    <w:t xml:space="preserve">„Kultūros objektų, esančių Šv. Jokūbo piligriminiame kelyje, pritaikymas lankymui“ </w:t>
                  </w:r>
                  <w:r>
                    <w:rPr>
                      <w:b/>
                      <w:bCs/>
                      <w:szCs w:val="24"/>
                    </w:rPr>
                    <w:t xml:space="preserve">ĮGYVENDINIMUI IR LĖŠŲ </w:t>
                  </w:r>
                  <w:r>
                    <w:rPr>
                      <w:b/>
                      <w:bCs/>
                      <w:caps/>
                      <w:szCs w:val="24"/>
                    </w:rPr>
                    <w:t>skyrimo“</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2026-05-07</w:t>
              </w:r>
            </w:p>
            <w:p>
              <w:pPr>
                <w:jc w:val="center"/>
                <w:rPr>
                  <w:szCs w:val="24"/>
                </w:rPr>
              </w:pPr>
              <w:r>
                <w:rPr>
                  <w:szCs w:val="24"/>
                </w:rPr>
                <w:t>Radviliškis</w:t>
              </w:r>
            </w:p>
            <w:p>
              <w:pPr>
                <w:rPr>
                  <w:szCs w:val="24"/>
                </w:rPr>
              </w:pPr>
            </w:p>
            <w:sdt>
              <w:sdtPr>
                <w:alias w:val="1 p."/>
                <w:tag w:val="part_ff543220335c4e75873214cf7479d2f7"/>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ff543220335c4e75873214cf7479d2f7"/>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tabs>
                      <w:tab w:val="left" w:pos="855"/>
                    </w:tabs>
                    <w:suppressAutoHyphens/>
                    <w:spacing w:line="276" w:lineRule="auto"/>
                    <w:ind w:firstLine="855"/>
                    <w:jc w:val="both"/>
                    <w:rPr>
                      <w:szCs w:val="24"/>
                    </w:rPr>
                  </w:pPr>
                  <w:r>
                    <w:rPr>
                      <w:szCs w:val="24"/>
                    </w:rPr>
                    <w:t>Projekto „Kultūros objektų, esančių Šv. Jokūbo piligriminiame kelyje, pritaikymas lankymui</w:t>
                  </w:r>
                  <w:r>
                    <w:rPr>
                      <w:color w:val="000000"/>
                      <w:szCs w:val="24"/>
                      <w:lang w:eastAsia="lt-LT"/>
                    </w:rPr>
                    <w:t>“</w:t>
                  </w:r>
                  <w:r>
                    <w:rPr>
                      <w:szCs w:val="24"/>
                    </w:rPr>
                    <w:t xml:space="preserve"> įgyvendinimas numatytas 2022–2030 m. Šiaulių regiono plėtros plane, patvirtintame Šiaulių regiono plėtros tarybos 2026 m. balandžio 2 d. sprendimu Nr. TS-8 „Dėl Šiaulių regiono plėtros tarybos 2023 m. vasario 8 d. sprendimo Nr. ŠR/TS-6 „Dėl 2022–2030 metų Šiaulių regiono plėtros plano patvirtinimo“ pakeitimo“. 2026 m. birželio 10 d. bus paskelbtas kvietimas teikti projekto įgyvendinimo planą (toliau – PĮP). PĮP pateikimo terminas – 2026 m. rugpjūčio 31 d. Sprendimo tikslas – pateikti projekto „Kultūros objektų, esančių Šv. Jokūbo piligriminiame kelyje, pritaikymas lankymui</w:t>
                  </w:r>
                  <w:r>
                    <w:rPr>
                      <w:color w:val="000000"/>
                      <w:szCs w:val="24"/>
                      <w:lang w:eastAsia="lt-LT"/>
                    </w:rPr>
                    <w:t>“ įgyvendinimo planą ir gauti Europos regioninės plėtros fondo lėšų projekto įgyvendinimui.</w:t>
                  </w:r>
                </w:p>
                <w:p>
                  <w:pPr>
                    <w:spacing w:line="276" w:lineRule="auto"/>
                    <w:ind w:firstLine="680"/>
                    <w:jc w:val="both"/>
                    <w:rPr>
                      <w:szCs w:val="24"/>
                    </w:rPr>
                  </w:pPr>
                  <w:r>
                    <w:rPr>
                      <w:szCs w:val="24"/>
                    </w:rPr>
                    <w:t>Planuojamo įgyvendinti projekto „Kultūros objektų, esančių Šv. Jokūbo piligriminiame kelyje, pritaikymas lankymui</w:t>
                  </w:r>
                  <w:r>
                    <w:rPr>
                      <w:color w:val="000000"/>
                      <w:szCs w:val="24"/>
                      <w:lang w:eastAsia="lt-LT"/>
                    </w:rPr>
                    <w:t xml:space="preserve">“ </w:t>
                  </w:r>
                  <w:r>
                    <w:rPr>
                      <w:szCs w:val="24"/>
                    </w:rPr>
                    <w:t>tikslas – modernizuoti viešąją turizmo infrastruktūrą, pritaikant kultūros ir gamtos objektus lankymui. Gavus finansavimą, planuojama Sidabravo seniūnijoje įrengti dvi poilsio aikšteles, geriamojo vandens stoteles, telefonų įkrovimo stoteles, suoliukus, pavėsines ir kitą piligrimams reikalingą infrastruktūrą.</w:t>
                  </w:r>
                </w:p>
              </w:sdtContent>
            </w:sdt>
            <w:sdt>
              <w:sdtPr>
                <w:alias w:val="2 p."/>
                <w:tag w:val="part_c73f19c66a614059a632a5788205c6c0"/>
                <w:lock w:val="sdtLocked"/>
                <w:richText/>
              </w:sdtPr>
              <w:sdtContent>
                <w:p>
                  <w:pPr>
                    <w:spacing w:line="276" w:lineRule="auto"/>
                    <w:ind w:left="1040" w:hanging="360"/>
                    <w:jc w:val="both"/>
                    <w:rPr>
                      <w:szCs w:val="24"/>
                    </w:rPr>
                  </w:pPr>
                  <w:sdt>
                    <w:sdtPr>
                      <w:alias w:val="Numeris"/>
                      <w:tag w:val="nr_c73f19c66a614059a632a5788205c6c0"/>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586d4f25adf74769bbae347faa76330c"/>
                <w:lock w:val="sdtLocked"/>
                <w:richText/>
              </w:sdtPr>
              <w:sdtContent>
                <w:p>
                  <w:pPr>
                    <w:suppressAutoHyphens/>
                    <w:spacing w:line="276" w:lineRule="auto"/>
                    <w:ind w:left="1040" w:hanging="360"/>
                    <w:jc w:val="both"/>
                    <w:rPr>
                      <w:szCs w:val="24"/>
                    </w:rPr>
                  </w:pPr>
                  <w:sdt>
                    <w:sdtPr>
                      <w:alias w:val="Numeris"/>
                      <w:tag w:val="nr_586d4f25adf74769bbae347faa76330c"/>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w:t>
                  </w:r>
                </w:p>
              </w:sdtContent>
            </w:sdt>
            <w:sdt>
              <w:sdtPr>
                <w:alias w:val="4 p."/>
                <w:tag w:val="part_f0cbd9ad17164def95e6fda68227af47"/>
                <w:lock w:val="sdtLocked"/>
                <w:richText/>
              </w:sdtPr>
              <w:sdtContent>
                <w:p>
                  <w:pPr>
                    <w:tabs>
                      <w:tab w:val="left" w:pos="855"/>
                    </w:tabs>
                    <w:spacing w:line="276" w:lineRule="auto"/>
                    <w:ind w:firstLine="680"/>
                    <w:jc w:val="both"/>
                    <w:rPr>
                      <w:color w:val="000000"/>
                      <w:szCs w:val="24"/>
                    </w:rPr>
                  </w:pPr>
                  <w:sdt>
                    <w:sdtPr>
                      <w:alias w:val="Numeris"/>
                      <w:tag w:val="nr_f0cbd9ad17164def95e6fda68227af47"/>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 turizmo infrastruktūra Radviliškio rajone.</w:t>
                  </w:r>
                  <w:r>
                    <w:rPr>
                      <w:szCs w:val="24"/>
                      <w:shd w:val="clear" w:color="auto" w:fill="FFFFFF"/>
                    </w:rPr>
                    <w:t xml:space="preserve"> </w:t>
                  </w:r>
                </w:p>
              </w:sdtContent>
            </w:sdt>
            <w:sdt>
              <w:sdtPr>
                <w:alias w:val="5 p."/>
                <w:tag w:val="part_14c761c7e3114920b5b129fbbdcd426c"/>
                <w:lock w:val="sdtLocked"/>
                <w:richText/>
              </w:sdtPr>
              <w:sdtContent>
                <w:p>
                  <w:pPr>
                    <w:spacing w:line="276" w:lineRule="auto"/>
                    <w:ind w:firstLine="680"/>
                    <w:jc w:val="both"/>
                    <w:rPr>
                      <w:b/>
                      <w:bCs/>
                      <w:szCs w:val="24"/>
                    </w:rPr>
                  </w:pPr>
                  <w:sdt>
                    <w:sdtPr>
                      <w:alias w:val="Numeris"/>
                      <w:tag w:val="nr_14c761c7e3114920b5b129fbbdcd426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Reikšmingų neigiamų pasekmių nenumatoma.</w:t>
                  </w:r>
                </w:p>
              </w:sdtContent>
            </w:sdt>
            <w:sdt>
              <w:sdtPr>
                <w:alias w:val="6 p."/>
                <w:tag w:val="part_4efde97e2bb04eaba096225557df1a91"/>
                <w:lock w:val="sdtLocked"/>
                <w:richText/>
              </w:sdtPr>
              <w:sdtContent>
                <w:p>
                  <w:pPr>
                    <w:spacing w:line="276" w:lineRule="auto"/>
                    <w:ind w:firstLine="680"/>
                    <w:jc w:val="both"/>
                    <w:rPr>
                      <w:szCs w:val="24"/>
                    </w:rPr>
                  </w:pPr>
                  <w:sdt>
                    <w:sdtPr>
                      <w:alias w:val="Numeris"/>
                      <w:tag w:val="nr_4efde97e2bb04eaba096225557df1a9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ea74af65fd08409c8bb4567795c69ec2"/>
                <w:lock w:val="sdtLocked"/>
                <w:richText/>
              </w:sdtPr>
              <w:sdtContent>
                <w:p>
                  <w:pPr>
                    <w:tabs>
                      <w:tab w:val="left" w:pos="855"/>
                    </w:tabs>
                    <w:spacing w:line="276" w:lineRule="auto"/>
                    <w:ind w:firstLine="680"/>
                    <w:jc w:val="both"/>
                    <w:rPr>
                      <w:szCs w:val="24"/>
                      <w:shd w:val="clear" w:color="auto" w:fill="FFFFFF"/>
                    </w:rPr>
                  </w:pPr>
                  <w:sdt>
                    <w:sdtPr>
                      <w:alias w:val="Numeris"/>
                      <w:tag w:val="nr_ea74af65fd08409c8bb4567795c69ec2"/>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iki 96 000,00 Eur. 81 600,00 Eur – Europos regioninės plėtros fondo lėšos, 14 400,00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778591da9dfb4abd81474c1859e866c2"/>
                <w:lock w:val="sdtLocked"/>
                <w:richText/>
              </w:sdtPr>
              <w:sdtContent>
                <w:p>
                  <w:pPr>
                    <w:tabs>
                      <w:tab w:val="left" w:pos="1200"/>
                    </w:tabs>
                    <w:spacing w:line="276" w:lineRule="auto"/>
                    <w:ind w:firstLine="680"/>
                    <w:jc w:val="both"/>
                    <w:rPr>
                      <w:b/>
                      <w:color w:val="000000"/>
                      <w:szCs w:val="24"/>
                    </w:rPr>
                  </w:pPr>
                  <w:sdt>
                    <w:sdtPr>
                      <w:alias w:val="Numeris"/>
                      <w:tag w:val="nr_778591da9dfb4abd81474c1859e866c2"/>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6fef1d09916b4a75ba13f5134cca112f"/>
                <w:lock w:val="sdtLocked"/>
                <w:richText/>
              </w:sdtPr>
              <w:sdtContent>
                <w:p>
                  <w:pPr>
                    <w:tabs>
                      <w:tab w:val="left" w:pos="1200"/>
                    </w:tabs>
                    <w:spacing w:line="276" w:lineRule="auto"/>
                    <w:ind w:firstLine="680"/>
                    <w:jc w:val="both"/>
                    <w:rPr>
                      <w:b/>
                      <w:szCs w:val="24"/>
                    </w:rPr>
                  </w:pPr>
                  <w:sdt>
                    <w:sdtPr>
                      <w:alias w:val="Numeris"/>
                      <w:tag w:val="nr_6fef1d09916b4a75ba13f5134cca112f"/>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c4e58a9409e54f95b8a3099aa89b454d"/>
                <w:lock w:val="sdtLocked"/>
                <w:richText/>
              </w:sdtPr>
              <w:sdtContent>
                <w:p>
                  <w:pPr>
                    <w:spacing w:line="276" w:lineRule="auto"/>
                    <w:ind w:firstLine="680"/>
                    <w:jc w:val="both"/>
                    <w:rPr>
                      <w:szCs w:val="24"/>
                      <w:shd w:val="clear" w:color="auto" w:fill="FFFFFF"/>
                    </w:rPr>
                  </w:pPr>
                  <w:sdt>
                    <w:sdtPr>
                      <w:alias w:val="Numeris"/>
                      <w:tag w:val="nr_c4e58a9409e54f95b8a3099aa89b454d"/>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Sprendimo projekto antikorupcinis vertinimas neatliekamas.</w:t>
                  </w:r>
                </w:p>
              </w:sdtContent>
            </w:sdt>
            <w:sdt>
              <w:sdtPr>
                <w:alias w:val="11 p."/>
                <w:tag w:val="part_20cebb47dd9c4491bf0ffe3e2518e66e"/>
                <w:lock w:val="sdtLocked"/>
                <w:richText/>
              </w:sdtPr>
              <w:sdtContent>
                <w:p>
                  <w:pPr>
                    <w:tabs>
                      <w:tab w:val="left" w:pos="1134"/>
                    </w:tabs>
                    <w:spacing w:line="276" w:lineRule="auto"/>
                    <w:ind w:left="1069" w:hanging="360"/>
                    <w:rPr>
                      <w:rFonts w:eastAsia="Calibri"/>
                      <w:b/>
                      <w:bCs/>
                      <w:szCs w:val="24"/>
                    </w:rPr>
                  </w:pPr>
                  <w:sdt>
                    <w:sdtPr>
                      <w:alias w:val="Numeris"/>
                      <w:tag w:val="nr_20cebb47dd9c4491bf0ffe3e2518e66e"/>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0e8036dd6b5544dcb6f03db971b43655"/>
                <w:lock w:val="sdtLocked"/>
                <w:richText/>
              </w:sdtPr>
              <w:sdtContent>
                <w:p>
                  <w:pPr>
                    <w:spacing w:line="276" w:lineRule="auto"/>
                    <w:ind w:left="1069" w:hanging="360"/>
                    <w:jc w:val="both"/>
                    <w:rPr>
                      <w:rFonts w:eastAsia="Calibri"/>
                      <w:b/>
                      <w:bCs/>
                      <w:szCs w:val="24"/>
                    </w:rPr>
                  </w:pPr>
                  <w:sdt>
                    <w:sdtPr>
                      <w:alias w:val="Numeris"/>
                      <w:tag w:val="nr_0e8036dd6b5544dcb6f03db971b43655"/>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bb24765e13864ff9b8e015e3301beef1"/>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2e8b2f970264a3b942ebb24b087aa07" PartId="fb7bbeda7a854fdf9868b36a6414adef">
    <Part Type="preambule" DocPartId="ed5ef07629154eb8b6c436b67c69cbcb" PartId="aa7f3095ad1547e5b5a3c024b73a9b7e"/>
    <Part Type="punktas" Nr="1" Abbr="1 p." DocPartId="39e91177813e4d7ca5b9e194dec8ec54" PartId="f5c0191ae7b0455890fe16e871d5fbda"/>
    <Part Type="punktas" Nr="2" Abbr="2 p." DocPartId="9ced99ac5b8b415e9f73c1a02615e807" PartId="c548d066725149cca718d67027474bd7"/>
    <Part Type="punktas" Nr="3" Abbr="3 p." DocPartId="30a9fc0357774524aaf696eaa7762d08" PartId="125410046fa847e78f1ccd008fff1f92">
      <Part Type="papunktis" Nr="3.1" Abbr="3.1 pp." DocPartId="8f35afe47d794cd69193d3239cc1499a" PartId="130c3a409d1147358bad123adc2de68f"/>
      <Part Type="papunktis" Nr="3.2" Abbr="3.2 pp." DocPartId="da993fc3fd8842849bafe2a6642ce910" PartId="221dfa8b056f4d629ee16b9bab86e2dd"/>
      <Part Type="papunktis" Nr="3.3" Abbr="3.3 pp." DocPartId="dd6e49e4a9244717964d1a7c5c953b1b" PartId="9fc9c4112d87408985f5ee2df531ef74"/>
    </Part>
    <Part Type="punktas" Nr="4" Abbr="4 p." DocPartId="078c796c3b5f4be2a580fa67dd73c15b" PartId="be0c1c915c7749ca9107dab6b31462b3"/>
    <Part Type="punktas" Nr="5" Abbr="5 p." DocPartId="3937fa6b6f22473d9f0b0b6cfc416d0e" PartId="a0ebaf5fcaf24ad490ff8498431eba4e"/>
    <Part Type="skirsnis" Title="RADVILIŠKIO RAJONO SAVIVALDYBĖS TARYBOS SPRENDIMO „DĖL PRITARIMO PROJEKTO „KULTŪROS OBJEKTŲ, ESANČIŲ ŠV. JOKŪBO PILIGRIMINIAME KELYJE, PRITAIKYMAS LANKYMUI“ ĮGYVENDINIMUI IR LĖŠŲ SKYRIMO“ AIŠKINAMASIS RAŠTAS" DocPartId="b360a2fd6f384ab4bf4db8594873ad3f" PartId="66e4286282c34b318a4cb33f1c88caf0">
      <Part Type="punktas" Nr="1" Abbr="1 p." DocPartId="32e88a83ad5648afa51a1b83d879a880" PartId="ff543220335c4e75873214cf7479d2f7"/>
      <Part Type="punktas" Nr="2" Abbr="2 p." DocPartId="e0ec291705d341d3b9748370a3c06e84" PartId="c73f19c66a614059a632a5788205c6c0"/>
      <Part Type="punktas" Nr="3" Abbr="3 p." DocPartId="02f93ebd7843481aac9cc4fc2d21376a" PartId="586d4f25adf74769bbae347faa76330c"/>
      <Part Type="punktas" Nr="4" Abbr="4 p." DocPartId="785773880b4d45e2a25ab3b703a34a7d" PartId="f0cbd9ad17164def95e6fda68227af47"/>
      <Part Type="punktas" Nr="5" Abbr="5 p." DocPartId="ff70349cc1fd47a7a2b77145db03c140" PartId="14c761c7e3114920b5b129fbbdcd426c"/>
      <Part Type="punktas" Nr="6" Abbr="6 p." DocPartId="58dfaf28e8784441aa6f2340e5c0298e" PartId="4efde97e2bb04eaba096225557df1a91"/>
      <Part Type="punktas" Nr="7" Abbr="7 p." DocPartId="8801fac49e36427b817f94e8eed13d2b" PartId="ea74af65fd08409c8bb4567795c69ec2"/>
      <Part Type="punktas" Nr="8" Abbr="8 p." DocPartId="a16284f4d39b49b29cbb40c5925d820b" PartId="778591da9dfb4abd81474c1859e866c2"/>
      <Part Type="punktas" Nr="9" Abbr="9 p." DocPartId="5192f2355328424889d01ed944e1670e" PartId="6fef1d09916b4a75ba13f5134cca112f"/>
      <Part Type="punktas" Nr="10" Abbr="10 p." DocPartId="b04322a133b1405a843a38f73aa2db98" PartId="c4e58a9409e54f95b8a3099aa89b454d"/>
      <Part Type="punktas" Nr="11" Abbr="11 p." DocPartId="b2589e2f0c1f45f698ede76cbc84d808" PartId="20cebb47dd9c4491bf0ffe3e2518e66e"/>
      <Part Type="punktas" Nr="12" Abbr="12 p." DocPartId="5a14333dc80e4932a3b6adad34051b53" PartId="0e8036dd6b5544dcb6f03db971b43655"/>
    </Part>
    <Part Type="signatura" DocPartId="c535cb78c166485b949cf90dea4f6c44" PartId="bb24765e13864ff9b8e015e3301beef1"/>
  </Part>
</Parts>
</file>

<file path=customXml/itemProps1.xml><?xml version="1.0" encoding="utf-8"?>
<ds:datastoreItem xmlns:ds="http://schemas.openxmlformats.org/officeDocument/2006/customXml" ds:itemID="{479DC732-BC17-425C-9237-E0A8DABC0794}">
  <ds:schemaRefs>
    <ds:schemaRef ds:uri="http://schemas.openxmlformats.org/officeDocument/2006/bibliography"/>
  </ds:schemaRefs>
</ds:datastoreItem>
</file>

<file path=customXml/itemProps2.xml><?xml version="1.0" encoding="utf-8"?>
<ds:datastoreItem xmlns:ds="http://schemas.openxmlformats.org/officeDocument/2006/customXml" ds:itemID="{D3C7B73A-A688-4ECC-AB1A-DD81311F54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846</Words>
  <Characters>6146</Characters>
  <Application>Microsoft Office Word</Application>
  <DocSecurity>4</DocSecurity>
  <Lines>120</Lines>
  <Paragraphs>56</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6936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2026-05-27T06:29:00Z</dcterms:created>
  <dc:creator>Gintaras</dc:creator>
  <lastModifiedBy>adlibuser</lastModifiedBy>
  <lastPrinted>2024-04-30T06:27:00Z</lastPrinted>
  <dcterms:modified xsi:type="dcterms:W3CDTF">2026-05-27T06:29:00Z</dcterms:modified>
  <revision>2</revision>
  <dc:title/>
</coreProperties>
</file>