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c451928fbf704debaee20451eb573d9f"/>
        <w:lock w:val="sdtLocked"/>
        <w:richText/>
      </w:sdtPr>
      <w:sdtContent>
        <w:p w14:paraId="0B03C4AD" w14:textId="77777777">
          <w:pPr>
            <w:tabs>
              <w:tab w:val="center" w:pos="4819"/>
              <w:tab w:val="right" w:pos="9638"/>
            </w:tabs>
            <w:ind w:right="140"/>
            <w:jc w:val="center"/>
            <w:rPr>
              <w:rFonts w:ascii="Calibri" w:hAnsi="Calibri" w:cs="Calibri"/>
              <w:sz w:val="22"/>
              <w:szCs w:val="22"/>
            </w:rPr>
          </w:pPr>
        </w:p>
        <w:p w14:paraId="6EDC751C" w14:textId="041C20F3">
          <w:pPr>
            <w:tabs>
              <w:tab w:val="left" w:pos="709"/>
            </w:tabs>
            <w:spacing w:line="276" w:lineRule="auto"/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Projektas</w:t>
          </w:r>
        </w:p>
        <w:p w14:paraId="6EDC751D" w14:textId="45E39EAC">
          <w:pPr>
            <w:tabs>
              <w:tab w:val="left" w:pos="709"/>
            </w:tabs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</w:p>
        <w:p w14:paraId="6EDC751E" w14:textId="77777777">
          <w:pPr>
            <w:tabs>
              <w:tab w:val="left" w:pos="709"/>
            </w:tabs>
            <w:spacing w:line="276" w:lineRule="auto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 ENERGETIKOS MINISTRAS</w:t>
          </w:r>
        </w:p>
        <w:p w14:paraId="6EDC751F" w14:textId="77777777">
          <w:pPr>
            <w:overflowPunct w:val="0"/>
            <w:spacing w:line="276" w:lineRule="auto"/>
            <w:jc w:val="center"/>
            <w:textAlignment w:val="baseline"/>
            <w:rPr>
              <w:b/>
              <w:bCs/>
              <w:szCs w:val="24"/>
              <w:lang w:eastAsia="lt-LT"/>
            </w:rPr>
          </w:pPr>
        </w:p>
        <w:p w14:paraId="1438F3D0" w14:textId="77777777">
          <w:pPr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 w14:paraId="67EE27FC" w14:textId="77777777">
          <w:pPr>
            <w:overflowPunct w:val="0"/>
            <w:jc w:val="center"/>
            <w:textAlignment w:val="baseline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LIETUVOS RESPUBLIKOS ENERGETIKOS MINISTRO 2016 M. RUGSĖJO 23 D. ĮSAKYMO NR. 1-253 „DĖL 2014–2020 METŲ EUROPOS SĄJUNGOS FONDŲ INVESTICIJŲ VEIKSMŲ PROGRAMOS 6 PRIORITETO „DARNAUS TRANSPORTO IR PAGRINDINIŲ TINKLŲ INFRASTRUKTŪROS PLĖTRA“ </w:t>
          </w:r>
          <w:r>
            <w:rPr>
              <w:b/>
              <w:bCs/>
              <w:szCs w:val="24"/>
            </w:rPr>
            <w:t>06.3.1-LVPA-V-10</w:t>
          </w:r>
          <w:r>
            <w:rPr>
              <w:b/>
              <w:bCs/>
              <w:szCs w:val="24"/>
              <w:lang w:val="en-US"/>
            </w:rPr>
            <w:t>4</w:t>
          </w:r>
          <w:r>
            <w:rPr>
              <w:b/>
              <w:bCs/>
              <w:szCs w:val="24"/>
            </w:rPr>
            <w:t xml:space="preserve"> PRIEMONĖS „GAMTINIŲ DUJŲ</w:t>
          </w:r>
          <w:r>
            <w:rPr>
              <w:b/>
              <w:bCs/>
              <w:color w:val="000000"/>
              <w:szCs w:val="24"/>
            </w:rPr>
            <w:t xml:space="preserve"> PERDAVIMO SISTEMOS MODERNIZAVIMAS IR PLĖTRA</w:t>
          </w:r>
          <w:r>
            <w:rPr>
              <w:b/>
              <w:bCs/>
              <w:szCs w:val="24"/>
            </w:rPr>
            <w:t xml:space="preserve">“ </w:t>
          </w:r>
          <w:r>
            <w:rPr>
              <w:b/>
              <w:bCs/>
              <w:szCs w:val="24"/>
              <w:lang w:eastAsia="lt-LT"/>
            </w:rPr>
            <w:t>PROJEKTŲ FINANSAVIMO SĄLYGŲ APRAŠO NR. 2 PATVIRTINIMO</w:t>
          </w:r>
          <w:r>
            <w:rPr>
              <w:b/>
              <w:bCs/>
              <w:caps/>
              <w:szCs w:val="24"/>
              <w:lang w:eastAsia="lt-LT"/>
            </w:rPr>
            <w:t>“ PAKEITIMO</w:t>
          </w:r>
        </w:p>
        <w:p w14:paraId="3680DBF1" w14:textId="77777777">
          <w:pPr>
            <w:keepNext/>
            <w:overflowPunct w:val="0"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</w:p>
        <w:p w14:paraId="08828DE3" w14:textId="77777777">
          <w:pPr>
            <w:keepNext/>
            <w:overflowPunct w:val="0"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2017 m.                         d. Nr. 1-</w:t>
          </w:r>
        </w:p>
        <w:p w14:paraId="1389EF12" w14:textId="77777777">
          <w:pPr>
            <w:overflowPunct w:val="0"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2DA54275" w14:textId="77777777">
          <w:pPr>
            <w:overflowPunct w:val="0"/>
            <w:spacing w:line="276" w:lineRule="auto"/>
            <w:jc w:val="center"/>
            <w:textAlignment w:val="baseline"/>
            <w:rPr>
              <w:szCs w:val="24"/>
              <w:lang w:eastAsia="lt-LT"/>
            </w:rPr>
          </w:pPr>
        </w:p>
        <w:sdt>
          <w:sdtPr>
            <w:alias w:val="preambule"/>
            <w:tag w:val="part_85de7f14ffe546f5b7dfb399efcca34d"/>
            <w:lock w:val="sdtLocked"/>
            <w:richText/>
          </w:sdtPr>
          <w:sdtContent>
            <w:p w14:paraId="6EDC7562" w14:textId="2CE24859">
              <w:pPr>
                <w:tabs>
                  <w:tab w:val="left" w:pos="1134"/>
                </w:tabs>
                <w:overflowPunct w:val="0"/>
                <w:ind w:firstLine="851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P a k e i č i u 2014–2020 metų Europos Sąjungos fondų investicijų veiksmų programos 6 prioriteto „Darnaus transporto ir pagrindinių tinklų infrastruktūros plėtra“ </w:t>
              </w:r>
              <w:r>
                <w:rPr>
                  <w:bCs/>
                  <w:caps/>
                  <w:szCs w:val="24"/>
                </w:rPr>
                <w:t>06.3.1-LVPA-V-10</w:t>
              </w:r>
              <w:r>
                <w:rPr>
                  <w:bCs/>
                  <w:caps/>
                  <w:szCs w:val="24"/>
                  <w:lang w:val="en-US"/>
                </w:rPr>
                <w:t>4</w:t>
              </w:r>
              <w:r>
                <w:rPr>
                  <w:bCs/>
                  <w:cap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priemonės „Gamtinių dujų</w:t>
              </w:r>
              <w:r>
                <w:rPr>
                  <w:bCs/>
                  <w:color w:val="000000"/>
                  <w:szCs w:val="24"/>
                </w:rPr>
                <w:t xml:space="preserve"> perdavimo sistemos modernizavimas ir plėtra</w:t>
              </w:r>
              <w:r>
                <w:rPr>
                  <w:bCs/>
                  <w:caps/>
                  <w:szCs w:val="24"/>
                </w:rPr>
                <w:t>“</w:t>
              </w:r>
              <w:r>
                <w:rPr>
                  <w:color w:val="000000"/>
                  <w:szCs w:val="24"/>
                  <w:lang w:eastAsia="lt-LT"/>
                </w:rPr>
                <w:t xml:space="preserve"> projektų finansavimo sąlygų aprašą Nr. 2, </w:t>
              </w:r>
              <w:r>
                <w:rPr>
                  <w:szCs w:val="24"/>
                </w:rPr>
                <w:t xml:space="preserve">patvirtintą </w:t>
              </w:r>
              <w:r>
                <w:rPr>
                  <w:color w:val="000000"/>
                  <w:szCs w:val="24"/>
                  <w:lang w:eastAsia="lt-LT"/>
                </w:rPr>
                <w:t xml:space="preserve">Lietuvos Respublikos energetikos ministro 2016 m. </w:t>
              </w:r>
              <w:r>
                <w:rPr>
                  <w:bCs/>
                  <w:szCs w:val="24"/>
                  <w:lang w:eastAsia="lt-LT"/>
                </w:rPr>
                <w:t>rugsėjo 23</w:t>
              </w:r>
              <w:r>
                <w:rPr>
                  <w:b/>
                  <w:bCs/>
                  <w:szCs w:val="24"/>
                  <w:lang w:eastAsia="lt-LT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 xml:space="preserve">d. įsakymu Nr. 1-253 „Dėl 2014–2020 metų Europos Sąjungos fondų investicijų veiksmų programos 6 prioriteto „Darnaus transporto ir pagrindinių tinklų infrastruktūros plėtra“ </w:t>
              </w:r>
              <w:r>
                <w:rPr>
                  <w:bCs/>
                  <w:caps/>
                  <w:szCs w:val="24"/>
                </w:rPr>
                <w:t>06.3.1-LVPA-V-10</w:t>
              </w:r>
              <w:r>
                <w:rPr>
                  <w:bCs/>
                  <w:caps/>
                  <w:szCs w:val="24"/>
                  <w:lang w:val="en-US"/>
                </w:rPr>
                <w:t>4</w:t>
              </w:r>
              <w:r>
                <w:rPr>
                  <w:bCs/>
                  <w:caps/>
                  <w:szCs w:val="24"/>
                </w:rPr>
                <w:t xml:space="preserve"> </w:t>
              </w:r>
              <w:r>
                <w:rPr>
                  <w:bCs/>
                  <w:szCs w:val="24"/>
                </w:rPr>
                <w:t>priemonės „Gamtinių dujų</w:t>
              </w:r>
              <w:r>
                <w:rPr>
                  <w:bCs/>
                  <w:color w:val="000000"/>
                  <w:szCs w:val="24"/>
                </w:rPr>
                <w:t xml:space="preserve"> perdavimo sistemos modernizavimas ir plėtra</w:t>
              </w:r>
              <w:r>
                <w:rPr>
                  <w:bCs/>
                  <w:caps/>
                  <w:szCs w:val="24"/>
                </w:rPr>
                <w:t>“</w:t>
              </w:r>
              <w:r>
                <w:rPr>
                  <w:rFonts w:ascii="Calibri" w:hAnsi="Calibri" w:cs="Calibri"/>
                  <w:b/>
                  <w:bCs/>
                  <w:caps/>
                  <w:sz w:val="22"/>
                  <w:szCs w:val="22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 xml:space="preserve"> projektų finansavimo sąlygų aprašo Nr. 2 patvirtinimo“,</w:t>
              </w:r>
              <w:r>
                <w:rPr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  <w:lang w:eastAsia="lt-LT"/>
                </w:rPr>
                <w:t>ir p</w:t>
              </w:r>
              <w:r>
                <w:rPr>
                  <w:szCs w:val="24"/>
                </w:rPr>
                <w:t>ripažįstu netekusiu galios 48.2 papunktį.</w:t>
              </w:r>
            </w:p>
            <w:p w14:paraId="03978358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EDC7589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  <w:p w14:paraId="6EDC758A" w14:textId="48327ABE">
              <w:pPr>
                <w:overflowPunct w:val="0"/>
                <w:spacing w:line="276" w:lineRule="auto"/>
                <w:jc w:val="both"/>
                <w:textAlignment w:val="baseline"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lentele"/>
            <w:tag w:val="part_c25374d098c042729e9b421757b36069"/>
            <w:lock w:val="sdtLocked"/>
            <w:richText/>
          </w:sdtPr>
          <w:sdtContent>
            <w:tbl>
              <w:tblPr>
                <w:tblW w:w="0" w:type="auto"/>
                <w:tblLook w:val="04A0" w:firstRow="1" w:lastRow="0" w:firstColumn="1" w:lastColumn="0" w:noHBand="0" w:noVBand="1"/>
              </w:tblPr>
              <w:tblGrid>
                <w:gridCol w:w="4927"/>
                <w:gridCol w:w="4927"/>
              </w:tblGrid>
              <w:tr w14:paraId="6EDC758D" w14:textId="77777777">
                <w:tc>
                  <w:tcPr>
                    <w:tcW w:w="4927" w:type="dxa"/>
                  </w:tcPr>
                  <w:p w14:paraId="6EDC758B" w14:textId="77777777">
                    <w:pPr>
                      <w:overflowPunct w:val="0"/>
                      <w:spacing w:line="276" w:lineRule="auto"/>
                      <w:jc w:val="both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Energetikos ministras</w:t>
                      <w:tab/>
                      <w:tab/>
                    </w:r>
                  </w:p>
                </w:tc>
                <w:tc>
                  <w:tcPr>
                    <w:tcW w:w="4927" w:type="dxa"/>
                  </w:tcPr>
                  <w:p w14:paraId="6EDC758C" w14:textId="63B609C6">
                    <w:pPr>
                      <w:overflowPunct w:val="0"/>
                      <w:spacing w:line="276" w:lineRule="auto"/>
                      <w:jc w:val="right"/>
                      <w:textAlignment w:val="baseline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6EDC758E" w14:textId="5CA5E186">
              <w:pPr>
                <w:overflowPunct w:val="0"/>
                <w:spacing w:line="276" w:lineRule="auto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B3D232F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separator/>
      </w:r>
    </w:p>
  </w:endnote>
  <w:endnote w:type="continuationSeparator" w:id="0">
    <w:p w14:paraId="25A96DBF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continuationSeparator/>
      </w:r>
    </w:p>
  </w:endnote>
  <w:endnote w:type="continuationNotice" w:id="1">
    <w:p w14:paraId="5C763E82" w14:textId="77777777">
      <w:pPr>
        <w:rPr>
          <w:rFonts w:ascii="Calibri" w:hAnsi="Calibri" w:cs="Calibri"/>
          <w:sz w:val="22"/>
          <w:szCs w:val="22"/>
        </w:rPr>
      </w:pP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995B74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FDE519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E31208D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4191C6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separator/>
      </w:r>
    </w:p>
  </w:footnote>
  <w:footnote w:type="continuationSeparator" w:id="0">
    <w:p w14:paraId="7ABFABC4" w14:textId="77777777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continuationSeparator/>
      </w:r>
    </w:p>
  </w:footnote>
  <w:footnote w:type="continuationNotice" w:id="1">
    <w:p w14:paraId="09212750" w14:textId="77777777">
      <w:pPr>
        <w:rPr>
          <w:rFonts w:ascii="Calibri" w:hAnsi="Calibri" w:cs="Calibri"/>
          <w:sz w:val="22"/>
          <w:szCs w:val="22"/>
        </w:rPr>
      </w:pP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45AA0D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DC7595" w14:textId="2181D53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3</w:t>
    </w:r>
    <w:r>
      <w:rPr>
        <w:szCs w:val="24"/>
      </w:rPr>
      <w:fldChar w:fldCharType="end"/>
    </w:r>
  </w:p>
  <w:p w14:paraId="6EDC7596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EDC7597" w14:textId="77777777">
    <w:pPr>
      <w:tabs>
        <w:tab w:val="center" w:pos="4819"/>
        <w:tab w:val="right" w:pos="9638"/>
      </w:tabs>
      <w:rPr>
        <w:rFonts w:ascii="Calibri" w:hAnsi="Calibri" w:cs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val="bestFit" w:percent="15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396"/>
  <w:doNotHyphenateCaps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4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5"/>
    <o:shapelayout v:ext="edit">
      <o:idmap v:ext="edit" data="1"/>
    </o:shapelayout>
  </w:shapeDefaults>
  <w:doNotEmbedSmartTags/>
  <w:decimalSymbol w:val="."/>
  <w:listSeparator w:val=","/>
  <w14:docId w14:val="6EDC751C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3"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8">
      <w:marLeft w:val="390"/>
      <w:marRight w:val="39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29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single" w:sz="6" w:space="25" w:color="E2E2E2"/>
                                        <w:bottom w:val="single" w:sz="6" w:space="29" w:color="E2E2E2"/>
                                        <w:right w:val="single" w:sz="6" w:space="25" w:color="E2E2E2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092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8500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5283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367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07358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4962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91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15768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337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116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98999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3290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7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6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39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9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83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endnotes" Target="endnotes.xml"/>
  <Relationship Id="rId11" Type="http://schemas.openxmlformats.org/officeDocument/2006/relationships/header" Target="header1.xml"/>
  <Relationship Id="rId12" Type="http://schemas.openxmlformats.org/officeDocument/2006/relationships/header" Target="header2.xml"/>
  <Relationship Id="rId13" Type="http://schemas.openxmlformats.org/officeDocument/2006/relationships/footer" Target="footer1.xml"/>
  <Relationship Id="rId14" Type="http://schemas.openxmlformats.org/officeDocument/2006/relationships/footer" Target="footer2.xml"/>
  <Relationship Id="rId15" Type="http://schemas.openxmlformats.org/officeDocument/2006/relationships/header" Target="header3.xml"/>
  <Relationship Id="rId16" Type="http://schemas.openxmlformats.org/officeDocument/2006/relationships/footer" Target="footer3.xml"/>
  <Relationship Id="rId17" Type="http://schemas.openxmlformats.org/officeDocument/2006/relationships/fontTable" Target="fontTable.xml"/>
  <Relationship Id="rId18" Type="http://schemas.openxmlformats.org/officeDocument/2006/relationships/theme" Target="theme/theme1.xml"/>
  <Relationship Id="rId19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microsoft.com/office/2007/relationships/stylesWithEffects" Target="stylesWithEffects.xml"/>
  <Relationship Id="rId7" Type="http://schemas.openxmlformats.org/officeDocument/2006/relationships/settings" Target="settings.xml"/>
  <Relationship Id="rId8" Type="http://schemas.openxmlformats.org/officeDocument/2006/relationships/webSettings" Target="webSettings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219C3C73E1BB8B46AC96171FE6EF6BC4" ma:contentTypeVersion="4" ma:contentTypeDescription="Kurkite naują dokumentą." ma:contentTypeScope="" ma:versionID="85c823a094f3a9f31c5276abca599c35">
  <xsd:schema xmlns:xsd="http://www.w3.org/2001/XMLSchema" xmlns:xs="http://www.w3.org/2001/XMLSchema" xmlns:p="http://schemas.microsoft.com/office/2006/metadata/properties" xmlns:ns2="43d43418-aab9-4ca3-bfd5-0091ec32d794" targetNamespace="http://schemas.microsoft.com/office/2006/metadata/properties" ma:root="true" ma:fieldsID="3d401bf59b0299c6c2ea99f3db23587f" ns2:_="">
    <xsd:import namespace="43d43418-aab9-4ca3-bfd5-0091ec32d794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d43418-aab9-4ca3-bfd5-0091ec32d79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Bendrinama su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Bendrinta su išsamia informacija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Paskutinį kartą bendrinta pagal vartotoją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Paskutinį kartą bendrinta pagal laiką" ma:description="" ma:internalName="LastSharedByTime" ma:readOnly="tru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agrindine" DocPartId="02dc6ded50854d60abcc1349e3ad7fde" PartId="c451928fbf704debaee20451eb573d9f">
    <Part Type="preambule" DocPartId="0198e537795a4dd2928821272ef5917f" PartId="85de7f14ffe546f5b7dfb399efcca34d"/>
    <Part Type="lentele" DocPartId="05aaf120aa3f481aacef02ce9d070338" PartId="c25374d098c042729e9b421757b36069"/>
  </Part>
</Parts>
</file>

<file path=customXml/itemProps1.xml><?xml version="1.0" encoding="utf-8"?>
<ds:datastoreItem xmlns:ds="http://schemas.openxmlformats.org/officeDocument/2006/customXml" ds:itemID="{17C568E5-4267-4D3C-AA91-EA8B2BF7C44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7487EF9-2C6A-4E62-905D-86CC9DA63435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43d43418-aab9-4ca3-bfd5-0091ec32d794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73208153-6218-4F59-BE38-2E5F2D3BC5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d43418-aab9-4ca3-bfd5-0091ec32d7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C68451-D345-444C-B175-9E73610037E5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11CD375C-E8C0-4475-90F9-E653DDD4701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1106</Characters>
  <Application>Microsoft Office Word</Application>
  <DocSecurity>4</DocSecurity>
  <Lines>29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FM</Company>
  <LinksUpToDate>false</LinksUpToDate>
  <CharactersWithSpaces>1259</CharactersWithSpaces>
  <SharedDoc>false</SharedDoc>
  <HyperlinkBase/>
  <HLinks>
    <vt:vector size="54" baseType="variant">
      <vt:variant>
        <vt:i4>1507402</vt:i4>
      </vt:variant>
      <vt:variant>
        <vt:i4>21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18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15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12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9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1704017</vt:i4>
      </vt:variant>
      <vt:variant>
        <vt:i4>6</vt:i4>
      </vt:variant>
      <vt:variant>
        <vt:i4>0</vt:i4>
      </vt:variant>
      <vt:variant>
        <vt:i4>5</vt:i4>
      </vt:variant>
      <vt:variant>
        <vt:lpwstr>http://www.ppplietuva.lt/</vt:lpwstr>
      </vt:variant>
      <vt:variant>
        <vt:lpwstr/>
      </vt:variant>
      <vt:variant>
        <vt:i4>1507402</vt:i4>
      </vt:variant>
      <vt:variant>
        <vt:i4>3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1507402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</vt:lpwstr>
      </vt:variant>
      <vt:variant>
        <vt:lpwstr/>
      </vt:variant>
      <vt:variant>
        <vt:i4>1900565</vt:i4>
      </vt:variant>
      <vt:variant>
        <vt:i4>0</vt:i4>
      </vt:variant>
      <vt:variant>
        <vt:i4>0</vt:i4>
      </vt:variant>
      <vt:variant>
        <vt:i4>5</vt:i4>
      </vt:variant>
      <vt:variant>
        <vt:lpwstr>http://eur-lex.europa.eu/legal-content/LT/AUTO/?uri=OJ:L:2012:315:TOC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2017-06-01T08:11:00Z</dcterms:created>
  <dc:creator>Žana Zimina</dc:creator>
  <lastModifiedBy>adlibuser</lastModifiedBy>
  <lastPrinted>2017-05-31T12:12:00Z</lastPrinted>
  <dcterms:modified xsi:type="dcterms:W3CDTF">2017-06-01T08:11:00Z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0x010100219C3C73E1BB8B46AC96171FE6EF6BC4</vt:lpwstr>
  </property>
</Properties>
</file>