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a4042d20345418584f94b91ad23be94"/>
        <w:lock w:val="sdtLocked"/>
        <w:richText/>
      </w:sdtPr>
      <w:sdtContent>
        <w:p>
          <w:pPr>
            <w:tabs>
              <w:tab w:val="center" w:pos="4819"/>
              <w:tab w:val="right" w:pos="9638"/>
            </w:tabs>
            <w:jc w:val="both"/>
            <w:rPr>
              <w:rFonts w:eastAsia="Calibri"/>
              <w:szCs w:val="22"/>
            </w:rPr>
          </w:pPr>
        </w:p>
        <w:p>
          <w:pPr>
            <w:widowControl w:val="0"/>
            <w:shd w:val="clear" w:color="auto" w:fill="FFFFFF"/>
            <w:ind w:left="7776" w:firstLine="620"/>
            <w:jc w:val="both"/>
            <w:rPr>
              <w:rFonts w:eastAsia="Calibri"/>
              <w:b/>
              <w:bCs/>
              <w:color w:val="000000"/>
              <w:szCs w:val="24"/>
            </w:rPr>
          </w:pPr>
          <w:r>
            <w:rPr>
              <w:rFonts w:eastAsia="Calibri"/>
              <w:b/>
              <w:bCs/>
              <w:color w:val="000000"/>
              <w:szCs w:val="24"/>
            </w:rPr>
            <w:t xml:space="preserve">Projektas </w:t>
          </w:r>
        </w:p>
        <w:p>
          <w:pPr>
            <w:shd w:val="clear" w:color="auto" w:fill="FFFFFF"/>
            <w:ind w:left="19"/>
            <w:jc w:val="center"/>
            <w:rPr>
              <w:rFonts w:eastAsia="Calibri"/>
              <w:b/>
              <w:bCs/>
              <w:spacing w:val="4"/>
              <w:szCs w:val="24"/>
            </w:rPr>
          </w:pPr>
        </w:p>
        <w:p>
          <w:pPr>
            <w:shd w:val="clear" w:color="auto" w:fill="FFFFFF"/>
            <w:ind w:left="19"/>
            <w:jc w:val="center"/>
            <w:rPr>
              <w:rFonts w:eastAsia="Calibri"/>
              <w:color w:val="000000"/>
              <w:szCs w:val="24"/>
            </w:rPr>
          </w:pPr>
        </w:p>
        <w:p>
          <w:pPr>
            <w:shd w:val="clear" w:color="auto" w:fill="FFFFFF"/>
            <w:spacing w:line="259" w:lineRule="atLeast"/>
            <w:jc w:val="center"/>
            <w:rPr>
              <w:b/>
              <w:color w:val="000000"/>
              <w:szCs w:val="24"/>
              <w:lang w:eastAsia="lt-LT"/>
            </w:rPr>
          </w:pPr>
          <w:r>
            <w:rPr>
              <w:b/>
              <w:bCs/>
              <w:color w:val="000000"/>
              <w:szCs w:val="24"/>
              <w:lang w:eastAsia="lt-LT"/>
            </w:rPr>
            <w:t>LIETUVOS RESPUBLIKOS</w:t>
          </w:r>
        </w:p>
        <w:p>
          <w:pPr>
            <w:shd w:val="clear" w:color="auto" w:fill="FFFFFF"/>
            <w:spacing w:line="259" w:lineRule="atLeast"/>
            <w:jc w:val="center"/>
            <w:rPr>
              <w:b/>
              <w:color w:val="000000"/>
              <w:szCs w:val="24"/>
              <w:lang w:eastAsia="lt-LT"/>
            </w:rPr>
          </w:pPr>
          <w:r>
            <w:rPr>
              <w:b/>
              <w:bCs/>
              <w:color w:val="000000"/>
              <w:szCs w:val="24"/>
              <w:lang w:eastAsia="lt-LT"/>
            </w:rPr>
            <w:t xml:space="preserve">SAUGOMŲ TERITORIJŲ ĮSTATYMO </w:t>
          </w:r>
          <w:r>
            <w:rPr>
              <w:b/>
              <w:color w:val="000000"/>
              <w:szCs w:val="24"/>
              <w:shd w:val="clear" w:color="auto" w:fill="FFFFFF"/>
              <w:lang w:eastAsia="lt-LT"/>
            </w:rPr>
            <w:t>NR. I-301 28 STRAIPSNIO PAKEITIMO</w:t>
          </w:r>
        </w:p>
        <w:p>
          <w:pPr>
            <w:shd w:val="clear" w:color="auto" w:fill="FFFFFF"/>
            <w:spacing w:line="259" w:lineRule="atLeast"/>
            <w:jc w:val="center"/>
            <w:rPr>
              <w:b/>
              <w:color w:val="000000"/>
              <w:szCs w:val="24"/>
              <w:lang w:eastAsia="lt-LT"/>
            </w:rPr>
          </w:pPr>
          <w:r>
            <w:rPr>
              <w:b/>
              <w:bCs/>
              <w:color w:val="000000"/>
              <w:szCs w:val="24"/>
              <w:lang w:eastAsia="lt-LT"/>
            </w:rPr>
            <w:t>ĮSTATYMAS</w:t>
          </w:r>
        </w:p>
        <w:p>
          <w:pPr>
            <w:shd w:val="clear" w:color="auto" w:fill="FFFFFF"/>
            <w:ind w:left="19"/>
            <w:jc w:val="center"/>
            <w:rPr>
              <w:rFonts w:eastAsia="Calibri"/>
              <w:color w:val="000000"/>
              <w:szCs w:val="24"/>
            </w:rPr>
          </w:pPr>
        </w:p>
        <w:p>
          <w:pPr>
            <w:shd w:val="clear" w:color="auto" w:fill="FFFFFF"/>
            <w:jc w:val="center"/>
            <w:rPr>
              <w:rFonts w:eastAsia="Calibri"/>
              <w:szCs w:val="24"/>
            </w:rPr>
          </w:pPr>
          <w:r>
            <w:rPr>
              <w:rFonts w:eastAsia="Calibri"/>
              <w:spacing w:val="-2"/>
              <w:szCs w:val="24"/>
            </w:rPr>
            <w:t>2015 m.</w:t>
            <w:tab/>
            <w:tab/>
            <w:t>d</w:t>
          </w:r>
          <w:r>
            <w:rPr>
              <w:rFonts w:eastAsia="Calibri"/>
              <w:spacing w:val="-1"/>
              <w:szCs w:val="24"/>
            </w:rPr>
            <w:t>. Nr.</w:t>
          </w:r>
        </w:p>
        <w:p>
          <w:pPr>
            <w:shd w:val="clear" w:color="auto" w:fill="FFFFFF"/>
            <w:jc w:val="center"/>
            <w:rPr>
              <w:rFonts w:eastAsia="Calibri"/>
              <w:spacing w:val="2"/>
              <w:szCs w:val="24"/>
            </w:rPr>
          </w:pPr>
          <w:r>
            <w:rPr>
              <w:rFonts w:eastAsia="Calibri"/>
              <w:spacing w:val="2"/>
              <w:szCs w:val="24"/>
            </w:rPr>
            <w:t>Vilnius</w:t>
          </w:r>
        </w:p>
        <w:p>
          <w:pPr>
            <w:ind w:firstLine="567"/>
            <w:jc w:val="both"/>
            <w:rPr>
              <w:rFonts w:eastAsia="Calibri"/>
              <w:szCs w:val="24"/>
            </w:rPr>
          </w:pPr>
        </w:p>
        <w:sdt>
          <w:sdtPr>
            <w:alias w:val="1 str."/>
            <w:tag w:val="part_4fb8d860588b4db8a86bebc424449ce5"/>
            <w:lock w:val="sdtLocked"/>
            <w:richText/>
          </w:sdtPr>
          <w:sdtContent>
            <w:p>
              <w:pPr>
                <w:ind w:firstLine="567"/>
                <w:jc w:val="both"/>
                <w:rPr>
                  <w:rFonts w:eastAsia="Calibri"/>
                  <w:b/>
                  <w:bCs/>
                  <w:szCs w:val="24"/>
                  <w:lang w:eastAsia="lt-LT"/>
                </w:rPr>
              </w:pPr>
              <w:sdt>
                <w:sdtPr>
                  <w:alias w:val="Numeris"/>
                  <w:tag w:val="nr_4fb8d860588b4db8a86bebc424449ce5"/>
                  <w:lock w:val="sdtLocked"/>
                  <w:richText/>
                </w:sdtPr>
                <w:sdtContent>
                  <w:r>
                    <w:rPr>
                      <w:rFonts w:eastAsia="Calibri"/>
                      <w:b/>
                      <w:bCs/>
                      <w:szCs w:val="24"/>
                      <w:lang w:eastAsia="lt-LT"/>
                    </w:rPr>
                    <w:t>1</w:t>
                  </w:r>
                </w:sdtContent>
              </w:sdt>
              <w:r>
                <w:rPr>
                  <w:rFonts w:eastAsia="Calibri"/>
                  <w:b/>
                  <w:bCs/>
                  <w:szCs w:val="24"/>
                  <w:lang w:eastAsia="lt-LT"/>
                </w:rPr>
                <w:t xml:space="preserve"> straipsnis. </w:t>
              </w:r>
              <w:sdt>
                <w:sdtPr>
                  <w:alias w:val="Pavadinimas"/>
                  <w:tag w:val="title_4fb8d860588b4db8a86bebc424449ce5"/>
                  <w:lock w:val="sdtLocked"/>
                  <w:richText/>
                </w:sdtPr>
                <w:sdtContent>
                  <w:r>
                    <w:rPr>
                      <w:rFonts w:eastAsia="Calibri"/>
                      <w:b/>
                      <w:bCs/>
                      <w:szCs w:val="24"/>
                      <w:lang w:eastAsia="lt-LT"/>
                    </w:rPr>
                    <w:t>28 straipsnio pakeitimas</w:t>
                  </w:r>
                </w:sdtContent>
              </w:sdt>
            </w:p>
            <w:sdt>
              <w:sdtPr>
                <w:alias w:val="1 str. 1 d."/>
                <w:tag w:val="part_61ef493e30bd477d833ebaf77ba88484"/>
                <w:lock w:val="sdtLocked"/>
                <w:richText/>
              </w:sdtPr>
              <w:sdtContent>
                <w:p>
                  <w:pPr>
                    <w:ind w:left="851" w:hanging="284"/>
                    <w:jc w:val="both"/>
                    <w:rPr>
                      <w:rFonts w:eastAsia="Calibri"/>
                      <w:bCs/>
                      <w:szCs w:val="24"/>
                      <w:lang w:eastAsia="lt-LT"/>
                    </w:rPr>
                  </w:pPr>
                  <w:sdt>
                    <w:sdtPr>
                      <w:alias w:val="Numeris"/>
                      <w:tag w:val="nr_61ef493e30bd477d833ebaf77ba88484"/>
                      <w:lock w:val="sdtLocked"/>
                      <w:richText/>
                    </w:sdtPr>
                    <w:sdtContent>
                      <w:r>
                        <w:rPr>
                          <w:rFonts w:eastAsia="Calibri"/>
                          <w:bCs/>
                          <w:szCs w:val="24"/>
                          <w:lang w:eastAsia="lt-LT"/>
                        </w:rPr>
                        <w:t>1</w:t>
                      </w:r>
                    </w:sdtContent>
                  </w:sdt>
                  <w:r>
                    <w:rPr>
                      <w:rFonts w:eastAsia="Calibri"/>
                      <w:bCs/>
                      <w:szCs w:val="24"/>
                      <w:lang w:eastAsia="lt-LT"/>
                    </w:rPr>
                    <w:t>.</w:t>
                    <w:tab/>
                    <w:t>Pakeisti 28 straipsnio 6 dalį ir ją išdėstyti taip:</w:t>
                  </w:r>
                </w:p>
                <w:sdt>
                  <w:sdtPr>
                    <w:alias w:val="citata"/>
                    <w:tag w:val="part_f62474f771a040cc945d8a2e18036b58"/>
                    <w:lock w:val="sdtLocked"/>
                    <w:richText/>
                  </w:sdtPr>
                  <w:sdtContent>
                    <w:sdt>
                      <w:sdtPr>
                        <w:alias w:val="6 d."/>
                        <w:tag w:val="part_930b95b0257f494b84ca2b6baf232a0f"/>
                        <w:lock w:val="sdtLocked"/>
                        <w:richText/>
                      </w:sdtPr>
                      <w:sdtContent>
                        <w:p>
                          <w:pPr>
                            <w:ind w:firstLine="567"/>
                            <w:jc w:val="both"/>
                            <w:rPr>
                              <w:szCs w:val="24"/>
                              <w:lang w:eastAsia="lt-LT"/>
                            </w:rPr>
                          </w:pPr>
                          <w:r>
                            <w:rPr>
                              <w:rFonts w:eastAsia="Calibri" w:cs="Arial"/>
                              <w:szCs w:val="22"/>
                              <w:lang w:eastAsia="lt-LT"/>
                            </w:rPr>
                            <w:t>„</w:t>
                          </w:r>
                          <w:sdt>
                            <w:sdtPr>
                              <w:alias w:val="Numeris"/>
                              <w:tag w:val="nr_930b95b0257f494b84ca2b6baf232a0f"/>
                              <w:lock w:val="sdtLocked"/>
                              <w:richText/>
                            </w:sdtPr>
                            <w:sdtContent>
                              <w:r>
                                <w:rPr>
                                  <w:rFonts w:eastAsia="Calibri"/>
                                  <w:color w:val="000000"/>
                                  <w:szCs w:val="24"/>
                                  <w:shd w:val="clear" w:color="auto" w:fill="FFFFFF"/>
                                </w:rPr>
                                <w:t>6</w:t>
                              </w:r>
                            </w:sdtContent>
                          </w:sdt>
                          <w:r>
                            <w:rPr>
                              <w:rFonts w:eastAsia="Calibri"/>
                              <w:color w:val="000000"/>
                              <w:szCs w:val="24"/>
                              <w:shd w:val="clear" w:color="auto" w:fill="FFFFFF"/>
                            </w:rPr>
                            <w:t xml:space="preserve">. Rengiant planavimo schemas (ribų ir tvarkymo planus) naujiems valstybiniams rezervatams, biosferos rezervatams ir valstybiniams parkams, ribų planus valstybiniams ir savivaldybių draustiniams ir biosferos poligonams steigti, atliekamas ekonominis vertinimas, numatomos kompensavimo už reikalingą nutraukti veiklą (jeigu tai būtina), žemės išpirkimo (pirkimo pagal Viešųjų pirkimų įstatyme </w:t>
                          </w:r>
                          <w:r>
                            <w:rPr>
                              <w:rFonts w:eastAsia="Calibri"/>
                              <w:szCs w:val="22"/>
                            </w:rPr>
                            <w:t xml:space="preserve">arba pagal </w:t>
                          </w:r>
                          <w:r>
                            <w:rPr>
                              <w:rFonts w:eastAsia="Calibri"/>
                              <w:szCs w:val="24"/>
                            </w:rPr>
                            <w:t>Lietuvos Respublikos pirkimų, atliekamų vandentvarkos, energetikos, transporto ar pašto paslaugų srities perkančiųjų subjektų, įstatyme</w:t>
                          </w:r>
                          <w:r>
                            <w:rPr>
                              <w:rFonts w:eastAsia="Calibri"/>
                              <w:color w:val="000000"/>
                              <w:szCs w:val="24"/>
                              <w:shd w:val="clear" w:color="auto" w:fill="FFFFFF"/>
                            </w:rPr>
                            <w:t xml:space="preserve"> nustatytą tvarką, arba žemės paėmimo visuomenės poreikiams pagal </w:t>
                          </w:r>
                          <w:r>
                            <w:rPr>
                              <w:rFonts w:eastAsia="Calibri"/>
                              <w:iCs/>
                              <w:color w:val="000000"/>
                              <w:szCs w:val="24"/>
                              <w:shd w:val="clear" w:color="auto" w:fill="FFFFFF"/>
                            </w:rPr>
                            <w:t>Žemės įstatyme</w:t>
                          </w:r>
                          <w:r>
                            <w:rPr>
                              <w:rFonts w:eastAsia="Calibri"/>
                              <w:color w:val="000000"/>
                              <w:szCs w:val="24"/>
                              <w:shd w:val="clear" w:color="auto" w:fill="FFFFFF"/>
                            </w:rPr>
                            <w:t> nustatytą procedūrą), pažeistų teritorijų atkūrimo išlaidos ir saugomai teritorijai steigti ir išlaikyti reikalingų lėšų šaltiniai. Kai steigiamos saugomos teritorijos reikiamos apsaugos negalima užtikrinti teisės aktais ar saugomų teritorijų tipiniais apsaugos reglamentais, steigiamo valstybinio parko ir biosferos rezervato planavimo schemoje (ribų ir tvarkymo plane) gali būti nurodyti papildomi reglamentai, nustatantys galimas arba ribojamas (draudžiamas) veiklos rūšis, leidžiamus statyti statinius, jų aukštį ir statybos produktus, teritorijos užstatymo tankį, statybos ribas ar statinių statybos zonas.“</w:t>
                          </w:r>
                        </w:p>
                        <w:p>
                          <w:pPr>
                            <w:jc w:val="both"/>
                            <w:rPr>
                              <w:rFonts w:eastAsia="Calibri"/>
                              <w:iCs/>
                              <w:color w:val="FF0000"/>
                              <w:szCs w:val="24"/>
                            </w:rPr>
                          </w:pPr>
                        </w:p>
                      </w:sdtContent>
                    </w:sdt>
                  </w:sdtContent>
                </w:sdt>
              </w:sdtContent>
            </w:sdt>
          </w:sdtContent>
        </w:sdt>
        <w:sdt>
          <w:sdtPr>
            <w:alias w:val="2 str."/>
            <w:tag w:val="part_d6549378a462450788ce1464c65df6c0"/>
            <w:lock w:val="sdtLocked"/>
            <w:richText/>
          </w:sdtPr>
          <w:sdtContent>
            <w:p>
              <w:pPr>
                <w:ind w:firstLine="567"/>
                <w:jc w:val="both"/>
                <w:rPr>
                  <w:color w:val="000000"/>
                  <w:szCs w:val="24"/>
                  <w:lang w:eastAsia="lt-LT"/>
                </w:rPr>
              </w:pPr>
              <w:sdt>
                <w:sdtPr>
                  <w:alias w:val="Numeris"/>
                  <w:tag w:val="nr_d6549378a462450788ce1464c65df6c0"/>
                  <w:lock w:val="sdtLocked"/>
                  <w:richText/>
                </w:sdtPr>
                <w:sdtContent>
                  <w:r>
                    <w:rPr>
                      <w:b/>
                      <w:szCs w:val="24"/>
                    </w:rPr>
                    <w:t>2</w:t>
                  </w:r>
                </w:sdtContent>
              </w:sdt>
              <w:r>
                <w:rPr>
                  <w:b/>
                  <w:szCs w:val="24"/>
                </w:rPr>
                <w:t xml:space="preserve"> straipsnis. </w:t>
              </w:r>
              <w:sdt>
                <w:sdtPr>
                  <w:alias w:val="Pavadinimas"/>
                  <w:tag w:val="title_d6549378a462450788ce1464c65df6c0"/>
                  <w:lock w:val="sdtLocked"/>
                  <w:richText/>
                </w:sdtPr>
                <w:sdtContent>
                  <w:r>
                    <w:rPr>
                      <w:b/>
                      <w:szCs w:val="24"/>
                    </w:rPr>
                    <w:t xml:space="preserve">Įstatymo įsigaliojimas </w:t>
                  </w:r>
                </w:sdtContent>
              </w:sdt>
            </w:p>
            <w:sdt>
              <w:sdtPr>
                <w:alias w:val="2 str. 1 d."/>
                <w:tag w:val="part_3c384576e9504aaf959973defef344c3"/>
                <w:lock w:val="sdtLocked"/>
                <w:richText/>
              </w:sdtPr>
              <w:sdtContent>
                <w:p>
                  <w:pPr>
                    <w:ind w:firstLine="567"/>
                    <w:jc w:val="both"/>
                    <w:rPr>
                      <w:color w:val="000000"/>
                      <w:szCs w:val="24"/>
                      <w:lang w:eastAsia="lt-LT"/>
                    </w:rPr>
                  </w:pPr>
                  <w:r>
                    <w:rPr>
                      <w:szCs w:val="24"/>
                    </w:rPr>
                    <w:t>Šis įstatymas įsigalioja 2016 m. balandžio 15 d.</w:t>
                  </w:r>
                </w:p>
                <w:p>
                  <w:pPr>
                    <w:ind w:firstLine="720"/>
                    <w:rPr>
                      <w:i/>
                      <w:szCs w:val="24"/>
                    </w:rPr>
                  </w:pPr>
                </w:p>
              </w:sdtContent>
            </w:sdt>
          </w:sdtContent>
        </w:sdt>
        <w:sdt>
          <w:sdtPr>
            <w:alias w:val="signatura"/>
            <w:tag w:val="part_b75985ee7cee48bc9e43ee632f0a5d2a"/>
            <w:lock w:val="sdtLocked"/>
            <w:richText/>
          </w:sdtPr>
          <w:sdtContent>
            <w:p>
              <w:pPr>
                <w:ind w:firstLine="567"/>
                <w:jc w:val="both"/>
                <w:rPr>
                  <w:rFonts w:eastAsia="Calibri"/>
                  <w:i/>
                  <w:iCs/>
                  <w:szCs w:val="24"/>
                </w:rPr>
              </w:pPr>
              <w:r>
                <w:rPr>
                  <w:rFonts w:eastAsia="Calibri"/>
                  <w:i/>
                  <w:iCs/>
                  <w:szCs w:val="24"/>
                </w:rPr>
                <w:t>Skelbiu šį Lietuvos Respublikos Seimo priimtą įstatymą.</w:t>
              </w:r>
            </w:p>
            <w:p>
              <w:pPr>
                <w:ind w:firstLine="567"/>
                <w:jc w:val="both"/>
                <w:rPr>
                  <w:rFonts w:eastAsia="Calibri"/>
                  <w:i/>
                  <w:iCs/>
                  <w:szCs w:val="24"/>
                </w:rPr>
              </w:pPr>
            </w:p>
            <w:p>
              <w:pPr>
                <w:jc w:val="both"/>
                <w:rPr>
                  <w:rFonts w:eastAsia="Calibri"/>
                  <w:szCs w:val="24"/>
                </w:rPr>
              </w:pPr>
              <w:r>
                <w:rPr>
                  <w:rFonts w:eastAsia="Calibri"/>
                  <w:szCs w:val="24"/>
                </w:rPr>
                <w:t>Respublikos Prezidentas</w:t>
              </w:r>
            </w:p>
            <w:p>
              <w:pPr>
                <w:ind w:firstLine="567"/>
                <w:jc w:val="both"/>
                <w:rPr>
                  <w:rFonts w:eastAsia="Calibri"/>
                  <w:szCs w:val="24"/>
                </w:rPr>
              </w:pPr>
            </w:p>
            <w:p>
              <w:pPr>
                <w:ind w:firstLine="567"/>
                <w:jc w:val="both"/>
                <w:rPr>
                  <w:rFonts w:eastAsia="Calibri"/>
                  <w:szCs w:val="24"/>
                </w:rPr>
              </w:pPr>
            </w:p>
            <w:p>
              <w:pPr>
                <w:ind w:firstLine="567"/>
                <w:jc w:val="both"/>
                <w:rPr>
                  <w:rFonts w:eastAsia="Calibri"/>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jc w:val="both"/>
        <w:rPr>
          <w:rFonts w:eastAsia="Calibri"/>
          <w:szCs w:val="22"/>
        </w:rPr>
      </w:pPr>
      <w:r>
        <w:rPr>
          <w:rFonts w:eastAsia="Calibri"/>
          <w:szCs w:val="22"/>
        </w:rPr>
        <w:separator/>
      </w:r>
    </w:p>
  </w:endnote>
  <w:endnote w:type="continuationSeparator" w:id="0">
    <w:p>
      <w:pPr>
        <w:jc w:val="both"/>
        <w:rPr>
          <w:rFonts w:eastAsia="Calibri"/>
          <w:szCs w:val="22"/>
        </w:rPr>
      </w:pPr>
      <w:r>
        <w:rPr>
          <w:rFonts w:eastAsia="Calibri"/>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rFonts w:eastAsia="Calibri"/>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rFonts w:eastAsia="Calibri"/>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rFonts w:eastAsia="Calibri"/>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jc w:val="both"/>
        <w:rPr>
          <w:rFonts w:eastAsia="Calibri"/>
          <w:szCs w:val="22"/>
        </w:rPr>
      </w:pPr>
      <w:r>
        <w:rPr>
          <w:rFonts w:eastAsia="Calibri"/>
          <w:szCs w:val="22"/>
        </w:rPr>
        <w:separator/>
      </w:r>
    </w:p>
  </w:footnote>
  <w:footnote w:type="continuationSeparator" w:id="0">
    <w:p>
      <w:pPr>
        <w:jc w:val="both"/>
        <w:rPr>
          <w:rFonts w:eastAsia="Calibri"/>
          <w:szCs w:val="22"/>
        </w:rPr>
      </w:pPr>
      <w:r>
        <w:rPr>
          <w:rFonts w:eastAsia="Calibri"/>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rFonts w:eastAsia="Calibri"/>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2"/>
      </w:rPr>
    </w:pPr>
    <w:r>
      <w:rPr>
        <w:rFonts w:eastAsia="Calibri"/>
        <w:szCs w:val="22"/>
      </w:rPr>
      <w:fldChar w:fldCharType="begin"/>
    </w:r>
    <w:r>
      <w:rPr>
        <w:rFonts w:eastAsia="Calibri"/>
        <w:szCs w:val="22"/>
      </w:rPr>
      <w:instrText xml:space="preserve"> PAGE   \* MERGEFORMAT </w:instrText>
    </w:r>
    <w:r>
      <w:rPr>
        <w:rFonts w:eastAsia="Calibri"/>
        <w:szCs w:val="22"/>
      </w:rPr>
      <w:fldChar w:fldCharType="separate"/>
    </w:r>
    <w:r>
      <w:rPr>
        <w:rFonts w:eastAsia="Calibri"/>
        <w:szCs w:val="22"/>
      </w:rPr>
      <w:t>2</w:t>
    </w:r>
    <w:r>
      <w:rPr>
        <w:rFonts w:eastAsia="Calibri"/>
        <w:szCs w:val="22"/>
      </w:rPr>
      <w:fldChar w:fldCharType="end"/>
    </w:r>
  </w:p>
  <w:p>
    <w:pPr>
      <w:tabs>
        <w:tab w:val="center" w:pos="4819"/>
        <w:tab w:val="right" w:pos="9638"/>
      </w:tabs>
      <w:jc w:val="both"/>
      <w:rPr>
        <w:rFonts w:eastAsia="Calibri"/>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rFonts w:eastAsia="Calibri"/>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9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16604081">
      <w:bodyDiv w:val="1"/>
      <w:marLeft w:val="0"/>
      <w:marRight w:val="0"/>
      <w:marTop w:val="0"/>
      <w:marBottom w:val="0"/>
      <w:divBdr>
        <w:top w:val="none" w:sz="0" w:space="0" w:color="auto"/>
        <w:left w:val="none" w:sz="0" w:space="0" w:color="auto"/>
        <w:bottom w:val="none" w:sz="0" w:space="0" w:color="auto"/>
        <w:right w:val="none" w:sz="0" w:space="0" w:color="auto"/>
      </w:divBdr>
    </w:div>
    <w:div w:id="268515731">
      <w:bodyDiv w:val="1"/>
      <w:marLeft w:val="0"/>
      <w:marRight w:val="0"/>
      <w:marTop w:val="0"/>
      <w:marBottom w:val="0"/>
      <w:divBdr>
        <w:top w:val="none" w:sz="0" w:space="0" w:color="auto"/>
        <w:left w:val="none" w:sz="0" w:space="0" w:color="auto"/>
        <w:bottom w:val="none" w:sz="0" w:space="0" w:color="auto"/>
        <w:right w:val="none" w:sz="0" w:space="0" w:color="auto"/>
      </w:divBdr>
    </w:div>
    <w:div w:id="328366761">
      <w:bodyDiv w:val="1"/>
      <w:marLeft w:val="0"/>
      <w:marRight w:val="0"/>
      <w:marTop w:val="0"/>
      <w:marBottom w:val="0"/>
      <w:divBdr>
        <w:top w:val="none" w:sz="0" w:space="0" w:color="auto"/>
        <w:left w:val="none" w:sz="0" w:space="0" w:color="auto"/>
        <w:bottom w:val="none" w:sz="0" w:space="0" w:color="auto"/>
        <w:right w:val="none" w:sz="0" w:space="0" w:color="auto"/>
      </w:divBdr>
    </w:div>
    <w:div w:id="342367190">
      <w:bodyDiv w:val="1"/>
      <w:marLeft w:val="0"/>
      <w:marRight w:val="0"/>
      <w:marTop w:val="0"/>
      <w:marBottom w:val="0"/>
      <w:divBdr>
        <w:top w:val="none" w:sz="0" w:space="0" w:color="auto"/>
        <w:left w:val="none" w:sz="0" w:space="0" w:color="auto"/>
        <w:bottom w:val="none" w:sz="0" w:space="0" w:color="auto"/>
        <w:right w:val="none" w:sz="0" w:space="0" w:color="auto"/>
      </w:divBdr>
    </w:div>
    <w:div w:id="393360396">
      <w:bodyDiv w:val="1"/>
      <w:marLeft w:val="0"/>
      <w:marRight w:val="0"/>
      <w:marTop w:val="0"/>
      <w:marBottom w:val="0"/>
      <w:divBdr>
        <w:top w:val="none" w:sz="0" w:space="0" w:color="auto"/>
        <w:left w:val="none" w:sz="0" w:space="0" w:color="auto"/>
        <w:bottom w:val="none" w:sz="0" w:space="0" w:color="auto"/>
        <w:right w:val="none" w:sz="0" w:space="0" w:color="auto"/>
      </w:divBdr>
    </w:div>
    <w:div w:id="423453785">
      <w:bodyDiv w:val="1"/>
      <w:marLeft w:val="0"/>
      <w:marRight w:val="0"/>
      <w:marTop w:val="0"/>
      <w:marBottom w:val="0"/>
      <w:divBdr>
        <w:top w:val="none" w:sz="0" w:space="0" w:color="auto"/>
        <w:left w:val="none" w:sz="0" w:space="0" w:color="auto"/>
        <w:bottom w:val="none" w:sz="0" w:space="0" w:color="auto"/>
        <w:right w:val="none" w:sz="0" w:space="0" w:color="auto"/>
      </w:divBdr>
    </w:div>
    <w:div w:id="487862205">
      <w:bodyDiv w:val="1"/>
      <w:marLeft w:val="0"/>
      <w:marRight w:val="0"/>
      <w:marTop w:val="0"/>
      <w:marBottom w:val="0"/>
      <w:divBdr>
        <w:top w:val="none" w:sz="0" w:space="0" w:color="auto"/>
        <w:left w:val="none" w:sz="0" w:space="0" w:color="auto"/>
        <w:bottom w:val="none" w:sz="0" w:space="0" w:color="auto"/>
        <w:right w:val="none" w:sz="0" w:space="0" w:color="auto"/>
      </w:divBdr>
    </w:div>
    <w:div w:id="580875265">
      <w:bodyDiv w:val="1"/>
      <w:marLeft w:val="0"/>
      <w:marRight w:val="0"/>
      <w:marTop w:val="0"/>
      <w:marBottom w:val="0"/>
      <w:divBdr>
        <w:top w:val="none" w:sz="0" w:space="0" w:color="auto"/>
        <w:left w:val="none" w:sz="0" w:space="0" w:color="auto"/>
        <w:bottom w:val="none" w:sz="0" w:space="0" w:color="auto"/>
        <w:right w:val="none" w:sz="0" w:space="0" w:color="auto"/>
      </w:divBdr>
    </w:div>
    <w:div w:id="611205476">
      <w:bodyDiv w:val="1"/>
      <w:marLeft w:val="0"/>
      <w:marRight w:val="0"/>
      <w:marTop w:val="0"/>
      <w:marBottom w:val="0"/>
      <w:divBdr>
        <w:top w:val="none" w:sz="0" w:space="0" w:color="auto"/>
        <w:left w:val="none" w:sz="0" w:space="0" w:color="auto"/>
        <w:bottom w:val="none" w:sz="0" w:space="0" w:color="auto"/>
        <w:right w:val="none" w:sz="0" w:space="0" w:color="auto"/>
      </w:divBdr>
    </w:div>
    <w:div w:id="795950229">
      <w:bodyDiv w:val="1"/>
      <w:marLeft w:val="0"/>
      <w:marRight w:val="0"/>
      <w:marTop w:val="0"/>
      <w:marBottom w:val="0"/>
      <w:divBdr>
        <w:top w:val="none" w:sz="0" w:space="0" w:color="auto"/>
        <w:left w:val="none" w:sz="0" w:space="0" w:color="auto"/>
        <w:bottom w:val="none" w:sz="0" w:space="0" w:color="auto"/>
        <w:right w:val="none" w:sz="0" w:space="0" w:color="auto"/>
      </w:divBdr>
    </w:div>
    <w:div w:id="800000521">
      <w:bodyDiv w:val="1"/>
      <w:marLeft w:val="0"/>
      <w:marRight w:val="0"/>
      <w:marTop w:val="0"/>
      <w:marBottom w:val="0"/>
      <w:divBdr>
        <w:top w:val="none" w:sz="0" w:space="0" w:color="auto"/>
        <w:left w:val="none" w:sz="0" w:space="0" w:color="auto"/>
        <w:bottom w:val="none" w:sz="0" w:space="0" w:color="auto"/>
        <w:right w:val="none" w:sz="0" w:space="0" w:color="auto"/>
      </w:divBdr>
    </w:div>
    <w:div w:id="823619904">
      <w:bodyDiv w:val="1"/>
      <w:marLeft w:val="0"/>
      <w:marRight w:val="0"/>
      <w:marTop w:val="0"/>
      <w:marBottom w:val="0"/>
      <w:divBdr>
        <w:top w:val="none" w:sz="0" w:space="0" w:color="auto"/>
        <w:left w:val="none" w:sz="0" w:space="0" w:color="auto"/>
        <w:bottom w:val="none" w:sz="0" w:space="0" w:color="auto"/>
        <w:right w:val="none" w:sz="0" w:space="0" w:color="auto"/>
      </w:divBdr>
    </w:div>
    <w:div w:id="829760731">
      <w:bodyDiv w:val="1"/>
      <w:marLeft w:val="0"/>
      <w:marRight w:val="0"/>
      <w:marTop w:val="0"/>
      <w:marBottom w:val="0"/>
      <w:divBdr>
        <w:top w:val="none" w:sz="0" w:space="0" w:color="auto"/>
        <w:left w:val="none" w:sz="0" w:space="0" w:color="auto"/>
        <w:bottom w:val="none" w:sz="0" w:space="0" w:color="auto"/>
        <w:right w:val="none" w:sz="0" w:space="0" w:color="auto"/>
      </w:divBdr>
    </w:div>
    <w:div w:id="1194925248">
      <w:bodyDiv w:val="1"/>
      <w:marLeft w:val="0"/>
      <w:marRight w:val="0"/>
      <w:marTop w:val="0"/>
      <w:marBottom w:val="0"/>
      <w:divBdr>
        <w:top w:val="none" w:sz="0" w:space="0" w:color="auto"/>
        <w:left w:val="none" w:sz="0" w:space="0" w:color="auto"/>
        <w:bottom w:val="none" w:sz="0" w:space="0" w:color="auto"/>
        <w:right w:val="none" w:sz="0" w:space="0" w:color="auto"/>
      </w:divBdr>
    </w:div>
    <w:div w:id="1197041944">
      <w:bodyDiv w:val="1"/>
      <w:marLeft w:val="0"/>
      <w:marRight w:val="0"/>
      <w:marTop w:val="0"/>
      <w:marBottom w:val="0"/>
      <w:divBdr>
        <w:top w:val="none" w:sz="0" w:space="0" w:color="auto"/>
        <w:left w:val="none" w:sz="0" w:space="0" w:color="auto"/>
        <w:bottom w:val="none" w:sz="0" w:space="0" w:color="auto"/>
        <w:right w:val="none" w:sz="0" w:space="0" w:color="auto"/>
      </w:divBdr>
    </w:div>
    <w:div w:id="1304508124">
      <w:bodyDiv w:val="1"/>
      <w:marLeft w:val="0"/>
      <w:marRight w:val="0"/>
      <w:marTop w:val="0"/>
      <w:marBottom w:val="0"/>
      <w:divBdr>
        <w:top w:val="none" w:sz="0" w:space="0" w:color="auto"/>
        <w:left w:val="none" w:sz="0" w:space="0" w:color="auto"/>
        <w:bottom w:val="none" w:sz="0" w:space="0" w:color="auto"/>
        <w:right w:val="none" w:sz="0" w:space="0" w:color="auto"/>
      </w:divBdr>
    </w:div>
    <w:div w:id="1364091481">
      <w:bodyDiv w:val="1"/>
      <w:marLeft w:val="0"/>
      <w:marRight w:val="0"/>
      <w:marTop w:val="0"/>
      <w:marBottom w:val="0"/>
      <w:divBdr>
        <w:top w:val="none" w:sz="0" w:space="0" w:color="auto"/>
        <w:left w:val="none" w:sz="0" w:space="0" w:color="auto"/>
        <w:bottom w:val="none" w:sz="0" w:space="0" w:color="auto"/>
        <w:right w:val="none" w:sz="0" w:space="0" w:color="auto"/>
      </w:divBdr>
    </w:div>
    <w:div w:id="1461342117">
      <w:bodyDiv w:val="1"/>
      <w:marLeft w:val="0"/>
      <w:marRight w:val="0"/>
      <w:marTop w:val="0"/>
      <w:marBottom w:val="0"/>
      <w:divBdr>
        <w:top w:val="none" w:sz="0" w:space="0" w:color="auto"/>
        <w:left w:val="none" w:sz="0" w:space="0" w:color="auto"/>
        <w:bottom w:val="none" w:sz="0" w:space="0" w:color="auto"/>
        <w:right w:val="none" w:sz="0" w:space="0" w:color="auto"/>
      </w:divBdr>
    </w:div>
    <w:div w:id="1485926648">
      <w:bodyDiv w:val="1"/>
      <w:marLeft w:val="0"/>
      <w:marRight w:val="0"/>
      <w:marTop w:val="0"/>
      <w:marBottom w:val="0"/>
      <w:divBdr>
        <w:top w:val="none" w:sz="0" w:space="0" w:color="auto"/>
        <w:left w:val="none" w:sz="0" w:space="0" w:color="auto"/>
        <w:bottom w:val="none" w:sz="0" w:space="0" w:color="auto"/>
        <w:right w:val="none" w:sz="0" w:space="0" w:color="auto"/>
      </w:divBdr>
    </w:div>
    <w:div w:id="1486513587">
      <w:bodyDiv w:val="1"/>
      <w:marLeft w:val="0"/>
      <w:marRight w:val="0"/>
      <w:marTop w:val="0"/>
      <w:marBottom w:val="0"/>
      <w:divBdr>
        <w:top w:val="none" w:sz="0" w:space="0" w:color="auto"/>
        <w:left w:val="none" w:sz="0" w:space="0" w:color="auto"/>
        <w:bottom w:val="none" w:sz="0" w:space="0" w:color="auto"/>
        <w:right w:val="none" w:sz="0" w:space="0" w:color="auto"/>
      </w:divBdr>
    </w:div>
    <w:div w:id="1522430187">
      <w:bodyDiv w:val="1"/>
      <w:marLeft w:val="0"/>
      <w:marRight w:val="0"/>
      <w:marTop w:val="0"/>
      <w:marBottom w:val="0"/>
      <w:divBdr>
        <w:top w:val="none" w:sz="0" w:space="0" w:color="auto"/>
        <w:left w:val="none" w:sz="0" w:space="0" w:color="auto"/>
        <w:bottom w:val="none" w:sz="0" w:space="0" w:color="auto"/>
        <w:right w:val="none" w:sz="0" w:space="0" w:color="auto"/>
      </w:divBdr>
    </w:div>
    <w:div w:id="1593392565">
      <w:bodyDiv w:val="1"/>
      <w:marLeft w:val="0"/>
      <w:marRight w:val="0"/>
      <w:marTop w:val="0"/>
      <w:marBottom w:val="0"/>
      <w:divBdr>
        <w:top w:val="none" w:sz="0" w:space="0" w:color="auto"/>
        <w:left w:val="none" w:sz="0" w:space="0" w:color="auto"/>
        <w:bottom w:val="none" w:sz="0" w:space="0" w:color="auto"/>
        <w:right w:val="none" w:sz="0" w:space="0" w:color="auto"/>
      </w:divBdr>
    </w:div>
    <w:div w:id="1644042950">
      <w:bodyDiv w:val="1"/>
      <w:marLeft w:val="0"/>
      <w:marRight w:val="0"/>
      <w:marTop w:val="0"/>
      <w:marBottom w:val="0"/>
      <w:divBdr>
        <w:top w:val="none" w:sz="0" w:space="0" w:color="auto"/>
        <w:left w:val="none" w:sz="0" w:space="0" w:color="auto"/>
        <w:bottom w:val="none" w:sz="0" w:space="0" w:color="auto"/>
        <w:right w:val="none" w:sz="0" w:space="0" w:color="auto"/>
      </w:divBdr>
    </w:div>
    <w:div w:id="1659962325">
      <w:bodyDiv w:val="1"/>
      <w:marLeft w:val="0"/>
      <w:marRight w:val="0"/>
      <w:marTop w:val="0"/>
      <w:marBottom w:val="0"/>
      <w:divBdr>
        <w:top w:val="none" w:sz="0" w:space="0" w:color="auto"/>
        <w:left w:val="none" w:sz="0" w:space="0" w:color="auto"/>
        <w:bottom w:val="none" w:sz="0" w:space="0" w:color="auto"/>
        <w:right w:val="none" w:sz="0" w:space="0" w:color="auto"/>
      </w:divBdr>
    </w:div>
    <w:div w:id="1694961142">
      <w:bodyDiv w:val="1"/>
      <w:marLeft w:val="0"/>
      <w:marRight w:val="0"/>
      <w:marTop w:val="0"/>
      <w:marBottom w:val="0"/>
      <w:divBdr>
        <w:top w:val="none" w:sz="0" w:space="0" w:color="auto"/>
        <w:left w:val="none" w:sz="0" w:space="0" w:color="auto"/>
        <w:bottom w:val="none" w:sz="0" w:space="0" w:color="auto"/>
        <w:right w:val="none" w:sz="0" w:space="0" w:color="auto"/>
      </w:divBdr>
    </w:div>
    <w:div w:id="1699772250">
      <w:bodyDiv w:val="1"/>
      <w:marLeft w:val="0"/>
      <w:marRight w:val="0"/>
      <w:marTop w:val="0"/>
      <w:marBottom w:val="0"/>
      <w:divBdr>
        <w:top w:val="none" w:sz="0" w:space="0" w:color="auto"/>
        <w:left w:val="none" w:sz="0" w:space="0" w:color="auto"/>
        <w:bottom w:val="none" w:sz="0" w:space="0" w:color="auto"/>
        <w:right w:val="none" w:sz="0" w:space="0" w:color="auto"/>
      </w:divBdr>
    </w:div>
    <w:div w:id="1832401306">
      <w:bodyDiv w:val="1"/>
      <w:marLeft w:val="0"/>
      <w:marRight w:val="0"/>
      <w:marTop w:val="0"/>
      <w:marBottom w:val="0"/>
      <w:divBdr>
        <w:top w:val="none" w:sz="0" w:space="0" w:color="auto"/>
        <w:left w:val="none" w:sz="0" w:space="0" w:color="auto"/>
        <w:bottom w:val="none" w:sz="0" w:space="0" w:color="auto"/>
        <w:right w:val="none" w:sz="0" w:space="0" w:color="auto"/>
      </w:divBdr>
    </w:div>
    <w:div w:id="1878353219">
      <w:bodyDiv w:val="1"/>
      <w:marLeft w:val="0"/>
      <w:marRight w:val="0"/>
      <w:marTop w:val="0"/>
      <w:marBottom w:val="0"/>
      <w:divBdr>
        <w:top w:val="none" w:sz="0" w:space="0" w:color="auto"/>
        <w:left w:val="none" w:sz="0" w:space="0" w:color="auto"/>
        <w:bottom w:val="none" w:sz="0" w:space="0" w:color="auto"/>
        <w:right w:val="none" w:sz="0" w:space="0" w:color="auto"/>
      </w:divBdr>
    </w:div>
    <w:div w:id="1941450805">
      <w:bodyDiv w:val="1"/>
      <w:marLeft w:val="0"/>
      <w:marRight w:val="0"/>
      <w:marTop w:val="0"/>
      <w:marBottom w:val="0"/>
      <w:divBdr>
        <w:top w:val="none" w:sz="0" w:space="0" w:color="auto"/>
        <w:left w:val="none" w:sz="0" w:space="0" w:color="auto"/>
        <w:bottom w:val="none" w:sz="0" w:space="0" w:color="auto"/>
        <w:right w:val="none" w:sz="0" w:space="0" w:color="auto"/>
      </w:divBdr>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74216686">
      <w:bodyDiv w:val="1"/>
      <w:marLeft w:val="0"/>
      <w:marRight w:val="0"/>
      <w:marTop w:val="0"/>
      <w:marBottom w:val="0"/>
      <w:divBdr>
        <w:top w:val="none" w:sz="0" w:space="0" w:color="auto"/>
        <w:left w:val="none" w:sz="0" w:space="0" w:color="auto"/>
        <w:bottom w:val="none" w:sz="0" w:space="0" w:color="auto"/>
        <w:right w:val="none" w:sz="0" w:space="0" w:color="auto"/>
      </w:divBdr>
    </w:div>
    <w:div w:id="2045515184">
      <w:bodyDiv w:val="1"/>
      <w:marLeft w:val="0"/>
      <w:marRight w:val="0"/>
      <w:marTop w:val="0"/>
      <w:marBottom w:val="0"/>
      <w:divBdr>
        <w:top w:val="none" w:sz="0" w:space="0" w:color="auto"/>
        <w:left w:val="none" w:sz="0" w:space="0" w:color="auto"/>
        <w:bottom w:val="none" w:sz="0" w:space="0" w:color="auto"/>
        <w:right w:val="none" w:sz="0" w:space="0" w:color="auto"/>
      </w:divBdr>
    </w:div>
    <w:div w:id="2062243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5be35d5eae4d4eaaaa6200bd06d9b1" PartId="2a4042d20345418584f94b91ad23be94">
    <Part Type="straipsnis" Nr="1" Abbr="1 str." Title="28 straipsnio pakeitimas" DocPartId="837f058fb6994a46b936715b1d8d30d2" PartId="4fb8d860588b4db8a86bebc424449ce5">
      <Part Type="strDalis" Nr="1" Abbr="1 str. 1 d." DocPartId="54faaf5f03d347a58d8d8ff56a12b69b" PartId="61ef493e30bd477d833ebaf77ba88484">
        <Part Type="citata" DocPartId="362bab9b75e94f6eb3ccf63b945b71b6" PartId="f62474f771a040cc945d8a2e18036b58">
          <Part Type="strDalis" Nr="6" Abbr="6 d." DocPartId="3d82b75c61f140488f15014d9b6a4504" PartId="930b95b0257f494b84ca2b6baf232a0f"/>
        </Part>
      </Part>
    </Part>
    <Part Type="straipsnis" Nr="2" Abbr="2 str." Title="Įstatymo įsigaliojimas" DocPartId="16651c4b502f461ba6b475b15c0b26c6" PartId="d6549378a462450788ce1464c65df6c0">
      <Part Type="strDalis" Nr="1" Abbr="2 str. 1 d." DocPartId="c44669a7ffa74586bbb906917492a3b1" PartId="3c384576e9504aaf959973defef344c3"/>
    </Part>
    <Part Type="signatura" DocPartId="744fdb3c01c74566aab45229d354b81b" PartId="b75985ee7cee48bc9e43ee632f0a5d2a"/>
  </Part>
</Parts>
</file>

<file path=customXml/itemProps1.xml><?xml version="1.0" encoding="utf-8"?>
<ds:datastoreItem xmlns:ds="http://schemas.openxmlformats.org/officeDocument/2006/customXml" ds:itemID="{FF78306C-2642-49AD-8AE2-B045DF6946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209</Words>
  <Characters>1525</Characters>
  <Application>Microsoft Office Word</Application>
  <DocSecurity>4</DocSecurity>
  <Lines>37</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1719</CharactersWithSpaces>
  <SharedDoc>false</SharedDoc>
  <HyperlinkBase/>
  <HLinks>
    <vt:vector size="6" baseType="variant">
      <vt:variant>
        <vt:i4>2555961</vt:i4>
      </vt:variant>
      <vt:variant>
        <vt:i4>0</vt:i4>
      </vt:variant>
      <vt:variant>
        <vt:i4>0</vt:i4>
      </vt:variant>
      <vt:variant>
        <vt:i4>5</vt:i4>
      </vt:variant>
      <vt:variant>
        <vt:lpwstr>http://www.infolex.lt/ta/75193</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2015-11-12T09:02:00Z</dcterms:created>
  <dc:creator>m</dc:creator>
  <lastModifiedBy>CLUSadmin</lastModifiedBy>
  <lastPrinted>2015-10-13T04:54:00Z</lastPrinted>
  <dcterms:modified xsi:type="dcterms:W3CDTF">2015-11-12T09:02:00Z</dcterms:modified>
  <revision>2</revision>
</coreProperties>
</file>