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a5aa01b847c440a841fc189c474dced"/>
        <w:lock w:val="sdtLocked"/>
        <w:richText/>
      </w:sdtPr>
      <w:sdtContent>
        <w:tbl>
          <w:tblPr>
            <w:tblW w:w="10335" w:type="dxa"/>
            <w:jc w:val="center"/>
            <w:tblLayout w:type="fixed"/>
            <w:tblCellMar>
              <w:left w:w="0" w:type="dxa"/>
              <w:right w:w="0" w:type="dxa"/>
            </w:tblCellMar>
            <w:tblLook w:val="0000" w:firstRow="0" w:lastRow="0" w:firstColumn="0" w:lastColumn="0" w:noHBand="0" w:noVBand="0"/>
          </w:tblPr>
          <w:tblGrid>
            <w:gridCol w:w="4895"/>
            <w:gridCol w:w="1592"/>
            <w:gridCol w:w="884"/>
            <w:gridCol w:w="2964"/>
          </w:tblGrid>
          <w:tr>
            <w:trPr>
              <w:cantSplit/>
              <w:trHeight w:val="574"/>
              <w:jc w:val="center"/>
            </w:trPr>
            <w:tc>
              <w:tcPr>
                <w:tcW w:w="4895" w:type="dxa"/>
              </w:tcPr>
              <w:p>
                <w:pPr>
                  <w:tabs>
                    <w:tab w:val="center" w:pos="4153"/>
                    <w:tab w:val="right" w:pos="8306"/>
                  </w:tabs>
                  <w:jc w:val="center"/>
                  <w:rPr>
                    <w:szCs w:val="24"/>
                    <w:lang w:val="x-none" w:eastAsia="x-none"/>
                  </w:rPr>
                </w:pPr>
                <w:r>
                  <w:rPr>
                    <w:szCs w:val="24"/>
                    <w:lang w:val="x-none" w:eastAsia="x-none"/>
                  </w:rPr>
                  <w:object w:dxaOrig="811" w:dyaOrig="961" w14:anchorId="5AEDC4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0.5pt" o:ole="" fillcolor="window">
                      <v:imagedata r:id="rId7" o:title=""/>
                    </v:shape>
                    <o:OLEObject Type="Embed" ProgID="Word.Picture.8" ShapeID="_x0000_i1025" DrawAspect="Content" ObjectID="_1712634941" r:id="rId8"/>
                  </w:object>
                </w:r>
              </w:p>
              <w:p>
                <w:pPr>
                  <w:tabs>
                    <w:tab w:val="center" w:pos="4153"/>
                    <w:tab w:val="right" w:pos="8306"/>
                  </w:tabs>
                  <w:jc w:val="center"/>
                  <w:rPr>
                    <w:sz w:val="20"/>
                    <w:lang w:val="x-none" w:eastAsia="x-none"/>
                  </w:rPr>
                </w:pPr>
              </w:p>
              <w:p>
                <w:pPr>
                  <w:tabs>
                    <w:tab w:val="center" w:pos="4153"/>
                    <w:tab w:val="right" w:pos="8306"/>
                  </w:tabs>
                  <w:jc w:val="center"/>
                  <w:rPr>
                    <w:b/>
                    <w:bCs/>
                    <w:sz w:val="28"/>
                    <w:szCs w:val="28"/>
                    <w:lang w:val="x-none" w:eastAsia="x-none"/>
                  </w:rPr>
                </w:pPr>
                <w:r>
                  <w:rPr>
                    <w:b/>
                    <w:bCs/>
                    <w:sz w:val="28"/>
                    <w:szCs w:val="28"/>
                    <w:lang w:val="x-none" w:eastAsia="x-none"/>
                  </w:rPr>
                  <w:t>LIETUVOS RESPUBLIKOS SVEIKATOS APSAUGOS MINISTERIJA</w:t>
                </w:r>
              </w:p>
              <w:p>
                <w:pPr>
                  <w:tabs>
                    <w:tab w:val="center" w:pos="4153"/>
                    <w:tab w:val="right" w:pos="8306"/>
                  </w:tabs>
                  <w:jc w:val="center"/>
                  <w:rPr>
                    <w:sz w:val="16"/>
                    <w:szCs w:val="16"/>
                    <w:lang w:val="x-none" w:eastAsia="x-none"/>
                  </w:rPr>
                </w:pPr>
              </w:p>
              <w:p>
                <w:pPr>
                  <w:pBdr>
                    <w:bottom w:val="single" w:sz="6" w:space="2" w:color="auto"/>
                  </w:pBdr>
                  <w:tabs>
                    <w:tab w:val="left" w:pos="1560"/>
                    <w:tab w:val="left" w:pos="3686"/>
                  </w:tabs>
                  <w:spacing w:line="216" w:lineRule="exact"/>
                  <w:ind w:left="-284" w:right="-113"/>
                  <w:jc w:val="center"/>
                  <w:rPr>
                    <w:sz w:val="18"/>
                    <w:szCs w:val="18"/>
                  </w:rPr>
                </w:pPr>
                <w:r>
                  <w:rPr>
                    <w:sz w:val="18"/>
                    <w:szCs w:val="18"/>
                  </w:rPr>
                  <w:t>Biudžetinė įstaiga, Vilniaus g. 33, LT-01506 Vilnius, tel. (8 5) 266 1400,</w:t>
                </w:r>
              </w:p>
              <w:p>
                <w:pPr>
                  <w:pBdr>
                    <w:bottom w:val="single" w:sz="6" w:space="2" w:color="auto"/>
                  </w:pBdr>
                  <w:tabs>
                    <w:tab w:val="left" w:pos="1560"/>
                    <w:tab w:val="left" w:pos="3686"/>
                  </w:tabs>
                  <w:spacing w:line="216" w:lineRule="exact"/>
                  <w:ind w:left="-284" w:right="-113"/>
                  <w:jc w:val="center"/>
                  <w:rPr>
                    <w:sz w:val="18"/>
                    <w:szCs w:val="18"/>
                  </w:rPr>
                </w:pPr>
                <w:r>
                  <w:rPr>
                    <w:sz w:val="18"/>
                    <w:szCs w:val="18"/>
                  </w:rPr>
                  <w:t>faks. (8 5) 266 1402, el. p. ministerija@sam.lt, http://</w:t>
                </w:r>
                <w:r>
                  <w:rPr>
                    <w:sz w:val="18"/>
                    <w:szCs w:val="18"/>
                  </w:rPr>
                  <w:t>www.sam.lt</w:t>
                </w:r>
                <w:r>
                  <w:rPr>
                    <w:sz w:val="18"/>
                    <w:szCs w:val="18"/>
                  </w:rPr>
                  <w:t>.</w:t>
                </w:r>
              </w:p>
              <w:p>
                <w:pPr>
                  <w:pBdr>
                    <w:bottom w:val="single" w:sz="6" w:space="2" w:color="auto"/>
                  </w:pBdr>
                  <w:tabs>
                    <w:tab w:val="left" w:pos="1560"/>
                    <w:tab w:val="left" w:pos="3686"/>
                  </w:tabs>
                  <w:spacing w:line="216" w:lineRule="exact"/>
                  <w:ind w:left="-284" w:right="-113"/>
                  <w:jc w:val="center"/>
                  <w:rPr>
                    <w:sz w:val="18"/>
                    <w:szCs w:val="18"/>
                  </w:rPr>
                </w:pPr>
                <w:r>
                  <w:rPr>
                    <w:sz w:val="18"/>
                    <w:szCs w:val="18"/>
                  </w:rPr>
                  <w:t>Duomenys kaupiami ir saugomi Juridinių asmenų registre, kodas 188603472</w:t>
                </w:r>
              </w:p>
              <w:p>
                <w:pPr>
                  <w:tabs>
                    <w:tab w:val="center" w:pos="4153"/>
                    <w:tab w:val="right" w:pos="8306"/>
                  </w:tabs>
                  <w:jc w:val="center"/>
                  <w:rPr>
                    <w:szCs w:val="24"/>
                    <w:lang w:val="x-none" w:eastAsia="x-none"/>
                  </w:rPr>
                </w:pPr>
              </w:p>
              <w:p>
                <w:pPr>
                  <w:ind w:left="338" w:right="282"/>
                  <w:jc w:val="both"/>
                  <w:rPr>
                    <w:szCs w:val="24"/>
                    <w:lang w:eastAsia="x-none"/>
                  </w:rPr>
                </w:pPr>
                <w:r>
                  <w:rPr>
                    <w:szCs w:val="24"/>
                    <w:lang w:eastAsia="x-none"/>
                  </w:rPr>
                  <w:t>Lietuvos Respublikos Vyriausybei</w:t>
                </w:r>
              </w:p>
            </w:tc>
            <w:tc>
              <w:tcPr>
                <w:tcW w:w="1592" w:type="dxa"/>
              </w:tcPr>
              <w:p>
                <w:pPr>
                  <w:ind w:firstLine="434"/>
                  <w:rPr>
                    <w:szCs w:val="24"/>
                  </w:rPr>
                </w:pPr>
                <w:r>
                  <w:rPr>
                    <w:szCs w:val="24"/>
                  </w:rPr>
                  <w:t>2022-04-</w:t>
                </w:r>
              </w:p>
              <w:p>
                <w:pPr>
                  <w:ind w:firstLine="310"/>
                  <w:rPr>
                    <w:szCs w:val="24"/>
                  </w:rPr>
                </w:pPr>
              </w:p>
              <w:p>
                <w:pPr>
                  <w:ind w:firstLine="310"/>
                  <w:jc w:val="center"/>
                  <w:rPr>
                    <w:szCs w:val="24"/>
                  </w:rPr>
                </w:pPr>
                <w:r>
                  <w:rPr>
                    <w:szCs w:val="24"/>
                  </w:rPr>
                  <w:t>Į 2022-01-06</w:t>
                </w:r>
              </w:p>
              <w:p>
                <w:pPr>
                  <w:ind w:firstLine="434"/>
                  <w:rPr>
                    <w:szCs w:val="24"/>
                  </w:rPr>
                </w:pPr>
                <w:r>
                  <w:rPr>
                    <w:szCs w:val="24"/>
                  </w:rPr>
                  <w:t>2021-12-20</w:t>
                </w:r>
              </w:p>
              <w:p>
                <w:pPr>
                  <w:ind w:firstLine="372"/>
                  <w:jc w:val="center"/>
                  <w:rPr>
                    <w:szCs w:val="24"/>
                  </w:rPr>
                </w:pPr>
                <w:r>
                  <w:rPr>
                    <w:szCs w:val="24"/>
                  </w:rPr>
                  <w:t>2022-01-31</w:t>
                </w:r>
              </w:p>
              <w:p>
                <w:pPr>
                  <w:ind w:firstLine="372"/>
                  <w:jc w:val="center"/>
                  <w:rPr>
                    <w:szCs w:val="24"/>
                  </w:rPr>
                </w:pPr>
                <w:r>
                  <w:rPr>
                    <w:szCs w:val="24"/>
                  </w:rPr>
                  <w:t>2022-04-07</w:t>
                </w:r>
              </w:p>
              <w:p>
                <w:pPr>
                  <w:ind w:firstLine="372"/>
                  <w:jc w:val="center"/>
                  <w:rPr>
                    <w:szCs w:val="24"/>
                  </w:rPr>
                </w:pPr>
                <w:r>
                  <w:rPr>
                    <w:szCs w:val="24"/>
                  </w:rPr>
                  <w:t>2022-04-08</w:t>
                </w:r>
              </w:p>
              <w:p>
                <w:pPr>
                  <w:ind w:firstLine="124"/>
                  <w:jc w:val="right"/>
                  <w:rPr>
                    <w:szCs w:val="24"/>
                  </w:rPr>
                </w:pPr>
              </w:p>
            </w:tc>
            <w:tc>
              <w:tcPr>
                <w:tcW w:w="884" w:type="dxa"/>
              </w:tcPr>
              <w:p>
                <w:pPr>
                  <w:ind w:firstLine="496"/>
                  <w:jc w:val="both"/>
                  <w:rPr>
                    <w:szCs w:val="24"/>
                  </w:rPr>
                </w:pPr>
                <w:r>
                  <w:rPr>
                    <w:szCs w:val="24"/>
                  </w:rPr>
                  <w:t>Nr.</w:t>
                </w:r>
              </w:p>
              <w:p>
                <w:pPr>
                  <w:jc w:val="right"/>
                  <w:rPr>
                    <w:szCs w:val="24"/>
                  </w:rPr>
                </w:pPr>
              </w:p>
              <w:p>
                <w:pPr>
                  <w:ind w:firstLine="434"/>
                  <w:jc w:val="center"/>
                  <w:rPr>
                    <w:szCs w:val="24"/>
                  </w:rPr>
                </w:pPr>
                <w:r>
                  <w:rPr>
                    <w:szCs w:val="24"/>
                  </w:rPr>
                  <w:t xml:space="preserve">Nr.  </w:t>
                </w:r>
              </w:p>
              <w:p>
                <w:pPr>
                  <w:ind w:firstLine="434"/>
                  <w:jc w:val="center"/>
                  <w:rPr>
                    <w:szCs w:val="24"/>
                  </w:rPr>
                </w:pPr>
                <w:r>
                  <w:rPr>
                    <w:szCs w:val="24"/>
                  </w:rPr>
                  <w:t>Nr.</w:t>
                </w:r>
              </w:p>
              <w:p>
                <w:pPr>
                  <w:ind w:firstLine="434"/>
                  <w:jc w:val="center"/>
                  <w:rPr>
                    <w:szCs w:val="24"/>
                  </w:rPr>
                </w:pPr>
                <w:r>
                  <w:rPr>
                    <w:szCs w:val="24"/>
                  </w:rPr>
                  <w:t>Nr.</w:t>
                </w:r>
              </w:p>
              <w:p>
                <w:pPr>
                  <w:ind w:firstLine="434"/>
                  <w:jc w:val="center"/>
                  <w:rPr>
                    <w:szCs w:val="24"/>
                  </w:rPr>
                </w:pPr>
                <w:r>
                  <w:rPr>
                    <w:szCs w:val="24"/>
                  </w:rPr>
                  <w:t>Nr.</w:t>
                </w:r>
              </w:p>
              <w:p>
                <w:pPr>
                  <w:ind w:firstLine="434"/>
                  <w:jc w:val="center"/>
                  <w:rPr>
                    <w:szCs w:val="24"/>
                  </w:rPr>
                </w:pPr>
                <w:r>
                  <w:rPr>
                    <w:szCs w:val="24"/>
                  </w:rPr>
                  <w:t xml:space="preserve">Nr.  </w:t>
                </w:r>
              </w:p>
              <w:p>
                <w:pPr>
                  <w:ind w:firstLine="558"/>
                  <w:jc w:val="right"/>
                  <w:rPr>
                    <w:szCs w:val="24"/>
                  </w:rPr>
                </w:pPr>
              </w:p>
            </w:tc>
            <w:tc>
              <w:tcPr>
                <w:tcW w:w="2964" w:type="dxa"/>
              </w:tcPr>
              <w:p>
                <w:pPr>
                  <w:rPr>
                    <w:szCs w:val="24"/>
                  </w:rPr>
                </w:pPr>
                <w:r>
                  <w:rPr>
                    <w:szCs w:val="24"/>
                  </w:rPr>
                  <w:t>(1.1.3-413)10-</w:t>
                </w:r>
              </w:p>
              <w:p>
                <w:pPr>
                  <w:rPr>
                    <w:szCs w:val="24"/>
                  </w:rPr>
                </w:pPr>
              </w:p>
              <w:p>
                <w:pPr>
                  <w:rPr>
                    <w:szCs w:val="24"/>
                  </w:rPr>
                </w:pPr>
                <w:r>
                  <w:rPr>
                    <w:szCs w:val="24"/>
                  </w:rPr>
                  <w:t>NV-53</w:t>
                </w:r>
              </w:p>
              <w:p>
                <w:pPr>
                  <w:rPr>
                    <w:szCs w:val="24"/>
                  </w:rPr>
                </w:pPr>
                <w:r>
                  <w:rPr>
                    <w:szCs w:val="24"/>
                  </w:rPr>
                  <w:t>NV-3330</w:t>
                </w:r>
              </w:p>
              <w:p>
                <w:pPr>
                  <w:rPr>
                    <w:color w:val="000000"/>
                    <w:szCs w:val="24"/>
                    <w:shd w:val="clear" w:color="auto" w:fill="FFFFFF"/>
                  </w:rPr>
                </w:pPr>
                <w:r>
                  <w:rPr>
                    <w:color w:val="000000"/>
                    <w:szCs w:val="24"/>
                    <w:shd w:val="clear" w:color="auto" w:fill="FFFFFF"/>
                  </w:rPr>
                  <w:t>NV-235</w:t>
                </w:r>
              </w:p>
              <w:p>
                <w:pPr>
                  <w:rPr>
                    <w:color w:val="000000"/>
                    <w:szCs w:val="24"/>
                    <w:shd w:val="clear" w:color="auto" w:fill="FFFFFF"/>
                  </w:rPr>
                </w:pPr>
                <w:r>
                  <w:rPr>
                    <w:color w:val="000000"/>
                    <w:szCs w:val="24"/>
                    <w:shd w:val="clear" w:color="auto" w:fill="FFFFFF"/>
                  </w:rPr>
                  <w:t>NV-891</w:t>
                </w:r>
              </w:p>
              <w:p>
                <w:pPr>
                  <w:rPr>
                    <w:color w:val="000000"/>
                    <w:szCs w:val="24"/>
                    <w:shd w:val="clear" w:color="auto" w:fill="FFFFFF"/>
                  </w:rPr>
                </w:pPr>
                <w:r>
                  <w:rPr>
                    <w:szCs w:val="24"/>
                  </w:rPr>
                  <w:t>NV-901</w:t>
                </w:r>
              </w:p>
              <w:p>
                <w:pPr>
                  <w:rPr>
                    <w:color w:val="000000"/>
                    <w:szCs w:val="24"/>
                    <w:shd w:val="clear" w:color="auto" w:fill="FFFFFF"/>
                  </w:rPr>
                </w:pPr>
                <w:r>
                  <w:rPr>
                    <w:color w:val="000000"/>
                    <w:szCs w:val="24"/>
                    <w:shd w:val="clear" w:color="auto" w:fill="FFFFFF"/>
                  </w:rPr>
                  <w:t>3334662</w:t>
                </w:r>
              </w:p>
            </w:tc>
          </w:tr>
        </w:tbl>
        <w:p>
          <w:pPr>
            <w:jc w:val="both"/>
            <w:rPr>
              <w:b/>
              <w:bCs/>
              <w:szCs w:val="24"/>
              <w:lang w:eastAsia="x-none"/>
            </w:rPr>
          </w:pPr>
        </w:p>
        <w:sdt>
          <w:sdtPr>
            <w:alias w:val="skirsnis"/>
            <w:tag w:val="part_7925d80bc2114bf4849c1310f06e81e5"/>
            <w:lock w:val="sdtLocked"/>
            <w:richText/>
          </w:sdtPr>
          <w:sdtContent>
            <w:p>
              <w:pPr>
                <w:jc w:val="both"/>
                <w:rPr>
                  <w:b/>
                  <w:bCs/>
                  <w:szCs w:val="24"/>
                  <w:lang w:eastAsia="x-none"/>
                </w:rPr>
              </w:pPr>
              <w:sdt>
                <w:sdtPr>
                  <w:alias w:val="Pavadinimas"/>
                  <w:tag w:val="title_7925d80bc2114bf4849c1310f06e81e5"/>
                  <w:lock w:val="sdtLocked"/>
                  <w:richText/>
                </w:sdtPr>
                <w:sdtContent>
                  <w:r>
                    <w:rPr>
                      <w:b/>
                      <w:bCs/>
                      <w:szCs w:val="24"/>
                      <w:lang w:eastAsia="x-none"/>
                    </w:rPr>
                    <w:t xml:space="preserve">DĖL LIETUVOS RESPUBLIKOS </w:t>
                  </w:r>
                  <w:r>
                    <w:rPr>
                      <w:b/>
                      <w:szCs w:val="24"/>
                      <w:lang w:eastAsia="x-none"/>
                    </w:rPr>
                    <w:t>SEIMO NUTARIMO „DĖL NACIONALINĖS DARBOTVARKĖS NARKOTIKŲ, TABAKO IR ALKOHOLIO KONTROLĖS, VARTOJIMO PREVENCIJOS IR ŽALOS MAŽINIMO KLAUSIMAIS IKI 2035 METŲ PATVIRTINIMO</w:t>
                  </w:r>
                  <w:r>
                    <w:rPr>
                      <w:b/>
                      <w:bCs/>
                      <w:szCs w:val="24"/>
                      <w:lang w:eastAsia="x-none"/>
                    </w:rPr>
                    <w:t xml:space="preserve">“ PROJEKTO TEIKIMO </w:t>
                  </w:r>
                </w:sdtContent>
              </w:sdt>
            </w:p>
            <w:p>
              <w:pPr>
                <w:jc w:val="both"/>
                <w:rPr>
                  <w:b/>
                  <w:bCs/>
                  <w:szCs w:val="24"/>
                  <w:lang w:eastAsia="x-none"/>
                </w:rPr>
              </w:pPr>
            </w:p>
            <w:p>
              <w:pPr>
                <w:jc w:val="both"/>
                <w:rPr>
                  <w:b/>
                  <w:bCs/>
                  <w:szCs w:val="24"/>
                  <w:lang w:eastAsia="x-none"/>
                </w:rPr>
              </w:pPr>
            </w:p>
            <w:p>
              <w:pPr>
                <w:ind w:firstLine="851"/>
                <w:jc w:val="both"/>
                <w:rPr>
                  <w:szCs w:val="24"/>
                  <w:lang w:eastAsia="lt-LT"/>
                </w:rPr>
              </w:pPr>
              <w:r>
                <w:rPr>
                  <w:szCs w:val="24"/>
                  <w:shd w:val="clear" w:color="auto" w:fill="FFFFFF"/>
                  <w:lang w:eastAsia="lt-LT"/>
                </w:rPr>
                <w:t xml:space="preserve">Lietuvos Respublikos sveikatos apsaugos ministerija, </w:t>
              </w:r>
              <w:r>
                <w:rPr>
                  <w:szCs w:val="24"/>
                  <w:lang w:eastAsia="lt-LT"/>
                </w:rPr>
                <w:t xml:space="preserve">įgyvendindama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(toliau – Planas), 4.1.5 veiksmą, teikia Lietuvos Respublikos Vyriausybei Lietuvos Respublikos Seimo nutarimo „Dėl Nacionalinės darbotvarkės narkotikų, tabako ir alkoholio kontrolės, vartojimo prevencijos ir žalos mažinimo klausimais iki 2035 metų patvirtinimo“ projektą (toliau – Nacionalinės darbotvarkės projektas), patikslintą įvertinus Lietuvos Respublikos Vyriausybės kanceliarijos </w:t>
              </w:r>
              <w:r>
                <w:rPr>
                  <w:bCs/>
                  <w:szCs w:val="24"/>
                  <w:lang w:eastAsia="lt-LT"/>
                </w:rPr>
                <w:t xml:space="preserve">Socialinės politikos grupės, Strateginio planavimo ir stebėsenos grupės 2022 m. balandžio 7 d. pažymą Nr. NV-891,  Teisės grupės 2022 m. balandžio 8 d. išvadą Nr. NV-901 ir 2022 m. balandžio 12 d. tarpinstitucinio pasitarimo protokolinį sprendimą.</w:t>
              </w:r>
            </w:p>
            <w:p>
              <w:pPr>
                <w:ind w:firstLine="851"/>
                <w:jc w:val="both"/>
                <w:rPr>
                  <w:rFonts w:eastAsia="Calibri"/>
                  <w:color w:val="000000"/>
                  <w:szCs w:val="24"/>
                </w:rPr>
              </w:pPr>
              <w:r>
                <w:rPr>
                  <w:rFonts w:eastAsia="Calibri"/>
                  <w:color w:val="000000"/>
                  <w:szCs w:val="24"/>
                </w:rPr>
                <w:t xml:space="preserve">Nacionalinės darbotvarkės projektu siekiama nustatyti ilgalaikius narkotikų, tabako ir alkoholio kontrolės, vartojimo prevencijos ir žalos mažinimo tikslus ir uždavinius, jų įgyvendinimo kryptis bei vertinimo rodiklius ir jų reikšmes, vykdyti visapusišką, nuoseklią, mokslo ir faktiniais duomenimis pagrįstą ir subalansuotą, tarptautinius standartus atitinkančią, žmogaus teises užtikrinančią psichoaktyvių medžiagų kontrolės bei vartojimo prevencijos  politiką Lietuvoje iki 2035 m.. Nuo 2021 m. sausio 1 d. įsigaliojus naujam strateginio valdymo modeliui, kaip strateginis dokumentas Nacionalinė </w:t>
              </w:r>
              <w:r>
                <w:rPr>
                  <w:rFonts w:eastAsia="Calibri"/>
                  <w:color w:val="000000"/>
                  <w:spacing w:val="4"/>
                  <w:szCs w:val="24"/>
                </w:rPr>
                <w:t>darbotvarkė pakeis Valstybinę narkotikų, tabako ir alkoholio kontrolės ir vartojimo prevencijos 2018–2028 m. programą, patvirtintą Lietuvos Respublikos Seimo 2018 m. gruodžio 13 d. nutarimu Nr. XIII-1765 „Dėl Valstybinės narkotikų, tabako ir alkoholio kontrolės ir vartojimo prevencijos 2018–2028 m. programos patvirtinimo“.</w:t>
              </w:r>
            </w:p>
            <w:p>
              <w:pPr>
                <w:ind w:firstLine="851"/>
                <w:jc w:val="both"/>
                <w:rPr>
                  <w:rFonts w:eastAsia="Calibri"/>
                  <w:color w:val="000000"/>
                  <w:szCs w:val="24"/>
                </w:rPr>
              </w:pPr>
              <w:r>
                <w:rPr>
                  <w:rFonts w:eastAsia="Calibri"/>
                  <w:color w:val="000000"/>
                  <w:szCs w:val="24"/>
                </w:rPr>
                <w:t xml:space="preserve">Šio strateginio dokumento esminis siekis – suformuoti ilgalaikę psichoaktyviųjų medžiagų vartojimo mažinimo politikos viziją, t. y. subalansuotomis priemonėmis siekti saugesnės ir sveikesnės šalies, kurioje kiekvienam žmogui siekiama padėti išvengti ar sumažinti alkoholio, tabako ir narkotikų daromą žalą, taip pat sudaromos galimybės rūpintis savo, šeimos ar bendruomenės narių sveikata, socialine ir ekonomine gerove. </w:t>
              </w:r>
            </w:p>
            <w:p>
              <w:pPr>
                <w:ind w:firstLine="851"/>
                <w:jc w:val="both"/>
                <w:rPr>
                  <w:rFonts w:eastAsia="Calibri"/>
                  <w:color w:val="000000"/>
                  <w:szCs w:val="24"/>
                </w:rPr>
              </w:pPr>
              <w:r>
                <w:rPr>
                  <w:rFonts w:eastAsia="Calibri"/>
                  <w:color w:val="000000"/>
                  <w:szCs w:val="24"/>
                </w:rPr>
                <w:t xml:space="preserve">Nacionalinės darbotvarkės projektas apima lygiaverčiai svarbias ir viena kitą papildančias sritis: paklausos mažinimo (prevencijos, ankstyvosios intervencijos, gydymo, psichologinės ir socialinės reabilitacijos bei reintegracijos priemonės); pasiūlos mažinimo (teisėtų ir neteisėtų psichoaktyviųjų medžiagų fizinio bei ekonominio prieinamumo ribojimo priemonės); žalos mažinimo (veiksmingos rizikos valdymo ir pagalbos priemonės narkotines ir psichotropines medžiagas vartojantiems asmenims ir prie žalos klausimų valdymo prisidedantys sprendimai baudžiamosios politikos narkotikų vartotojų atžvilgiu srityje). Kiekvienoje nurodytoje Darbotvarkės srityje kompleksiškai sprendžiami klausimai susiję su stebėsena, kuri suprantama kaip patikimos, kokybiškos ir palyginamos informacijos rinkimas ir vertinimas, pripažįstant mokslinį politikos ir intervencijos įvertinimą, remiant ir tobulinant mokslinius tyrimus. </w:t>
              </w:r>
            </w:p>
            <w:p>
              <w:pPr>
                <w:ind w:firstLine="851"/>
                <w:jc w:val="both"/>
                <w:rPr>
                  <w:rFonts w:eastAsia="Calibri"/>
                  <w:szCs w:val="24"/>
                </w:rPr>
              </w:pPr>
              <w:r>
                <w:rPr>
                  <w:rFonts w:eastAsia="Calibri"/>
                  <w:szCs w:val="24"/>
                </w:rPr>
                <w:t xml:space="preserve">Nacionalinės darbotvarkės įgyvendinimo poveikio rodiklių sąrašas sudarytas iš 11 strateginį darbotvarkės tikslą atspindinčių siekiamų kompleksinių rodiklių. Uždavinių įgyvendinimo rodikliai bus iškelti Nacionalinę darbotvarkę įgyvendinančiuose strateginiuose dokumentuose – nacionalinėse plėtros programose, strateginiuose veiklos planuose, todėl į Nacionalinę darbotvarkę nėra įtraukti. Pasirinktų rodiklių reikšmės derintos su 2021–2030 metų Nacionalinio pažangos </w:t>
              </w:r>
              <w:r>
                <w:rPr>
                  <w:rFonts w:eastAsia="Calibri"/>
                  <w:color w:val="000000"/>
                  <w:szCs w:val="24"/>
                </w:rPr>
                <w:t xml:space="preserve">plano strateginių </w:t>
              </w:r>
              <w:r>
                <w:rPr>
                  <w:rFonts w:eastAsia="Calibri"/>
                  <w:szCs w:val="24"/>
                </w:rPr>
                <w:t xml:space="preserve">tikslų, uždavinių ir poveikio rodiklių sąrašo reikšmėmis, Europos šalių rodikliais, Pasaulio sveikatos organizacijos techninėse gairėse rekomenduojamais siektinais rezultatais. </w:t>
              </w:r>
            </w:p>
            <w:p>
              <w:pPr>
                <w:ind w:firstLine="851"/>
                <w:jc w:val="both"/>
                <w:rPr>
                  <w:rFonts w:eastAsia="Calibri"/>
                  <w:szCs w:val="24"/>
                </w:rPr>
              </w:pPr>
              <w:r>
                <w:rPr>
                  <w:rFonts w:eastAsia="Calibri"/>
                  <w:szCs w:val="24"/>
                </w:rPr>
                <w:t>Vadovaujantis Europos narkotikų ir narkomanijos stebėsenos centro rekomendacijomis, kitų Europos Sąjungos šalių gerąja strateginių dokumentų rengimo ir narkotikų politikos vertinimo praktika, rengiant Nacionalinės darbotvarkės projektą:</w:t>
              </w:r>
            </w:p>
            <w:sdt>
              <w:sdtPr>
                <w:alias w:val="1 p."/>
                <w:tag w:val="part_f2281395b5e8468e9cb74330e3af7258"/>
                <w:lock w:val="sdtLocked"/>
                <w:richText/>
              </w:sdtPr>
              <w:sdtContent>
                <w:p>
                  <w:pPr>
                    <w:ind w:firstLine="851"/>
                    <w:jc w:val="both"/>
                    <w:rPr>
                      <w:rFonts w:eastAsia="Calibri"/>
                      <w:szCs w:val="24"/>
                    </w:rPr>
                  </w:pPr>
                  <w:sdt>
                    <w:sdtPr>
                      <w:alias w:val="Numeris"/>
                      <w:tag w:val="nr_f2281395b5e8468e9cb74330e3af7258"/>
                      <w:lock w:val="sdtLocked"/>
                      <w:richText/>
                    </w:sdtPr>
                    <w:sdtContent>
                      <w:r>
                        <w:rPr>
                          <w:rFonts w:eastAsia="Calibri"/>
                          <w:szCs w:val="24"/>
                        </w:rPr>
                        <w:t>1</w:t>
                      </w:r>
                    </w:sdtContent>
                  </w:sdt>
                  <w:r>
                    <w:rPr>
                      <w:rFonts w:eastAsia="Calibri"/>
                      <w:szCs w:val="24"/>
                    </w:rPr>
                    <w:t xml:space="preserve">. skirtingoms Nacionalinės darbotvarkės dalims parengti, esamai Lietuvos situacijai įvertinti, atliekant situacijos analizę, bei siūlymams pateikti, Narkotikų, tabako ir alkoholio kontrolės departamentas (toliau – Departamentas) sudarė tarpžinybines darbo grupes, į kurių veiklą įtraukti valstybės, savivaldybių įstaigų, institucijų, nevyriausybinių organizacijų atstovai, skirtingų mokslo sričių atstovai, kiti suinteresuoti asmenys; </w:t>
                  </w:r>
                </w:p>
              </w:sdtContent>
            </w:sdt>
            <w:sdt>
              <w:sdtPr>
                <w:alias w:val="2 p."/>
                <w:tag w:val="part_596be12b1cf04401b97dba1152238b65"/>
                <w:lock w:val="sdtLocked"/>
                <w:richText/>
              </w:sdtPr>
              <w:sdtContent>
                <w:p>
                  <w:pPr>
                    <w:ind w:firstLine="851"/>
                    <w:jc w:val="both"/>
                    <w:rPr>
                      <w:rFonts w:eastAsia="Calibri"/>
                      <w:szCs w:val="24"/>
                    </w:rPr>
                  </w:pPr>
                  <w:sdt>
                    <w:sdtPr>
                      <w:alias w:val="Numeris"/>
                      <w:tag w:val="nr_596be12b1cf04401b97dba1152238b65"/>
                      <w:lock w:val="sdtLocked"/>
                      <w:richText/>
                    </w:sdtPr>
                    <w:sdtContent>
                      <w:r>
                        <w:rPr>
                          <w:rFonts w:eastAsia="Calibri"/>
                          <w:szCs w:val="24"/>
                        </w:rPr>
                        <w:t>2</w:t>
                      </w:r>
                    </w:sdtContent>
                  </w:sdt>
                  <w:r>
                    <w:rPr>
                      <w:rFonts w:eastAsia="Calibri"/>
                      <w:szCs w:val="24"/>
                    </w:rPr>
                    <w:t>. Nacionalinės darbotvarkės kokybės ir turinio objektyvumui užtikrinti, vadovaujantis tarptautine patirtimi, remtasi išoriniu socialinės ir sveikatos apsaugos, teisės bei ekonomikos sričių ekspertų narkotikų politikos vertinimu</w:t>
                  </w:r>
                  <w:r>
                    <w:rPr>
                      <w:rFonts w:eastAsia="Calibri"/>
                      <w:szCs w:val="24"/>
                      <w:vertAlign w:val="superscript"/>
                    </w:rPr>
                    <w:footnoteReference w:id="1"/>
                  </w:r>
                  <w:r>
                    <w:rPr>
                      <w:rFonts w:eastAsia="Calibri"/>
                      <w:szCs w:val="24"/>
                    </w:rPr>
                    <w:t>, kurio išvadų pagrindas – integruoto ir subalansuoto požiūrio įtvirtinimas bei įrodymais grįstų politinių sprendimų priėmimas;</w:t>
                  </w:r>
                </w:p>
              </w:sdtContent>
            </w:sdt>
            <w:sdt>
              <w:sdtPr>
                <w:alias w:val="3 p."/>
                <w:tag w:val="part_0c036f75c4904eab830a7796a2e2f5fb"/>
                <w:lock w:val="sdtLocked"/>
                <w:richText/>
              </w:sdtPr>
              <w:sdtContent>
                <w:p>
                  <w:pPr>
                    <w:ind w:firstLine="851"/>
                    <w:jc w:val="both"/>
                    <w:rPr>
                      <w:rFonts w:eastAsia="Calibri"/>
                      <w:color w:val="000000"/>
                      <w:szCs w:val="24"/>
                    </w:rPr>
                  </w:pPr>
                  <w:sdt>
                    <w:sdtPr>
                      <w:alias w:val="Numeris"/>
                      <w:tag w:val="nr_0c036f75c4904eab830a7796a2e2f5fb"/>
                      <w:lock w:val="sdtLocked"/>
                      <w:richText/>
                    </w:sdtPr>
                    <w:sdtContent>
                      <w:r>
                        <w:rPr>
                          <w:rFonts w:eastAsia="Calibri"/>
                          <w:szCs w:val="24"/>
                        </w:rPr>
                        <w:t>3</w:t>
                      </w:r>
                    </w:sdtContent>
                  </w:sdt>
                  <w:r>
                    <w:rPr>
                      <w:rFonts w:eastAsia="Calibri"/>
                      <w:szCs w:val="24"/>
                    </w:rPr>
                    <w:t xml:space="preserve">. Nacionalinės darbotvarkės rengimo metu taip pat buvo konsultuojamasi su visuomene. </w:t>
                    <w:br/>
                    <w:t>2021 m. rugsėjo 9</w:t>
                  </w:r>
                  <w:r>
                    <w:rPr>
                      <w:rFonts w:eastAsia="Calibri"/>
                      <w:color w:val="000000"/>
                      <w:szCs w:val="24"/>
                    </w:rPr>
                    <w:t>–</w:t>
                  </w:r>
                  <w:r>
                    <w:rPr>
                      <w:rFonts w:eastAsia="Calibri"/>
                      <w:szCs w:val="24"/>
                    </w:rPr>
                    <w:t xml:space="preserve">24 d. įvyko viešoji </w:t>
                  </w:r>
                  <w:r>
                    <w:rPr>
                      <w:rFonts w:eastAsia="Calibri"/>
                      <w:color w:val="000000"/>
                      <w:szCs w:val="24"/>
                    </w:rPr>
                    <w:t>konsultacija – apklausa. Visuomenės įtraukimas buvo svarbi Nacionalinės darbotvarkės rengimo proceso dalis, siekiant išsiaiškinti asmenų, besinaudojančių paslaugomis, šeimų, bendruomenių, organizacijų ir kitų suinteresuotų asmenų keliamas problemas ir rūpimus klausimus.</w:t>
                  </w:r>
                </w:p>
                <w:p>
                  <w:pPr>
                    <w:ind w:firstLine="851"/>
                    <w:jc w:val="both"/>
                    <w:rPr>
                      <w:rFonts w:eastAsia="Calibri"/>
                      <w:color w:val="000000"/>
                      <w:szCs w:val="24"/>
                    </w:rPr>
                  </w:pPr>
                  <w:r>
                    <w:rPr>
                      <w:rFonts w:eastAsia="Calibri"/>
                      <w:color w:val="000000"/>
                      <w:szCs w:val="24"/>
                    </w:rPr>
                    <w:t>Nacionalinės darbotvarkės projektas atitinka Aštuonioliktosios Lietuvos Respublikos Vyriausybės veiklos programos, kuriai pritarta Lietuvos Respublikos Seimo 2020 m. gruodžio 11 d. nutarimu Nr. XIV-72 „Dėl Aštuonioliktosios Lietuvos Respublikos Vyriausybės programos“, nuostatas, juo neperkeliami ir neįgyvendinami Europos Sąjungos teisės aktai ar kai kurios jų nuostatos, jis nenotifikuotinas Europos Komisijai.</w:t>
                  </w:r>
                </w:p>
                <w:p>
                  <w:pPr>
                    <w:ind w:firstLine="851"/>
                    <w:jc w:val="both"/>
                    <w:rPr>
                      <w:rFonts w:eastAsia="Calibri"/>
                      <w:color w:val="000000"/>
                      <w:szCs w:val="24"/>
                    </w:rPr>
                  </w:pPr>
                  <w:r>
                    <w:rPr>
                      <w:rFonts w:eastAsia="Calibri"/>
                      <w:color w:val="000000"/>
                      <w:szCs w:val="24"/>
                    </w:rPr>
                    <w:t>Patvirtinus Nacionalinę darbotvarkę, teisės aktai nebus keičiami, tačiau Nacionalinės darbotvarkės įgyvendinimo laikotarpiu bus analizuojami ir peržiūrimi su psichoaktyviųjų medžiagų vartojimo mažinimo klausimais susiję teisės aktai ir, esant reikalui, inicijuojami jų pakeitimai.</w:t>
                  </w:r>
                </w:p>
                <w:p>
                  <w:pPr>
                    <w:ind w:firstLine="851"/>
                    <w:jc w:val="both"/>
                    <w:rPr>
                      <w:rFonts w:eastAsia="Calibri"/>
                      <w:color w:val="000000"/>
                      <w:szCs w:val="24"/>
                    </w:rPr>
                  </w:pPr>
                  <w:r>
                    <w:rPr>
                      <w:rFonts w:eastAsia="Calibri"/>
                      <w:color w:val="000000"/>
                      <w:szCs w:val="24"/>
                    </w:rPr>
                    <w:t xml:space="preserve">Nacionalinės darbotvarkės projekte neapibrėžiamos sąvokos, kurios turi būti įvertintos Lietuvos Respublikos terminų banko įstatymo ir jo įgyvendinamųjų teisės aktų nustatyta tvarka. </w:t>
                  </w:r>
                </w:p>
                <w:p>
                  <w:pPr>
                    <w:ind w:firstLine="851"/>
                    <w:jc w:val="both"/>
                    <w:rPr>
                      <w:rFonts w:eastAsia="Calibri"/>
                      <w:szCs w:val="24"/>
                    </w:rPr>
                  </w:pPr>
                  <w:r>
                    <w:rPr>
                      <w:rFonts w:eastAsia="Calibri"/>
                      <w:color w:val="000000"/>
                      <w:szCs w:val="24"/>
                    </w:rPr>
                    <w:t xml:space="preserve">Nacionalinės darbotvarkės projektas buvo derinamas su visuomene ir suinteresuotomis institucijomis skelbiant jį Lietuvos Respublikos Seimo teisės aktų informacinės sistemos Projektų registravimo posistemėje (TAIS Nr. 21-29402, 21-29403). </w:t>
                  </w:r>
                  <w:r>
                    <w:rPr>
                      <w:rFonts w:eastAsia="Calibri"/>
                      <w:szCs w:val="24"/>
                    </w:rPr>
                    <w:t>Lietuvos savivaldybių asociacija, Lietuvos statistikos departamentas, Lietuvos Respublikos susisiekimo ministerija, Valstybės sienos apsaugos tarnyba prie Lietuvos Respublikos vidaus reikalų ministerijos, Lietuvos Respublikos žemės ūkio ministerija pastabų neturėjo.</w:t>
                  </w:r>
                  <w:r>
                    <w:rPr>
                      <w:rFonts w:eastAsia="Calibri"/>
                      <w:color w:val="FF0000"/>
                      <w:szCs w:val="24"/>
                    </w:rPr>
                    <w:t xml:space="preserve"> </w:t>
                  </w:r>
                  <w:r>
                    <w:rPr>
                      <w:rFonts w:eastAsia="Calibri"/>
                      <w:szCs w:val="24"/>
                    </w:rPr>
                    <w:t xml:space="preserve">Į Lietuvos Respublikos švietimo, mokslo ir sporto ministerijos, Lietuvos Respublikos vidaus reikalų ministerijos, Lietuvos Respublikos teisingumo ministerijos, Kalėjimų departamento prie Lietuvos Respublikos teisingumo ministerijos, Policijos departamento prie Lietuvos Respublikos vidaus reikalų ministerijos, Muitinės departamento prie Lietuvos Respublikos finansų ministerijos, Lietuvos Respublikos socialinės apsaugos ir darbo ministerijos, Respublikinio priklausomybės ligų centro, Lietuvos socialinio emocinio ugdymo asociacijos pastabas iš esmės atsižvelgta arba su atitinkamomis institucijomis ir organizacijomis pastabos suderintos darbo tvarka. </w:t>
                  </w:r>
                </w:p>
                <w:p>
                  <w:pPr>
                    <w:ind w:firstLine="851"/>
                    <w:jc w:val="both"/>
                    <w:rPr>
                      <w:rFonts w:eastAsia="Calibri"/>
                      <w:szCs w:val="24"/>
                    </w:rPr>
                  </w:pPr>
                  <w:r>
                    <w:rPr>
                      <w:rFonts w:eastAsia="Calibri"/>
                      <w:szCs w:val="24"/>
                    </w:rPr>
                    <w:t>Lietuvos Respublikos finansų ministerija, Lietuvos Respublikos krašto apsaugos ministerija, Lietuvos Respublikos užsienio reikalų ministerija, Valstybinė maisto ir veterinarijos tarnyba, Valstybinis psichikos sveikatos centras, Užkrečiamųjų ligų ir AIDS centras, Savivaldybių visuomenės sveikatos biurų asociacija, Lietuvos Respublikos ryšių reguliavimo tarnyba, Muitinės kriminalinė tarnyba, Nacionalinė tabako ir alkoholio koalicija bei Koalicija „Galiu gyventi“ išvadų nepateikė.</w:t>
                  </w:r>
                </w:p>
                <w:p>
                  <w:pPr>
                    <w:ind w:firstLine="851"/>
                    <w:jc w:val="both"/>
                    <w:rPr>
                      <w:rFonts w:eastAsia="Calibri"/>
                      <w:szCs w:val="24"/>
                    </w:rPr>
                  </w:pPr>
                  <w:r>
                    <w:rPr>
                      <w:rFonts w:eastAsia="Calibri"/>
                      <w:color w:val="000000"/>
                      <w:szCs w:val="24"/>
                    </w:rPr>
                    <w:t xml:space="preserve">Vyriausybės kanceliarijos Teisės grupės išvadoje pateikta pastaba, kad nėra nurodyta informacija, kaip Valstybės pažangos taryba dalyvavo rengiant  Nacionalinės darbotvarkės projektą. Atsižvelgiant į tai, kad nuo 2018 m. Vyriausybės komisijos – Valstybės pažangos tarybos sudėtis nebuvo atnaujinta, į Nacionalinės darbotvarkės projekto rengimą įtraukti Valstybės pažangos tarybos nebuvo galimybės. </w:t>
                  </w:r>
                </w:p>
                <w:p>
                  <w:pPr>
                    <w:ind w:firstLine="720"/>
                    <w:jc w:val="both"/>
                    <w:rPr>
                      <w:rFonts w:eastAsia="Calibri"/>
                      <w:szCs w:val="24"/>
                    </w:rPr>
                  </w:pPr>
                  <w:r>
                    <w:rPr>
                      <w:rFonts w:eastAsia="Calibri"/>
                      <w:szCs w:val="24"/>
                    </w:rPr>
                    <w:t xml:space="preserve">Lietuvos Respublikos ekonomikos ir inovacijų ministerijos (dėl vieningos akcizų politikos, siejant ja su kaimyninių šalių praktika ir tokiu būdu </w:t>
                  </w:r>
                  <w:r>
                    <w:rPr>
                      <w:szCs w:val="24"/>
                    </w:rPr>
                    <w:t>užtikrinant vieningą akcizų politiką regione</w:t>
                  </w:r>
                  <w:r>
                    <w:rPr>
                      <w:rFonts w:eastAsia="Calibri"/>
                      <w:szCs w:val="24"/>
                    </w:rPr>
                    <w:t xml:space="preserve">), Generalinės prokuratūros (dėl baudžiamosios politikos peržiūros siekiant </w:t>
                  </w:r>
                  <w:r>
                    <w:rPr>
                      <w:bCs/>
                      <w:szCs w:val="24"/>
                    </w:rPr>
                    <w:t>dekriminalizuoti veikas, susijusias su disponavimu nedideliu kiekiu narkotikų be tikslo jas platinti</w:t>
                  </w:r>
                  <w:r>
                    <w:rPr>
                      <w:rFonts w:eastAsia="Calibri"/>
                      <w:szCs w:val="24"/>
                    </w:rPr>
                    <w:t xml:space="preserve">), VšĮ Gyvybės mokslų ir edukologijos instituto, Lietuvos verslo konfederacijos (dėl tabako žalos mažinimo dėmens įtraukimo į Nacionalinę darbotvarkę, kurio esmė – pripažinti naujoviškus tabako gaminius ir elektronines cigaretes „mažesnės žalos“ produktais ir naudoti šiuos gaminius kaip žalos mažinimo priemonę, pagalbą  siūlant metantiems rūkyti ir kt.) pastabos, į kurias neatsižvelgta, argumentuotos derinimo pažymoje. </w:t>
                  </w:r>
                </w:p>
                <w:p>
                  <w:pPr>
                    <w:ind w:firstLine="720"/>
                    <w:jc w:val="both"/>
                    <w:rPr>
                      <w:rFonts w:eastAsia="Calibri"/>
                      <w:color w:val="000000"/>
                      <w:szCs w:val="24"/>
                    </w:rPr>
                  </w:pPr>
                  <w:r>
                    <w:rPr>
                      <w:rFonts w:eastAsia="Calibri"/>
                      <w:szCs w:val="24"/>
                    </w:rPr>
                    <w:t xml:space="preserve">Dėl Ekonomikos ir inovacijų ministerijos pastabos organizuotas pasitarimas, tačiau, įvertinus Finansų ministerijos poziciją, suderinti bendros pozicijos nepavyko, pastaba palikta derinimo pažymoje. Dėl Generalinės prokuratūros pastabų buvo organizuotas pasitarimas, tačiau dėl principinio požiūrių išsiskyrimo dėl baudžiamosios politikos peržiūros (Darbotvarkėje siūloma remtis ne į baudimą, bet į sveikatą ir žmogaus teisių gynimą orientuotu požiūriu) bendros pozicijos suderinti nepavyko, pastabos paliktos derinimo pažymoje, kaip neatitinkančios naujosios ES narkotikų strategijos bei </w:t>
                  </w:r>
                  <w:r>
                    <w:rPr>
                      <w:rFonts w:eastAsia="Calibri"/>
                      <w:color w:val="000000"/>
                      <w:szCs w:val="24"/>
                    </w:rPr>
                    <w:t xml:space="preserve">Aštuonioliktosios Lietuvos Respublikos Vyriausybės programos nuostatų. Susitikimas su </w:t>
                  </w:r>
                  <w:r>
                    <w:rPr>
                      <w:rFonts w:eastAsia="Calibri"/>
                      <w:szCs w:val="24"/>
                    </w:rPr>
                    <w:t xml:space="preserve">Lietuvos verslo konfederacija šiuo metu organizuojamas, siekiant plačiau paaiškinti priimtus sprendimus bei jų argumentus, taip pat </w:t>
                  </w:r>
                  <w:r>
                    <w:rPr>
                      <w:rFonts w:eastAsia="Calibri"/>
                      <w:color w:val="000000"/>
                      <w:szCs w:val="24"/>
                    </w:rPr>
                    <w:t xml:space="preserve">supažindinti su Nacionalinės darbotvarkės projekto nuostatomis, kurių pagrindu, atsiradus nepriklausomiems moksliniams tyrimams, tarptautinių organizacijų rekomendacijoms ar klinikinio veiksmingumo įrodymams, gali būti ateityje pradėti taikyti atitinkami aprobuoti nauji gydymo ir žalos mažinimo metodai. Visgi kol nėra pakankamai įrodymų, kurie teigtų, kad naujoviški bedūmiai tabako gaminiai gali būti vartojami kaip žalos mažinimo priemonės, tai yra kaip priemonės padedančios mesti rūkyti, pastabos dėl šio aspekto pateikiamos derinimo pažymoje. </w:t>
                  </w:r>
                </w:p>
                <w:p>
                  <w:pPr>
                    <w:ind w:firstLine="851"/>
                    <w:jc w:val="both"/>
                    <w:rPr>
                      <w:bCs/>
                      <w:szCs w:val="24"/>
                      <w:lang w:eastAsia="lt-LT"/>
                    </w:rPr>
                  </w:pPr>
                  <w:r>
                    <w:rPr>
                      <w:bCs/>
                      <w:szCs w:val="24"/>
                      <w:lang w:eastAsia="lt-LT"/>
                    </w:rPr>
                    <w:t>Teikiamas Nacionalinės darbotvarkės projektas ir lydimieji dokumentai skelbiami Lietuvos Respublikos Seimo kanceliarijos Teisės aktų informacinės sistemos (TAIS) Projektų registravimo posistemėje.</w:t>
                  </w:r>
                </w:p>
                <w:p>
                  <w:pPr>
                    <w:ind w:firstLine="851"/>
                    <w:jc w:val="both"/>
                    <w:rPr>
                      <w:rFonts w:eastAsia="Calibri"/>
                      <w:color w:val="000000"/>
                      <w:szCs w:val="24"/>
                      <w:lang w:eastAsia="lt-LT"/>
                    </w:rPr>
                  </w:pPr>
                  <w:r>
                    <w:rPr>
                      <w:rFonts w:eastAsia="Calibri"/>
                      <w:color w:val="000000"/>
                      <w:spacing w:val="6"/>
                      <w:szCs w:val="24"/>
                    </w:rPr>
                    <w:t>Nacionalinės darbotvarkės projektą parengė Departamento (</w:t>
                  </w:r>
                  <w:r>
                    <w:rPr>
                      <w:color w:val="000000"/>
                      <w:szCs w:val="24"/>
                      <w:lang w:eastAsia="lt-LT"/>
                    </w:rPr>
                    <w:t xml:space="preserve">l. e. direktoriaus pareigas </w:t>
                  </w:r>
                  <w:r>
                    <w:rPr>
                      <w:rFonts w:eastAsia="Calibri"/>
                      <w:color w:val="000000"/>
                      <w:szCs w:val="24"/>
                    </w:rPr>
                    <w:t xml:space="preserve">Stebėsenos ir analizės skyriaus vedėja Evelina Pridotkienė, tel. 8 659 04891, el. p. </w:t>
                  </w:r>
                  <w:r>
                    <w:rPr>
                      <w:rFonts w:eastAsia="Calibri"/>
                      <w:szCs w:val="24"/>
                    </w:rPr>
                    <w:t>evelina.pridotkiene@ntakd.lt</w:t>
                  </w:r>
                  <w:r>
                    <w:rPr>
                      <w:rFonts w:eastAsia="Calibri"/>
                      <w:color w:val="000000"/>
                      <w:spacing w:val="6"/>
                      <w:szCs w:val="24"/>
                    </w:rPr>
                    <w:t>)</w:t>
                  </w:r>
                  <w:r>
                    <w:rPr>
                      <w:rFonts w:eastAsia="Calibri"/>
                      <w:color w:val="000000"/>
                      <w:szCs w:val="24"/>
                    </w:rPr>
                    <w:t xml:space="preserve"> </w:t>
                  </w:r>
                  <w:r>
                    <w:rPr>
                      <w:color w:val="000000"/>
                      <w:szCs w:val="24"/>
                      <w:lang w:eastAsia="lt-LT"/>
                    </w:rPr>
                    <w:t>sudarytos tarpžinybinės darbo grupės prevencijos, gydymo, reabilitacijos ir reintegracijos, alkoholio, tabako pasiūlos mažinimo, neteisėtos pasiūlos mažinimo, žalos mažinimo ir baudžiamosios politikos peržiūros pogrupiai.</w:t>
                  </w:r>
                </w:p>
                <w:p>
                  <w:pPr>
                    <w:ind w:firstLine="851"/>
                    <w:jc w:val="both"/>
                    <w:rPr>
                      <w:rFonts w:eastAsia="Calibri"/>
                      <w:szCs w:val="24"/>
                    </w:rPr>
                  </w:pPr>
                  <w:r>
                    <w:rPr>
                      <w:rFonts w:eastAsia="Calibri"/>
                      <w:szCs w:val="24"/>
                    </w:rPr>
                    <w:t xml:space="preserve">Siekiant tarpžinybine įtrauktimi grįsto politikos formavimo ir sklandaus jos įgyvendinimo Nacionalinės darbotvarkės </w:t>
                  </w:r>
                  <w:r>
                    <w:rPr>
                      <w:rFonts w:eastAsia="Calibri"/>
                      <w:spacing w:val="2"/>
                      <w:szCs w:val="24"/>
                      <w:shd w:val="clear" w:color="auto" w:fill="FFFFFF"/>
                    </w:rPr>
                    <w:t xml:space="preserve">nuostatos kiekvienoje srityje detaliai aptartos Lietuvos Respublikos sveikatos apsaugos ministro 2021 m. kovo 30 d. įsakymu Nr. V-667 sudarytoje Nacionalinės darbotvarkės rengimo </w:t>
                  </w:r>
                  <w:r>
                    <w:rPr>
                      <w:rFonts w:eastAsia="Calibri"/>
                      <w:szCs w:val="24"/>
                    </w:rPr>
                    <w:t>politinio lygmens koordinacinėje grupėje, kurią sudarė Lietuvos Respublikos Vyriausybės, Lietuvos Respublikos ekonomikos ir inovacijų, Lietuvos Respublikos finansų, Lietuvos Respublikos socialinės apsaugos ir darbo, Lietuvos Respublikos sveikatos apsaugos, Lietuvos Respublikos švietimo, mokslo ir sporto, Lietuvos Respublikos teisingumo, Lietuvos Respublikos vidaus reikalų ministerijų, Pasaulio sveikatos organizacijos atstovybės Lietuvoje</w:t>
                  </w:r>
                  <w:r>
                    <w:rPr>
                      <w:rFonts w:eastAsia="Calibri"/>
                      <w:spacing w:val="2"/>
                      <w:szCs w:val="24"/>
                      <w:shd w:val="clear" w:color="auto" w:fill="FFFFFF"/>
                    </w:rPr>
                    <w:t xml:space="preserve"> </w:t>
                  </w:r>
                  <w:r>
                    <w:rPr>
                      <w:rFonts w:eastAsia="Calibri"/>
                      <w:szCs w:val="24"/>
                    </w:rPr>
                    <w:t xml:space="preserve">ir Departamento atstovai. </w:t>
                  </w:r>
                </w:p>
                <w:p>
                  <w:pPr>
                    <w:ind w:firstLine="851"/>
                    <w:jc w:val="both"/>
                    <w:rPr>
                      <w:rFonts w:eastAsia="Calibri"/>
                      <w:color w:val="000000"/>
                      <w:szCs w:val="24"/>
                    </w:rPr>
                  </w:pPr>
                  <w:r>
                    <w:rPr>
                      <w:rFonts w:eastAsia="Calibri"/>
                      <w:color w:val="000000"/>
                      <w:szCs w:val="24"/>
                    </w:rPr>
                    <w:t>PRIDEDAMA:</w:t>
                  </w:r>
                </w:p>
              </w:sdtContent>
            </w:sdt>
            <w:sdt>
              <w:sdtPr>
                <w:alias w:val="1 p."/>
                <w:tag w:val="part_573d60ae309f4d6599fbe4229503b996"/>
                <w:lock w:val="sdtLocked"/>
                <w:richText/>
              </w:sdtPr>
              <w:sdtContent>
                <w:p>
                  <w:pPr>
                    <w:ind w:firstLine="851"/>
                    <w:jc w:val="both"/>
                    <w:rPr>
                      <w:rFonts w:eastAsia="Calibri"/>
                      <w:color w:val="000000"/>
                      <w:szCs w:val="24"/>
                    </w:rPr>
                  </w:pPr>
                  <w:sdt>
                    <w:sdtPr>
                      <w:alias w:val="Numeris"/>
                      <w:tag w:val="nr_573d60ae309f4d6599fbe4229503b996"/>
                      <w:lock w:val="sdtLocked"/>
                      <w:richText/>
                    </w:sdtPr>
                    <w:sdtContent>
                      <w:r>
                        <w:rPr>
                          <w:rFonts w:eastAsia="Calibri"/>
                          <w:color w:val="000000"/>
                          <w:szCs w:val="24"/>
                        </w:rPr>
                        <w:t>1</w:t>
                      </w:r>
                    </w:sdtContent>
                  </w:sdt>
                  <w:r>
                    <w:rPr>
                      <w:rFonts w:eastAsia="Calibri"/>
                      <w:color w:val="000000"/>
                      <w:szCs w:val="24"/>
                    </w:rPr>
                    <w:t>. Lietuvos Respublikos Seimo nutarimo „Dėl Nacionalinės darbotvarkės narkotikų, tabako ir alkoholio kontrolės, vartojimo prevencijos ir žalos mažinimo klausimais iki 2035 metų patvirtinimo“ projektas, 41 lapas.</w:t>
                  </w:r>
                </w:p>
              </w:sdtContent>
            </w:sdt>
            <w:sdt>
              <w:sdtPr>
                <w:alias w:val="2 p."/>
                <w:tag w:val="part_a323f915db7a4c91a1cf25a03377af93"/>
                <w:lock w:val="sdtLocked"/>
                <w:richText/>
              </w:sdtPr>
              <w:sdtContent>
                <w:p>
                  <w:pPr>
                    <w:ind w:firstLine="851"/>
                    <w:jc w:val="both"/>
                    <w:rPr>
                      <w:rFonts w:eastAsia="Calibri"/>
                      <w:color w:val="000000"/>
                      <w:szCs w:val="24"/>
                    </w:rPr>
                  </w:pPr>
                  <w:sdt>
                    <w:sdtPr>
                      <w:alias w:val="Numeris"/>
                      <w:tag w:val="nr_a323f915db7a4c91a1cf25a03377af93"/>
                      <w:lock w:val="sdtLocked"/>
                      <w:richText/>
                    </w:sdtPr>
                    <w:sdtContent>
                      <w:r>
                        <w:rPr>
                          <w:rFonts w:eastAsia="Calibri"/>
                          <w:color w:val="000000"/>
                          <w:szCs w:val="24"/>
                        </w:rPr>
                        <w:t>2</w:t>
                      </w:r>
                    </w:sdtContent>
                  </w:sdt>
                  <w:r>
                    <w:rPr>
                      <w:rFonts w:eastAsia="Calibri"/>
                      <w:color w:val="000000"/>
                      <w:szCs w:val="24"/>
                    </w:rPr>
                    <w:t>. Lietuvos Respublikos Vyriausybės nutarimo „Dėl Lietuvos Respublikos Seimo nutarimo „Dėl Nacionalinės darbotvarkės narkotikų, tabako ir alkoholio kontrolės, vartojimo prevencijos ir žalos mažinimo klausimais iki 2035 metų patvirtinimo“ projekto pateikimo Lietuvos Respublikos Seimui“ projektas, 1 lapas.</w:t>
                  </w:r>
                </w:p>
              </w:sdtContent>
            </w:sdt>
            <w:sdt>
              <w:sdtPr>
                <w:alias w:val="3 p."/>
                <w:tag w:val="part_26886e1adbdd4895b0a891f3c74dc8d6"/>
                <w:lock w:val="sdtLocked"/>
                <w:richText/>
              </w:sdtPr>
              <w:sdtContent>
                <w:p>
                  <w:pPr>
                    <w:ind w:firstLine="851"/>
                    <w:jc w:val="both"/>
                    <w:rPr>
                      <w:rFonts w:eastAsia="Calibri"/>
                      <w:color w:val="000000"/>
                      <w:szCs w:val="24"/>
                    </w:rPr>
                  </w:pPr>
                  <w:sdt>
                    <w:sdtPr>
                      <w:alias w:val="Numeris"/>
                      <w:tag w:val="nr_26886e1adbdd4895b0a891f3c74dc8d6"/>
                      <w:lock w:val="sdtLocked"/>
                      <w:richText/>
                    </w:sdtPr>
                    <w:sdtContent>
                      <w:r>
                        <w:rPr>
                          <w:rFonts w:eastAsia="Calibri"/>
                          <w:color w:val="000000"/>
                          <w:szCs w:val="24"/>
                        </w:rPr>
                        <w:t>3</w:t>
                      </w:r>
                    </w:sdtContent>
                  </w:sdt>
                  <w:r>
                    <w:rPr>
                      <w:rFonts w:eastAsia="Calibri"/>
                      <w:color w:val="000000"/>
                      <w:szCs w:val="24"/>
                    </w:rPr>
                    <w:t xml:space="preserve">. Lietuvos Respublikos Seimo nutarimo „Dėl Nacionalinės darbotvarkės narkotikų, tabako ir alkoholio kontrolės, vartojimo prevencijos ir žalos mažinimo klausimais iki 2035 metų patvirtinimo“ projekto </w:t>
                  </w:r>
                  <w:r>
                    <w:rPr>
                      <w:rFonts w:eastAsia="Calibri"/>
                      <w:szCs w:val="24"/>
                    </w:rPr>
                    <w:t>aiškinamasis raštas, 5 lapai.</w:t>
                  </w:r>
                </w:p>
              </w:sdtContent>
            </w:sdt>
            <w:sdt>
              <w:sdtPr>
                <w:alias w:val="4 p."/>
                <w:tag w:val="part_5a2a6898d6be45baa3cc3980512893ae"/>
                <w:lock w:val="sdtLocked"/>
                <w:richText/>
              </w:sdtPr>
              <w:sdtContent>
                <w:p>
                  <w:pPr>
                    <w:ind w:firstLine="851"/>
                    <w:jc w:val="both"/>
                    <w:rPr>
                      <w:rFonts w:eastAsia="Calibri"/>
                      <w:color w:val="000000"/>
                      <w:szCs w:val="24"/>
                    </w:rPr>
                  </w:pPr>
                  <w:sdt>
                    <w:sdtPr>
                      <w:alias w:val="Numeris"/>
                      <w:tag w:val="nr_5a2a6898d6be45baa3cc3980512893ae"/>
                      <w:lock w:val="sdtLocked"/>
                      <w:richText/>
                    </w:sdtPr>
                    <w:sdtContent>
                      <w:r>
                        <w:rPr>
                          <w:rFonts w:eastAsia="Calibri"/>
                          <w:color w:val="000000"/>
                          <w:szCs w:val="24"/>
                        </w:rPr>
                        <w:t>4</w:t>
                      </w:r>
                    </w:sdtContent>
                  </w:sdt>
                  <w:r>
                    <w:rPr>
                      <w:rFonts w:eastAsia="Calibri"/>
                      <w:color w:val="000000"/>
                      <w:szCs w:val="24"/>
                    </w:rPr>
                    <w:t xml:space="preserve">. Nacionalinės darbotvarkės projekto derinimo pažyma, </w:t>
                  </w:r>
                  <w:r>
                    <w:rPr>
                      <w:rFonts w:eastAsia="Calibri"/>
                      <w:szCs w:val="24"/>
                    </w:rPr>
                    <w:t>3 lapai.</w:t>
                  </w:r>
                </w:p>
              </w:sdtContent>
            </w:sdt>
            <w:sdt>
              <w:sdtPr>
                <w:alias w:val="5 p."/>
                <w:tag w:val="part_54acaee339934cabbeff114219250154"/>
                <w:lock w:val="sdtLocked"/>
                <w:richText/>
              </w:sdtPr>
              <w:sdtContent>
                <w:p>
                  <w:pPr>
                    <w:ind w:firstLine="851"/>
                    <w:jc w:val="both"/>
                    <w:rPr>
                      <w:rFonts w:eastAsia="Calibri"/>
                      <w:color w:val="000000"/>
                      <w:szCs w:val="24"/>
                    </w:rPr>
                  </w:pPr>
                  <w:sdt>
                    <w:sdtPr>
                      <w:alias w:val="Numeris"/>
                      <w:tag w:val="nr_54acaee339934cabbeff114219250154"/>
                      <w:lock w:val="sdtLocked"/>
                      <w:richText/>
                    </w:sdtPr>
                    <w:sdtContent>
                      <w:r>
                        <w:rPr>
                          <w:rFonts w:eastAsia="Calibri"/>
                          <w:color w:val="000000"/>
                          <w:szCs w:val="24"/>
                        </w:rPr>
                        <w:t>5</w:t>
                      </w:r>
                    </w:sdtContent>
                  </w:sdt>
                  <w:r>
                    <w:rPr>
                      <w:rFonts w:eastAsia="Calibri"/>
                      <w:color w:val="000000"/>
                      <w:szCs w:val="24"/>
                    </w:rPr>
                    <w:t xml:space="preserve">. Institucijų derinimo </w:t>
                  </w:r>
                  <w:r>
                    <w:rPr>
                      <w:rFonts w:eastAsia="Calibri"/>
                      <w:szCs w:val="24"/>
                    </w:rPr>
                    <w:t>raštai, 67 lapai.</w:t>
                  </w:r>
                </w:p>
              </w:sdtContent>
            </w:sdt>
            <w:sdt>
              <w:sdtPr>
                <w:alias w:val="6 p."/>
                <w:tag w:val="part_72b83067a8cb4306b2142a312fba0c6b"/>
                <w:lock w:val="sdtLocked"/>
                <w:richText/>
              </w:sdtPr>
              <w:sdtContent>
                <w:p>
                  <w:pPr>
                    <w:ind w:firstLine="851"/>
                    <w:jc w:val="both"/>
                    <w:rPr>
                      <w:rFonts w:eastAsia="Calibri"/>
                      <w:color w:val="000000"/>
                      <w:szCs w:val="24"/>
                    </w:rPr>
                  </w:pPr>
                  <w:sdt>
                    <w:sdtPr>
                      <w:alias w:val="Numeris"/>
                      <w:tag w:val="nr_72b83067a8cb4306b2142a312fba0c6b"/>
                      <w:lock w:val="sdtLocked"/>
                      <w:richText/>
                    </w:sdtPr>
                    <w:sdtContent>
                      <w:r>
                        <w:rPr>
                          <w:rFonts w:eastAsia="Calibri"/>
                          <w:color w:val="000000"/>
                          <w:szCs w:val="24"/>
                        </w:rPr>
                        <w:t>6</w:t>
                      </w:r>
                    </w:sdtContent>
                  </w:sdt>
                  <w:r>
                    <w:rPr>
                      <w:rFonts w:eastAsia="Calibri"/>
                      <w:color w:val="000000"/>
                      <w:szCs w:val="24"/>
                    </w:rPr>
                    <w:t>. Nacionalinės darbotvarkės projekto antikorupcinio vertinimo pažyma, 4 lapai.</w:t>
                  </w:r>
                </w:p>
                <w:p>
                  <w:pPr>
                    <w:jc w:val="both"/>
                    <w:rPr>
                      <w:szCs w:val="24"/>
                    </w:rPr>
                  </w:pPr>
                </w:p>
                <w:p>
                  <w:pPr>
                    <w:tabs>
                      <w:tab w:val="left" w:pos="8364"/>
                      <w:tab w:val="right" w:pos="9498"/>
                    </w:tabs>
                    <w:ind w:left="-425" w:firstLine="425"/>
                    <w:jc w:val="both"/>
                    <w:rPr>
                      <w:szCs w:val="24"/>
                    </w:rPr>
                  </w:pPr>
                </w:p>
                <w:p>
                  <w:pPr>
                    <w:tabs>
                      <w:tab w:val="left" w:pos="8364"/>
                      <w:tab w:val="right" w:pos="9498"/>
                    </w:tabs>
                    <w:ind w:left="-425" w:firstLine="425"/>
                    <w:jc w:val="both"/>
                    <w:rPr>
                      <w:szCs w:val="24"/>
                    </w:rPr>
                  </w:pPr>
                </w:p>
              </w:sdtContent>
            </w:sdt>
          </w:sdtContent>
        </w:sdt>
        <w:sdt>
          <w:sdtPr>
            <w:alias w:val="signatura"/>
            <w:tag w:val="part_2acb71f244f74352a3ef85c7ca62d412"/>
            <w:lock w:val="sdtLocked"/>
            <w:richText/>
          </w:sdtPr>
          <w:sdtContent>
            <w:p>
              <w:pPr>
                <w:tabs>
                  <w:tab w:val="left" w:pos="8222"/>
                  <w:tab w:val="right" w:pos="9498"/>
                </w:tabs>
                <w:ind w:left="-425" w:firstLine="425"/>
                <w:jc w:val="both"/>
                <w:rPr>
                  <w:szCs w:val="24"/>
                </w:rPr>
              </w:pPr>
              <w:r>
                <w:rPr>
                  <w:szCs w:val="24"/>
                </w:rPr>
                <w:t xml:space="preserve">Sveikatos apsaugos ministras </w:t>
                <w:tab/>
                <w:t>Arūnas Dulkys</w:t>
              </w:r>
            </w:p>
            <w:p>
              <w:pPr>
                <w:tabs>
                  <w:tab w:val="left" w:pos="9356"/>
                  <w:tab w:val="right" w:pos="9498"/>
                </w:tabs>
                <w:jc w:val="both"/>
                <w:rPr>
                  <w:szCs w:val="24"/>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jc w:val="both"/>
                <w:rPr>
                  <w:sz w:val="20"/>
                </w:rPr>
              </w:pPr>
            </w:p>
            <w:p>
              <w:pPr>
                <w:tabs>
                  <w:tab w:val="left" w:pos="9356"/>
                  <w:tab w:val="right" w:pos="9498"/>
                </w:tabs>
                <w:ind w:firstLine="10098"/>
                <w:jc w:val="both"/>
                <w:rPr>
                  <w:sz w:val="20"/>
                </w:rPr>
              </w:pP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6" w:h="16838" w:code="9"/>
      <w:pgMar w:top="993" w:right="991" w:bottom="1560" w:left="1134" w:header="706" w:footer="408"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9356"/>
        <w:tab w:val="right" w:pos="9498"/>
      </w:tabs>
      <w:rPr>
        <w:sz w:val="22"/>
        <w:szCs w:val="22"/>
      </w:rPr>
    </w:pPr>
    <w:r>
      <w:rPr>
        <w:szCs w:val="24"/>
        <w:lang w:eastAsia="lt-LT"/>
      </w:rPr>
      <w:t xml:space="preserve">                                                                                                       </w:t>
    </w:r>
  </w:p>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rPr>
          <w:sz w:val="20"/>
          <w:lang w:val="en-US"/>
        </w:rPr>
      </w:pPr>
      <w:r>
        <w:rPr>
          <w:sz w:val="20"/>
          <w:vertAlign w:val="superscript"/>
        </w:rPr>
        <w:footnoteRef/>
      </w:r>
      <w:r>
        <w:rPr>
          <w:sz w:val="20"/>
        </w:rPr>
        <w:t xml:space="preserve"> </w:t>
      </w:r>
      <w:r>
        <w:rPr>
          <w:sz w:val="20"/>
          <w:lang w:val="en-US"/>
        </w:rPr>
        <w:t xml:space="preserve">Teisės, sveikatos ir socialinės sistemų, susijusių su narkotikų politika Lietuvoje, analizė, 2018 m.: </w:t>
      </w:r>
      <w:r>
        <w:rPr>
          <w:sz w:val="20"/>
          <w:lang w:val="en-US"/>
        </w:rPr>
        <w:t>https://ntakd.lrv.lt/uploads/ntakd/documents/files/Analize_final.pdf</w:t>
      </w:r>
      <w:r>
        <w:rPr>
          <w:sz w:val="20"/>
          <w:lang w:val="en-US"/>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x-none" w:eastAsia="x-none"/>
      </w:rPr>
    </w:pPr>
    <w:r>
      <w:rPr>
        <w:szCs w:val="24"/>
        <w:lang w:val="x-none" w:eastAsia="x-none"/>
      </w:rPr>
      <w:fldChar w:fldCharType="begin"/>
    </w:r>
    <w:r>
      <w:rPr>
        <w:szCs w:val="24"/>
        <w:lang w:val="x-none" w:eastAsia="x-none"/>
      </w:rPr>
      <w:instrText xml:space="preserve">PAGE  </w:instrText>
    </w:r>
    <w:r>
      <w:rPr>
        <w:szCs w:val="24"/>
        <w:lang w:val="x-none" w:eastAsia="x-none"/>
      </w:rPr>
      <w:fldChar w:fldCharType="end"/>
    </w:r>
  </w:p>
  <w:p>
    <w:pPr>
      <w:tabs>
        <w:tab w:val="center" w:pos="4153"/>
        <w:tab w:val="right" w:pos="8306"/>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lang w:val="x-none" w:eastAsia="x-none"/>
      </w:rPr>
    </w:pPr>
    <w:r>
      <w:rPr>
        <w:szCs w:val="24"/>
        <w:lang w:val="x-none" w:eastAsia="x-none"/>
      </w:rPr>
      <w:fldChar w:fldCharType="begin"/>
    </w:r>
    <w:r>
      <w:rPr>
        <w:szCs w:val="24"/>
        <w:lang w:val="x-none" w:eastAsia="x-none"/>
      </w:rPr>
      <w:instrText xml:space="preserve">PAGE  </w:instrText>
    </w:r>
    <w:r>
      <w:rPr>
        <w:szCs w:val="24"/>
        <w:lang w:val="x-none" w:eastAsia="x-none"/>
      </w:rPr>
      <w:fldChar w:fldCharType="separate"/>
    </w:r>
    <w:r>
      <w:rPr>
        <w:szCs w:val="24"/>
        <w:lang w:val="x-none" w:eastAsia="x-none"/>
      </w:rPr>
      <w:t>2</w:t>
    </w:r>
    <w:r>
      <w:rPr>
        <w:szCs w:val="24"/>
        <w:lang w:val="x-none" w:eastAsia="x-none"/>
      </w:rPr>
      <w:fldChar w:fldCharType="end"/>
    </w:r>
  </w:p>
  <w:p>
    <w:pPr>
      <w:tabs>
        <w:tab w:val="center" w:pos="4153"/>
        <w:tab w:val="right" w:pos="8306"/>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17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5:chartTrackingRefBased/>
  <w15:docId w15:val="{B3C1395C-C1A7-4765-A953-35FAB0773A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3525906">
      <w:bodyDiv w:val="1"/>
      <w:marLeft w:val="0"/>
      <w:marRight w:val="0"/>
      <w:marTop w:val="0"/>
      <w:marBottom w:val="0"/>
      <w:divBdr>
        <w:top w:val="none" w:sz="0" w:space="0" w:color="auto"/>
        <w:left w:val="none" w:sz="0" w:space="0" w:color="auto"/>
        <w:bottom w:val="none" w:sz="0" w:space="0" w:color="auto"/>
        <w:right w:val="none" w:sz="0" w:space="0" w:color="auto"/>
      </w:divBdr>
    </w:div>
    <w:div w:id="160169998">
      <w:bodyDiv w:val="1"/>
      <w:marLeft w:val="0"/>
      <w:marRight w:val="0"/>
      <w:marTop w:val="0"/>
      <w:marBottom w:val="0"/>
      <w:divBdr>
        <w:top w:val="none" w:sz="0" w:space="0" w:color="auto"/>
        <w:left w:val="none" w:sz="0" w:space="0" w:color="auto"/>
        <w:bottom w:val="none" w:sz="0" w:space="0" w:color="auto"/>
        <w:right w:val="none" w:sz="0" w:space="0" w:color="auto"/>
      </w:divBdr>
      <w:divsChild>
        <w:div w:id="107429496">
          <w:marLeft w:val="0"/>
          <w:marRight w:val="0"/>
          <w:marTop w:val="0"/>
          <w:marBottom w:val="0"/>
          <w:divBdr>
            <w:top w:val="none" w:sz="0" w:space="0" w:color="auto"/>
            <w:left w:val="none" w:sz="0" w:space="0" w:color="auto"/>
            <w:bottom w:val="none" w:sz="0" w:space="0" w:color="auto"/>
            <w:right w:val="none" w:sz="0" w:space="0" w:color="auto"/>
          </w:divBdr>
          <w:divsChild>
            <w:div w:id="437212359">
              <w:marLeft w:val="0"/>
              <w:marRight w:val="0"/>
              <w:marTop w:val="0"/>
              <w:marBottom w:val="0"/>
              <w:divBdr>
                <w:top w:val="none" w:sz="0" w:space="0" w:color="auto"/>
                <w:left w:val="none" w:sz="0" w:space="0" w:color="auto"/>
                <w:bottom w:val="none" w:sz="0" w:space="0" w:color="auto"/>
                <w:right w:val="none" w:sz="0" w:space="0" w:color="auto"/>
              </w:divBdr>
              <w:divsChild>
                <w:div w:id="1194536700">
                  <w:marLeft w:val="0"/>
                  <w:marRight w:val="0"/>
                  <w:marTop w:val="0"/>
                  <w:marBottom w:val="0"/>
                  <w:divBdr>
                    <w:top w:val="none" w:sz="0" w:space="0" w:color="auto"/>
                    <w:left w:val="none" w:sz="0" w:space="0" w:color="auto"/>
                    <w:bottom w:val="none" w:sz="0" w:space="0" w:color="auto"/>
                    <w:right w:val="none" w:sz="0" w:space="0" w:color="auto"/>
                  </w:divBdr>
                  <w:divsChild>
                    <w:div w:id="624584813">
                      <w:marLeft w:val="0"/>
                      <w:marRight w:val="0"/>
                      <w:marTop w:val="0"/>
                      <w:marBottom w:val="0"/>
                      <w:divBdr>
                        <w:top w:val="none" w:sz="0" w:space="0" w:color="auto"/>
                        <w:left w:val="none" w:sz="0" w:space="0" w:color="auto"/>
                        <w:bottom w:val="none" w:sz="0" w:space="0" w:color="auto"/>
                        <w:right w:val="none" w:sz="0" w:space="0" w:color="auto"/>
                      </w:divBdr>
                      <w:divsChild>
                        <w:div w:id="480392764">
                          <w:marLeft w:val="0"/>
                          <w:marRight w:val="0"/>
                          <w:marTop w:val="15"/>
                          <w:marBottom w:val="0"/>
                          <w:divBdr>
                            <w:top w:val="none" w:sz="0" w:space="0" w:color="auto"/>
                            <w:left w:val="none" w:sz="0" w:space="0" w:color="auto"/>
                            <w:bottom w:val="none" w:sz="0" w:space="0" w:color="auto"/>
                            <w:right w:val="none" w:sz="0" w:space="0" w:color="auto"/>
                          </w:divBdr>
                          <w:divsChild>
                            <w:div w:id="1289815862">
                              <w:marLeft w:val="0"/>
                              <w:marRight w:val="0"/>
                              <w:marTop w:val="0"/>
                              <w:marBottom w:val="0"/>
                              <w:divBdr>
                                <w:top w:val="none" w:sz="0" w:space="0" w:color="auto"/>
                                <w:left w:val="none" w:sz="0" w:space="0" w:color="auto"/>
                                <w:bottom w:val="none" w:sz="0" w:space="0" w:color="auto"/>
                                <w:right w:val="none" w:sz="0" w:space="0" w:color="auto"/>
                              </w:divBdr>
                              <w:divsChild>
                                <w:div w:id="15548328">
                                  <w:marLeft w:val="0"/>
                                  <w:marRight w:val="0"/>
                                  <w:marTop w:val="0"/>
                                  <w:marBottom w:val="0"/>
                                  <w:divBdr>
                                    <w:top w:val="none" w:sz="0" w:space="0" w:color="auto"/>
                                    <w:left w:val="none" w:sz="0" w:space="0" w:color="auto"/>
                                    <w:bottom w:val="none" w:sz="0" w:space="0" w:color="auto"/>
                                    <w:right w:val="none" w:sz="0" w:space="0" w:color="auto"/>
                                  </w:divBdr>
                                </w:div>
                                <w:div w:id="63068346">
                                  <w:marLeft w:val="0"/>
                                  <w:marRight w:val="0"/>
                                  <w:marTop w:val="0"/>
                                  <w:marBottom w:val="0"/>
                                  <w:divBdr>
                                    <w:top w:val="none" w:sz="0" w:space="0" w:color="auto"/>
                                    <w:left w:val="none" w:sz="0" w:space="0" w:color="auto"/>
                                    <w:bottom w:val="none" w:sz="0" w:space="0" w:color="auto"/>
                                    <w:right w:val="none" w:sz="0" w:space="0" w:color="auto"/>
                                  </w:divBdr>
                                </w:div>
                                <w:div w:id="86468768">
                                  <w:marLeft w:val="0"/>
                                  <w:marRight w:val="0"/>
                                  <w:marTop w:val="0"/>
                                  <w:marBottom w:val="0"/>
                                  <w:divBdr>
                                    <w:top w:val="none" w:sz="0" w:space="0" w:color="auto"/>
                                    <w:left w:val="none" w:sz="0" w:space="0" w:color="auto"/>
                                    <w:bottom w:val="none" w:sz="0" w:space="0" w:color="auto"/>
                                    <w:right w:val="none" w:sz="0" w:space="0" w:color="auto"/>
                                  </w:divBdr>
                                </w:div>
                                <w:div w:id="92283610">
                                  <w:marLeft w:val="0"/>
                                  <w:marRight w:val="0"/>
                                  <w:marTop w:val="0"/>
                                  <w:marBottom w:val="0"/>
                                  <w:divBdr>
                                    <w:top w:val="none" w:sz="0" w:space="0" w:color="auto"/>
                                    <w:left w:val="none" w:sz="0" w:space="0" w:color="auto"/>
                                    <w:bottom w:val="none" w:sz="0" w:space="0" w:color="auto"/>
                                    <w:right w:val="none" w:sz="0" w:space="0" w:color="auto"/>
                                  </w:divBdr>
                                </w:div>
                                <w:div w:id="96220958">
                                  <w:marLeft w:val="0"/>
                                  <w:marRight w:val="0"/>
                                  <w:marTop w:val="0"/>
                                  <w:marBottom w:val="0"/>
                                  <w:divBdr>
                                    <w:top w:val="none" w:sz="0" w:space="0" w:color="auto"/>
                                    <w:left w:val="none" w:sz="0" w:space="0" w:color="auto"/>
                                    <w:bottom w:val="none" w:sz="0" w:space="0" w:color="auto"/>
                                    <w:right w:val="none" w:sz="0" w:space="0" w:color="auto"/>
                                  </w:divBdr>
                                </w:div>
                                <w:div w:id="108361613">
                                  <w:marLeft w:val="0"/>
                                  <w:marRight w:val="0"/>
                                  <w:marTop w:val="0"/>
                                  <w:marBottom w:val="0"/>
                                  <w:divBdr>
                                    <w:top w:val="none" w:sz="0" w:space="0" w:color="auto"/>
                                    <w:left w:val="none" w:sz="0" w:space="0" w:color="auto"/>
                                    <w:bottom w:val="none" w:sz="0" w:space="0" w:color="auto"/>
                                    <w:right w:val="none" w:sz="0" w:space="0" w:color="auto"/>
                                  </w:divBdr>
                                </w:div>
                                <w:div w:id="173157237">
                                  <w:marLeft w:val="0"/>
                                  <w:marRight w:val="0"/>
                                  <w:marTop w:val="0"/>
                                  <w:marBottom w:val="0"/>
                                  <w:divBdr>
                                    <w:top w:val="none" w:sz="0" w:space="0" w:color="auto"/>
                                    <w:left w:val="none" w:sz="0" w:space="0" w:color="auto"/>
                                    <w:bottom w:val="none" w:sz="0" w:space="0" w:color="auto"/>
                                    <w:right w:val="none" w:sz="0" w:space="0" w:color="auto"/>
                                  </w:divBdr>
                                </w:div>
                                <w:div w:id="250282601">
                                  <w:marLeft w:val="0"/>
                                  <w:marRight w:val="0"/>
                                  <w:marTop w:val="0"/>
                                  <w:marBottom w:val="0"/>
                                  <w:divBdr>
                                    <w:top w:val="none" w:sz="0" w:space="0" w:color="auto"/>
                                    <w:left w:val="none" w:sz="0" w:space="0" w:color="auto"/>
                                    <w:bottom w:val="none" w:sz="0" w:space="0" w:color="auto"/>
                                    <w:right w:val="none" w:sz="0" w:space="0" w:color="auto"/>
                                  </w:divBdr>
                                </w:div>
                                <w:div w:id="265160600">
                                  <w:marLeft w:val="0"/>
                                  <w:marRight w:val="0"/>
                                  <w:marTop w:val="0"/>
                                  <w:marBottom w:val="0"/>
                                  <w:divBdr>
                                    <w:top w:val="none" w:sz="0" w:space="0" w:color="auto"/>
                                    <w:left w:val="none" w:sz="0" w:space="0" w:color="auto"/>
                                    <w:bottom w:val="none" w:sz="0" w:space="0" w:color="auto"/>
                                    <w:right w:val="none" w:sz="0" w:space="0" w:color="auto"/>
                                  </w:divBdr>
                                </w:div>
                                <w:div w:id="287324079">
                                  <w:marLeft w:val="0"/>
                                  <w:marRight w:val="0"/>
                                  <w:marTop w:val="0"/>
                                  <w:marBottom w:val="0"/>
                                  <w:divBdr>
                                    <w:top w:val="none" w:sz="0" w:space="0" w:color="auto"/>
                                    <w:left w:val="none" w:sz="0" w:space="0" w:color="auto"/>
                                    <w:bottom w:val="none" w:sz="0" w:space="0" w:color="auto"/>
                                    <w:right w:val="none" w:sz="0" w:space="0" w:color="auto"/>
                                  </w:divBdr>
                                </w:div>
                                <w:div w:id="321783916">
                                  <w:marLeft w:val="0"/>
                                  <w:marRight w:val="0"/>
                                  <w:marTop w:val="0"/>
                                  <w:marBottom w:val="0"/>
                                  <w:divBdr>
                                    <w:top w:val="none" w:sz="0" w:space="0" w:color="auto"/>
                                    <w:left w:val="none" w:sz="0" w:space="0" w:color="auto"/>
                                    <w:bottom w:val="none" w:sz="0" w:space="0" w:color="auto"/>
                                    <w:right w:val="none" w:sz="0" w:space="0" w:color="auto"/>
                                  </w:divBdr>
                                </w:div>
                                <w:div w:id="385447638">
                                  <w:marLeft w:val="0"/>
                                  <w:marRight w:val="0"/>
                                  <w:marTop w:val="0"/>
                                  <w:marBottom w:val="0"/>
                                  <w:divBdr>
                                    <w:top w:val="none" w:sz="0" w:space="0" w:color="auto"/>
                                    <w:left w:val="none" w:sz="0" w:space="0" w:color="auto"/>
                                    <w:bottom w:val="none" w:sz="0" w:space="0" w:color="auto"/>
                                    <w:right w:val="none" w:sz="0" w:space="0" w:color="auto"/>
                                  </w:divBdr>
                                </w:div>
                                <w:div w:id="405882637">
                                  <w:marLeft w:val="0"/>
                                  <w:marRight w:val="0"/>
                                  <w:marTop w:val="0"/>
                                  <w:marBottom w:val="0"/>
                                  <w:divBdr>
                                    <w:top w:val="none" w:sz="0" w:space="0" w:color="auto"/>
                                    <w:left w:val="none" w:sz="0" w:space="0" w:color="auto"/>
                                    <w:bottom w:val="none" w:sz="0" w:space="0" w:color="auto"/>
                                    <w:right w:val="none" w:sz="0" w:space="0" w:color="auto"/>
                                  </w:divBdr>
                                </w:div>
                                <w:div w:id="442960385">
                                  <w:marLeft w:val="0"/>
                                  <w:marRight w:val="0"/>
                                  <w:marTop w:val="0"/>
                                  <w:marBottom w:val="0"/>
                                  <w:divBdr>
                                    <w:top w:val="none" w:sz="0" w:space="0" w:color="auto"/>
                                    <w:left w:val="none" w:sz="0" w:space="0" w:color="auto"/>
                                    <w:bottom w:val="none" w:sz="0" w:space="0" w:color="auto"/>
                                    <w:right w:val="none" w:sz="0" w:space="0" w:color="auto"/>
                                  </w:divBdr>
                                </w:div>
                                <w:div w:id="452947816">
                                  <w:marLeft w:val="0"/>
                                  <w:marRight w:val="0"/>
                                  <w:marTop w:val="0"/>
                                  <w:marBottom w:val="0"/>
                                  <w:divBdr>
                                    <w:top w:val="none" w:sz="0" w:space="0" w:color="auto"/>
                                    <w:left w:val="none" w:sz="0" w:space="0" w:color="auto"/>
                                    <w:bottom w:val="none" w:sz="0" w:space="0" w:color="auto"/>
                                    <w:right w:val="none" w:sz="0" w:space="0" w:color="auto"/>
                                  </w:divBdr>
                                </w:div>
                                <w:div w:id="460270039">
                                  <w:marLeft w:val="0"/>
                                  <w:marRight w:val="0"/>
                                  <w:marTop w:val="0"/>
                                  <w:marBottom w:val="0"/>
                                  <w:divBdr>
                                    <w:top w:val="none" w:sz="0" w:space="0" w:color="auto"/>
                                    <w:left w:val="none" w:sz="0" w:space="0" w:color="auto"/>
                                    <w:bottom w:val="none" w:sz="0" w:space="0" w:color="auto"/>
                                    <w:right w:val="none" w:sz="0" w:space="0" w:color="auto"/>
                                  </w:divBdr>
                                </w:div>
                                <w:div w:id="515080084">
                                  <w:marLeft w:val="0"/>
                                  <w:marRight w:val="0"/>
                                  <w:marTop w:val="0"/>
                                  <w:marBottom w:val="0"/>
                                  <w:divBdr>
                                    <w:top w:val="none" w:sz="0" w:space="0" w:color="auto"/>
                                    <w:left w:val="none" w:sz="0" w:space="0" w:color="auto"/>
                                    <w:bottom w:val="none" w:sz="0" w:space="0" w:color="auto"/>
                                    <w:right w:val="none" w:sz="0" w:space="0" w:color="auto"/>
                                  </w:divBdr>
                                </w:div>
                                <w:div w:id="623736126">
                                  <w:marLeft w:val="0"/>
                                  <w:marRight w:val="0"/>
                                  <w:marTop w:val="0"/>
                                  <w:marBottom w:val="0"/>
                                  <w:divBdr>
                                    <w:top w:val="none" w:sz="0" w:space="0" w:color="auto"/>
                                    <w:left w:val="none" w:sz="0" w:space="0" w:color="auto"/>
                                    <w:bottom w:val="none" w:sz="0" w:space="0" w:color="auto"/>
                                    <w:right w:val="none" w:sz="0" w:space="0" w:color="auto"/>
                                  </w:divBdr>
                                </w:div>
                                <w:div w:id="628516480">
                                  <w:marLeft w:val="0"/>
                                  <w:marRight w:val="0"/>
                                  <w:marTop w:val="0"/>
                                  <w:marBottom w:val="0"/>
                                  <w:divBdr>
                                    <w:top w:val="none" w:sz="0" w:space="0" w:color="auto"/>
                                    <w:left w:val="none" w:sz="0" w:space="0" w:color="auto"/>
                                    <w:bottom w:val="none" w:sz="0" w:space="0" w:color="auto"/>
                                    <w:right w:val="none" w:sz="0" w:space="0" w:color="auto"/>
                                  </w:divBdr>
                                </w:div>
                                <w:div w:id="672612592">
                                  <w:marLeft w:val="0"/>
                                  <w:marRight w:val="0"/>
                                  <w:marTop w:val="0"/>
                                  <w:marBottom w:val="0"/>
                                  <w:divBdr>
                                    <w:top w:val="none" w:sz="0" w:space="0" w:color="auto"/>
                                    <w:left w:val="none" w:sz="0" w:space="0" w:color="auto"/>
                                    <w:bottom w:val="none" w:sz="0" w:space="0" w:color="auto"/>
                                    <w:right w:val="none" w:sz="0" w:space="0" w:color="auto"/>
                                  </w:divBdr>
                                </w:div>
                                <w:div w:id="681662616">
                                  <w:marLeft w:val="0"/>
                                  <w:marRight w:val="0"/>
                                  <w:marTop w:val="0"/>
                                  <w:marBottom w:val="0"/>
                                  <w:divBdr>
                                    <w:top w:val="none" w:sz="0" w:space="0" w:color="auto"/>
                                    <w:left w:val="none" w:sz="0" w:space="0" w:color="auto"/>
                                    <w:bottom w:val="none" w:sz="0" w:space="0" w:color="auto"/>
                                    <w:right w:val="none" w:sz="0" w:space="0" w:color="auto"/>
                                  </w:divBdr>
                                </w:div>
                                <w:div w:id="684476753">
                                  <w:marLeft w:val="0"/>
                                  <w:marRight w:val="0"/>
                                  <w:marTop w:val="0"/>
                                  <w:marBottom w:val="0"/>
                                  <w:divBdr>
                                    <w:top w:val="none" w:sz="0" w:space="0" w:color="auto"/>
                                    <w:left w:val="none" w:sz="0" w:space="0" w:color="auto"/>
                                    <w:bottom w:val="none" w:sz="0" w:space="0" w:color="auto"/>
                                    <w:right w:val="none" w:sz="0" w:space="0" w:color="auto"/>
                                  </w:divBdr>
                                </w:div>
                                <w:div w:id="741872725">
                                  <w:marLeft w:val="0"/>
                                  <w:marRight w:val="0"/>
                                  <w:marTop w:val="0"/>
                                  <w:marBottom w:val="0"/>
                                  <w:divBdr>
                                    <w:top w:val="none" w:sz="0" w:space="0" w:color="auto"/>
                                    <w:left w:val="none" w:sz="0" w:space="0" w:color="auto"/>
                                    <w:bottom w:val="none" w:sz="0" w:space="0" w:color="auto"/>
                                    <w:right w:val="none" w:sz="0" w:space="0" w:color="auto"/>
                                  </w:divBdr>
                                </w:div>
                                <w:div w:id="838891425">
                                  <w:marLeft w:val="0"/>
                                  <w:marRight w:val="0"/>
                                  <w:marTop w:val="0"/>
                                  <w:marBottom w:val="0"/>
                                  <w:divBdr>
                                    <w:top w:val="none" w:sz="0" w:space="0" w:color="auto"/>
                                    <w:left w:val="none" w:sz="0" w:space="0" w:color="auto"/>
                                    <w:bottom w:val="none" w:sz="0" w:space="0" w:color="auto"/>
                                    <w:right w:val="none" w:sz="0" w:space="0" w:color="auto"/>
                                  </w:divBdr>
                                </w:div>
                                <w:div w:id="916548892">
                                  <w:marLeft w:val="0"/>
                                  <w:marRight w:val="0"/>
                                  <w:marTop w:val="0"/>
                                  <w:marBottom w:val="0"/>
                                  <w:divBdr>
                                    <w:top w:val="none" w:sz="0" w:space="0" w:color="auto"/>
                                    <w:left w:val="none" w:sz="0" w:space="0" w:color="auto"/>
                                    <w:bottom w:val="none" w:sz="0" w:space="0" w:color="auto"/>
                                    <w:right w:val="none" w:sz="0" w:space="0" w:color="auto"/>
                                  </w:divBdr>
                                </w:div>
                                <w:div w:id="966930810">
                                  <w:marLeft w:val="0"/>
                                  <w:marRight w:val="0"/>
                                  <w:marTop w:val="0"/>
                                  <w:marBottom w:val="0"/>
                                  <w:divBdr>
                                    <w:top w:val="none" w:sz="0" w:space="0" w:color="auto"/>
                                    <w:left w:val="none" w:sz="0" w:space="0" w:color="auto"/>
                                    <w:bottom w:val="none" w:sz="0" w:space="0" w:color="auto"/>
                                    <w:right w:val="none" w:sz="0" w:space="0" w:color="auto"/>
                                  </w:divBdr>
                                </w:div>
                                <w:div w:id="976448669">
                                  <w:marLeft w:val="0"/>
                                  <w:marRight w:val="0"/>
                                  <w:marTop w:val="0"/>
                                  <w:marBottom w:val="0"/>
                                  <w:divBdr>
                                    <w:top w:val="none" w:sz="0" w:space="0" w:color="auto"/>
                                    <w:left w:val="none" w:sz="0" w:space="0" w:color="auto"/>
                                    <w:bottom w:val="none" w:sz="0" w:space="0" w:color="auto"/>
                                    <w:right w:val="none" w:sz="0" w:space="0" w:color="auto"/>
                                  </w:divBdr>
                                </w:div>
                                <w:div w:id="1040976340">
                                  <w:marLeft w:val="0"/>
                                  <w:marRight w:val="0"/>
                                  <w:marTop w:val="0"/>
                                  <w:marBottom w:val="0"/>
                                  <w:divBdr>
                                    <w:top w:val="none" w:sz="0" w:space="0" w:color="auto"/>
                                    <w:left w:val="none" w:sz="0" w:space="0" w:color="auto"/>
                                    <w:bottom w:val="none" w:sz="0" w:space="0" w:color="auto"/>
                                    <w:right w:val="none" w:sz="0" w:space="0" w:color="auto"/>
                                  </w:divBdr>
                                </w:div>
                                <w:div w:id="1053307380">
                                  <w:marLeft w:val="0"/>
                                  <w:marRight w:val="0"/>
                                  <w:marTop w:val="0"/>
                                  <w:marBottom w:val="0"/>
                                  <w:divBdr>
                                    <w:top w:val="none" w:sz="0" w:space="0" w:color="auto"/>
                                    <w:left w:val="none" w:sz="0" w:space="0" w:color="auto"/>
                                    <w:bottom w:val="none" w:sz="0" w:space="0" w:color="auto"/>
                                    <w:right w:val="none" w:sz="0" w:space="0" w:color="auto"/>
                                  </w:divBdr>
                                </w:div>
                                <w:div w:id="1110011632">
                                  <w:marLeft w:val="0"/>
                                  <w:marRight w:val="0"/>
                                  <w:marTop w:val="0"/>
                                  <w:marBottom w:val="0"/>
                                  <w:divBdr>
                                    <w:top w:val="none" w:sz="0" w:space="0" w:color="auto"/>
                                    <w:left w:val="none" w:sz="0" w:space="0" w:color="auto"/>
                                    <w:bottom w:val="none" w:sz="0" w:space="0" w:color="auto"/>
                                    <w:right w:val="none" w:sz="0" w:space="0" w:color="auto"/>
                                  </w:divBdr>
                                </w:div>
                                <w:div w:id="1136874657">
                                  <w:marLeft w:val="0"/>
                                  <w:marRight w:val="0"/>
                                  <w:marTop w:val="0"/>
                                  <w:marBottom w:val="0"/>
                                  <w:divBdr>
                                    <w:top w:val="none" w:sz="0" w:space="0" w:color="auto"/>
                                    <w:left w:val="none" w:sz="0" w:space="0" w:color="auto"/>
                                    <w:bottom w:val="none" w:sz="0" w:space="0" w:color="auto"/>
                                    <w:right w:val="none" w:sz="0" w:space="0" w:color="auto"/>
                                  </w:divBdr>
                                </w:div>
                                <w:div w:id="1210804239">
                                  <w:marLeft w:val="0"/>
                                  <w:marRight w:val="0"/>
                                  <w:marTop w:val="0"/>
                                  <w:marBottom w:val="0"/>
                                  <w:divBdr>
                                    <w:top w:val="none" w:sz="0" w:space="0" w:color="auto"/>
                                    <w:left w:val="none" w:sz="0" w:space="0" w:color="auto"/>
                                    <w:bottom w:val="none" w:sz="0" w:space="0" w:color="auto"/>
                                    <w:right w:val="none" w:sz="0" w:space="0" w:color="auto"/>
                                  </w:divBdr>
                                </w:div>
                                <w:div w:id="1268734248">
                                  <w:marLeft w:val="0"/>
                                  <w:marRight w:val="0"/>
                                  <w:marTop w:val="0"/>
                                  <w:marBottom w:val="0"/>
                                  <w:divBdr>
                                    <w:top w:val="none" w:sz="0" w:space="0" w:color="auto"/>
                                    <w:left w:val="none" w:sz="0" w:space="0" w:color="auto"/>
                                    <w:bottom w:val="none" w:sz="0" w:space="0" w:color="auto"/>
                                    <w:right w:val="none" w:sz="0" w:space="0" w:color="auto"/>
                                  </w:divBdr>
                                </w:div>
                                <w:div w:id="1319263460">
                                  <w:marLeft w:val="0"/>
                                  <w:marRight w:val="0"/>
                                  <w:marTop w:val="0"/>
                                  <w:marBottom w:val="0"/>
                                  <w:divBdr>
                                    <w:top w:val="none" w:sz="0" w:space="0" w:color="auto"/>
                                    <w:left w:val="none" w:sz="0" w:space="0" w:color="auto"/>
                                    <w:bottom w:val="none" w:sz="0" w:space="0" w:color="auto"/>
                                    <w:right w:val="none" w:sz="0" w:space="0" w:color="auto"/>
                                  </w:divBdr>
                                </w:div>
                                <w:div w:id="1364090361">
                                  <w:marLeft w:val="0"/>
                                  <w:marRight w:val="0"/>
                                  <w:marTop w:val="0"/>
                                  <w:marBottom w:val="0"/>
                                  <w:divBdr>
                                    <w:top w:val="none" w:sz="0" w:space="0" w:color="auto"/>
                                    <w:left w:val="none" w:sz="0" w:space="0" w:color="auto"/>
                                    <w:bottom w:val="none" w:sz="0" w:space="0" w:color="auto"/>
                                    <w:right w:val="none" w:sz="0" w:space="0" w:color="auto"/>
                                  </w:divBdr>
                                </w:div>
                                <w:div w:id="1366562533">
                                  <w:marLeft w:val="0"/>
                                  <w:marRight w:val="0"/>
                                  <w:marTop w:val="0"/>
                                  <w:marBottom w:val="0"/>
                                  <w:divBdr>
                                    <w:top w:val="none" w:sz="0" w:space="0" w:color="auto"/>
                                    <w:left w:val="none" w:sz="0" w:space="0" w:color="auto"/>
                                    <w:bottom w:val="none" w:sz="0" w:space="0" w:color="auto"/>
                                    <w:right w:val="none" w:sz="0" w:space="0" w:color="auto"/>
                                  </w:divBdr>
                                </w:div>
                                <w:div w:id="1372609932">
                                  <w:marLeft w:val="0"/>
                                  <w:marRight w:val="0"/>
                                  <w:marTop w:val="0"/>
                                  <w:marBottom w:val="0"/>
                                  <w:divBdr>
                                    <w:top w:val="none" w:sz="0" w:space="0" w:color="auto"/>
                                    <w:left w:val="none" w:sz="0" w:space="0" w:color="auto"/>
                                    <w:bottom w:val="none" w:sz="0" w:space="0" w:color="auto"/>
                                    <w:right w:val="none" w:sz="0" w:space="0" w:color="auto"/>
                                  </w:divBdr>
                                </w:div>
                                <w:div w:id="1382511042">
                                  <w:marLeft w:val="0"/>
                                  <w:marRight w:val="0"/>
                                  <w:marTop w:val="0"/>
                                  <w:marBottom w:val="0"/>
                                  <w:divBdr>
                                    <w:top w:val="none" w:sz="0" w:space="0" w:color="auto"/>
                                    <w:left w:val="none" w:sz="0" w:space="0" w:color="auto"/>
                                    <w:bottom w:val="none" w:sz="0" w:space="0" w:color="auto"/>
                                    <w:right w:val="none" w:sz="0" w:space="0" w:color="auto"/>
                                  </w:divBdr>
                                </w:div>
                                <w:div w:id="1425492727">
                                  <w:marLeft w:val="0"/>
                                  <w:marRight w:val="0"/>
                                  <w:marTop w:val="0"/>
                                  <w:marBottom w:val="0"/>
                                  <w:divBdr>
                                    <w:top w:val="none" w:sz="0" w:space="0" w:color="auto"/>
                                    <w:left w:val="none" w:sz="0" w:space="0" w:color="auto"/>
                                    <w:bottom w:val="none" w:sz="0" w:space="0" w:color="auto"/>
                                    <w:right w:val="none" w:sz="0" w:space="0" w:color="auto"/>
                                  </w:divBdr>
                                </w:div>
                                <w:div w:id="1429693638">
                                  <w:marLeft w:val="0"/>
                                  <w:marRight w:val="0"/>
                                  <w:marTop w:val="0"/>
                                  <w:marBottom w:val="0"/>
                                  <w:divBdr>
                                    <w:top w:val="none" w:sz="0" w:space="0" w:color="auto"/>
                                    <w:left w:val="none" w:sz="0" w:space="0" w:color="auto"/>
                                    <w:bottom w:val="none" w:sz="0" w:space="0" w:color="auto"/>
                                    <w:right w:val="none" w:sz="0" w:space="0" w:color="auto"/>
                                  </w:divBdr>
                                </w:div>
                                <w:div w:id="1438254324">
                                  <w:marLeft w:val="0"/>
                                  <w:marRight w:val="0"/>
                                  <w:marTop w:val="0"/>
                                  <w:marBottom w:val="0"/>
                                  <w:divBdr>
                                    <w:top w:val="none" w:sz="0" w:space="0" w:color="auto"/>
                                    <w:left w:val="none" w:sz="0" w:space="0" w:color="auto"/>
                                    <w:bottom w:val="none" w:sz="0" w:space="0" w:color="auto"/>
                                    <w:right w:val="none" w:sz="0" w:space="0" w:color="auto"/>
                                  </w:divBdr>
                                </w:div>
                                <w:div w:id="1505705234">
                                  <w:marLeft w:val="0"/>
                                  <w:marRight w:val="0"/>
                                  <w:marTop w:val="0"/>
                                  <w:marBottom w:val="0"/>
                                  <w:divBdr>
                                    <w:top w:val="none" w:sz="0" w:space="0" w:color="auto"/>
                                    <w:left w:val="none" w:sz="0" w:space="0" w:color="auto"/>
                                    <w:bottom w:val="none" w:sz="0" w:space="0" w:color="auto"/>
                                    <w:right w:val="none" w:sz="0" w:space="0" w:color="auto"/>
                                  </w:divBdr>
                                </w:div>
                                <w:div w:id="1518227552">
                                  <w:marLeft w:val="0"/>
                                  <w:marRight w:val="0"/>
                                  <w:marTop w:val="0"/>
                                  <w:marBottom w:val="0"/>
                                  <w:divBdr>
                                    <w:top w:val="none" w:sz="0" w:space="0" w:color="auto"/>
                                    <w:left w:val="none" w:sz="0" w:space="0" w:color="auto"/>
                                    <w:bottom w:val="none" w:sz="0" w:space="0" w:color="auto"/>
                                    <w:right w:val="none" w:sz="0" w:space="0" w:color="auto"/>
                                  </w:divBdr>
                                </w:div>
                                <w:div w:id="1653291096">
                                  <w:marLeft w:val="0"/>
                                  <w:marRight w:val="0"/>
                                  <w:marTop w:val="0"/>
                                  <w:marBottom w:val="0"/>
                                  <w:divBdr>
                                    <w:top w:val="none" w:sz="0" w:space="0" w:color="auto"/>
                                    <w:left w:val="none" w:sz="0" w:space="0" w:color="auto"/>
                                    <w:bottom w:val="none" w:sz="0" w:space="0" w:color="auto"/>
                                    <w:right w:val="none" w:sz="0" w:space="0" w:color="auto"/>
                                  </w:divBdr>
                                </w:div>
                                <w:div w:id="1668634931">
                                  <w:marLeft w:val="0"/>
                                  <w:marRight w:val="0"/>
                                  <w:marTop w:val="0"/>
                                  <w:marBottom w:val="0"/>
                                  <w:divBdr>
                                    <w:top w:val="none" w:sz="0" w:space="0" w:color="auto"/>
                                    <w:left w:val="none" w:sz="0" w:space="0" w:color="auto"/>
                                    <w:bottom w:val="none" w:sz="0" w:space="0" w:color="auto"/>
                                    <w:right w:val="none" w:sz="0" w:space="0" w:color="auto"/>
                                  </w:divBdr>
                                </w:div>
                                <w:div w:id="1674991593">
                                  <w:marLeft w:val="0"/>
                                  <w:marRight w:val="0"/>
                                  <w:marTop w:val="0"/>
                                  <w:marBottom w:val="0"/>
                                  <w:divBdr>
                                    <w:top w:val="none" w:sz="0" w:space="0" w:color="auto"/>
                                    <w:left w:val="none" w:sz="0" w:space="0" w:color="auto"/>
                                    <w:bottom w:val="none" w:sz="0" w:space="0" w:color="auto"/>
                                    <w:right w:val="none" w:sz="0" w:space="0" w:color="auto"/>
                                  </w:divBdr>
                                </w:div>
                                <w:div w:id="1788810552">
                                  <w:marLeft w:val="0"/>
                                  <w:marRight w:val="0"/>
                                  <w:marTop w:val="0"/>
                                  <w:marBottom w:val="0"/>
                                  <w:divBdr>
                                    <w:top w:val="none" w:sz="0" w:space="0" w:color="auto"/>
                                    <w:left w:val="none" w:sz="0" w:space="0" w:color="auto"/>
                                    <w:bottom w:val="none" w:sz="0" w:space="0" w:color="auto"/>
                                    <w:right w:val="none" w:sz="0" w:space="0" w:color="auto"/>
                                  </w:divBdr>
                                </w:div>
                                <w:div w:id="1792743523">
                                  <w:marLeft w:val="0"/>
                                  <w:marRight w:val="0"/>
                                  <w:marTop w:val="0"/>
                                  <w:marBottom w:val="0"/>
                                  <w:divBdr>
                                    <w:top w:val="none" w:sz="0" w:space="0" w:color="auto"/>
                                    <w:left w:val="none" w:sz="0" w:space="0" w:color="auto"/>
                                    <w:bottom w:val="none" w:sz="0" w:space="0" w:color="auto"/>
                                    <w:right w:val="none" w:sz="0" w:space="0" w:color="auto"/>
                                  </w:divBdr>
                                </w:div>
                                <w:div w:id="1853376312">
                                  <w:marLeft w:val="0"/>
                                  <w:marRight w:val="0"/>
                                  <w:marTop w:val="0"/>
                                  <w:marBottom w:val="0"/>
                                  <w:divBdr>
                                    <w:top w:val="none" w:sz="0" w:space="0" w:color="auto"/>
                                    <w:left w:val="none" w:sz="0" w:space="0" w:color="auto"/>
                                    <w:bottom w:val="none" w:sz="0" w:space="0" w:color="auto"/>
                                    <w:right w:val="none" w:sz="0" w:space="0" w:color="auto"/>
                                  </w:divBdr>
                                </w:div>
                                <w:div w:id="1860119410">
                                  <w:marLeft w:val="0"/>
                                  <w:marRight w:val="0"/>
                                  <w:marTop w:val="0"/>
                                  <w:marBottom w:val="0"/>
                                  <w:divBdr>
                                    <w:top w:val="none" w:sz="0" w:space="0" w:color="auto"/>
                                    <w:left w:val="none" w:sz="0" w:space="0" w:color="auto"/>
                                    <w:bottom w:val="none" w:sz="0" w:space="0" w:color="auto"/>
                                    <w:right w:val="none" w:sz="0" w:space="0" w:color="auto"/>
                                  </w:divBdr>
                                </w:div>
                                <w:div w:id="1978296473">
                                  <w:marLeft w:val="0"/>
                                  <w:marRight w:val="0"/>
                                  <w:marTop w:val="0"/>
                                  <w:marBottom w:val="0"/>
                                  <w:divBdr>
                                    <w:top w:val="none" w:sz="0" w:space="0" w:color="auto"/>
                                    <w:left w:val="none" w:sz="0" w:space="0" w:color="auto"/>
                                    <w:bottom w:val="none" w:sz="0" w:space="0" w:color="auto"/>
                                    <w:right w:val="none" w:sz="0" w:space="0" w:color="auto"/>
                                  </w:divBdr>
                                </w:div>
                                <w:div w:id="2001157538">
                                  <w:marLeft w:val="0"/>
                                  <w:marRight w:val="0"/>
                                  <w:marTop w:val="0"/>
                                  <w:marBottom w:val="0"/>
                                  <w:divBdr>
                                    <w:top w:val="none" w:sz="0" w:space="0" w:color="auto"/>
                                    <w:left w:val="none" w:sz="0" w:space="0" w:color="auto"/>
                                    <w:bottom w:val="none" w:sz="0" w:space="0" w:color="auto"/>
                                    <w:right w:val="none" w:sz="0" w:space="0" w:color="auto"/>
                                  </w:divBdr>
                                </w:div>
                                <w:div w:id="2015648572">
                                  <w:marLeft w:val="0"/>
                                  <w:marRight w:val="0"/>
                                  <w:marTop w:val="0"/>
                                  <w:marBottom w:val="0"/>
                                  <w:divBdr>
                                    <w:top w:val="none" w:sz="0" w:space="0" w:color="auto"/>
                                    <w:left w:val="none" w:sz="0" w:space="0" w:color="auto"/>
                                    <w:bottom w:val="none" w:sz="0" w:space="0" w:color="auto"/>
                                    <w:right w:val="none" w:sz="0" w:space="0" w:color="auto"/>
                                  </w:divBdr>
                                </w:div>
                                <w:div w:id="211170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25730535">
      <w:bodyDiv w:val="1"/>
      <w:marLeft w:val="0"/>
      <w:marRight w:val="0"/>
      <w:marTop w:val="0"/>
      <w:marBottom w:val="0"/>
      <w:divBdr>
        <w:top w:val="none" w:sz="0" w:space="0" w:color="auto"/>
        <w:left w:val="none" w:sz="0" w:space="0" w:color="auto"/>
        <w:bottom w:val="none" w:sz="0" w:space="0" w:color="auto"/>
        <w:right w:val="none" w:sz="0" w:space="0" w:color="auto"/>
      </w:divBdr>
    </w:div>
    <w:div w:id="236090700">
      <w:bodyDiv w:val="1"/>
      <w:marLeft w:val="0"/>
      <w:marRight w:val="0"/>
      <w:marTop w:val="0"/>
      <w:marBottom w:val="0"/>
      <w:divBdr>
        <w:top w:val="none" w:sz="0" w:space="0" w:color="auto"/>
        <w:left w:val="none" w:sz="0" w:space="0" w:color="auto"/>
        <w:bottom w:val="none" w:sz="0" w:space="0" w:color="auto"/>
        <w:right w:val="none" w:sz="0" w:space="0" w:color="auto"/>
      </w:divBdr>
    </w:div>
    <w:div w:id="334577811">
      <w:bodyDiv w:val="1"/>
      <w:marLeft w:val="0"/>
      <w:marRight w:val="0"/>
      <w:marTop w:val="0"/>
      <w:marBottom w:val="0"/>
      <w:divBdr>
        <w:top w:val="none" w:sz="0" w:space="0" w:color="auto"/>
        <w:left w:val="none" w:sz="0" w:space="0" w:color="auto"/>
        <w:bottom w:val="none" w:sz="0" w:space="0" w:color="auto"/>
        <w:right w:val="none" w:sz="0" w:space="0" w:color="auto"/>
      </w:divBdr>
    </w:div>
    <w:div w:id="501891520">
      <w:bodyDiv w:val="1"/>
      <w:marLeft w:val="0"/>
      <w:marRight w:val="0"/>
      <w:marTop w:val="0"/>
      <w:marBottom w:val="0"/>
      <w:divBdr>
        <w:top w:val="none" w:sz="0" w:space="0" w:color="auto"/>
        <w:left w:val="none" w:sz="0" w:space="0" w:color="auto"/>
        <w:bottom w:val="none" w:sz="0" w:space="0" w:color="auto"/>
        <w:right w:val="none" w:sz="0" w:space="0" w:color="auto"/>
      </w:divBdr>
    </w:div>
    <w:div w:id="522668747">
      <w:bodyDiv w:val="1"/>
      <w:marLeft w:val="0"/>
      <w:marRight w:val="0"/>
      <w:marTop w:val="0"/>
      <w:marBottom w:val="0"/>
      <w:divBdr>
        <w:top w:val="none" w:sz="0" w:space="0" w:color="auto"/>
        <w:left w:val="none" w:sz="0" w:space="0" w:color="auto"/>
        <w:bottom w:val="none" w:sz="0" w:space="0" w:color="auto"/>
        <w:right w:val="none" w:sz="0" w:space="0" w:color="auto"/>
      </w:divBdr>
    </w:div>
    <w:div w:id="552077959">
      <w:bodyDiv w:val="1"/>
      <w:marLeft w:val="0"/>
      <w:marRight w:val="0"/>
      <w:marTop w:val="0"/>
      <w:marBottom w:val="0"/>
      <w:divBdr>
        <w:top w:val="none" w:sz="0" w:space="0" w:color="auto"/>
        <w:left w:val="none" w:sz="0" w:space="0" w:color="auto"/>
        <w:bottom w:val="none" w:sz="0" w:space="0" w:color="auto"/>
        <w:right w:val="none" w:sz="0" w:space="0" w:color="auto"/>
      </w:divBdr>
      <w:divsChild>
        <w:div w:id="1058550615">
          <w:marLeft w:val="0"/>
          <w:marRight w:val="0"/>
          <w:marTop w:val="0"/>
          <w:marBottom w:val="0"/>
          <w:divBdr>
            <w:top w:val="none" w:sz="0" w:space="0" w:color="auto"/>
            <w:left w:val="none" w:sz="0" w:space="0" w:color="auto"/>
            <w:bottom w:val="none" w:sz="0" w:space="0" w:color="auto"/>
            <w:right w:val="none" w:sz="0" w:space="0" w:color="auto"/>
          </w:divBdr>
          <w:divsChild>
            <w:div w:id="1521092480">
              <w:marLeft w:val="0"/>
              <w:marRight w:val="0"/>
              <w:marTop w:val="0"/>
              <w:marBottom w:val="0"/>
              <w:divBdr>
                <w:top w:val="single" w:sz="2" w:space="0" w:color="868B91"/>
                <w:left w:val="single" w:sz="2" w:space="0" w:color="868B91"/>
                <w:bottom w:val="single" w:sz="2" w:space="0" w:color="868B91"/>
                <w:right w:val="single" w:sz="2" w:space="0" w:color="868B91"/>
              </w:divBdr>
              <w:divsChild>
                <w:div w:id="906379054">
                  <w:marLeft w:val="0"/>
                  <w:marRight w:val="0"/>
                  <w:marTop w:val="0"/>
                  <w:marBottom w:val="0"/>
                  <w:divBdr>
                    <w:top w:val="none" w:sz="0" w:space="0" w:color="auto"/>
                    <w:left w:val="none" w:sz="0" w:space="0" w:color="auto"/>
                    <w:bottom w:val="none" w:sz="0" w:space="0" w:color="auto"/>
                    <w:right w:val="none" w:sz="0" w:space="0" w:color="auto"/>
                  </w:divBdr>
                  <w:divsChild>
                    <w:div w:id="1297101378">
                      <w:marLeft w:val="0"/>
                      <w:marRight w:val="0"/>
                      <w:marTop w:val="0"/>
                      <w:marBottom w:val="0"/>
                      <w:divBdr>
                        <w:top w:val="single" w:sz="2" w:space="0" w:color="868B91"/>
                        <w:left w:val="single" w:sz="2" w:space="0" w:color="868B91"/>
                        <w:bottom w:val="single" w:sz="2" w:space="0" w:color="868B91"/>
                        <w:right w:val="single" w:sz="2" w:space="0" w:color="868B91"/>
                      </w:divBdr>
                      <w:divsChild>
                        <w:div w:id="1426464632">
                          <w:marLeft w:val="0"/>
                          <w:marRight w:val="0"/>
                          <w:marTop w:val="0"/>
                          <w:marBottom w:val="0"/>
                          <w:divBdr>
                            <w:top w:val="single" w:sz="2" w:space="0" w:color="868B91"/>
                            <w:left w:val="single" w:sz="2" w:space="0" w:color="868B91"/>
                            <w:bottom w:val="single" w:sz="2" w:space="0" w:color="868B91"/>
                            <w:right w:val="single" w:sz="2" w:space="0" w:color="868B91"/>
                          </w:divBdr>
                          <w:divsChild>
                            <w:div w:id="1881625831">
                              <w:marLeft w:val="0"/>
                              <w:marRight w:val="0"/>
                              <w:marTop w:val="0"/>
                              <w:marBottom w:val="0"/>
                              <w:divBdr>
                                <w:top w:val="single" w:sz="2" w:space="0" w:color="868B91"/>
                                <w:left w:val="single" w:sz="2" w:space="0" w:color="868B91"/>
                                <w:bottom w:val="single" w:sz="2" w:space="0" w:color="868B91"/>
                                <w:right w:val="single" w:sz="2" w:space="0" w:color="868B91"/>
                              </w:divBdr>
                              <w:divsChild>
                                <w:div w:id="372340831">
                                  <w:marLeft w:val="0"/>
                                  <w:marRight w:val="0"/>
                                  <w:marTop w:val="0"/>
                                  <w:marBottom w:val="0"/>
                                  <w:divBdr>
                                    <w:top w:val="single" w:sz="2" w:space="5" w:color="D4D4D4"/>
                                    <w:left w:val="single" w:sz="6" w:space="5" w:color="D4D4D4"/>
                                    <w:bottom w:val="single" w:sz="6" w:space="5" w:color="D4D4D4"/>
                                    <w:right w:val="single" w:sz="6" w:space="5" w:color="D4D4D4"/>
                                  </w:divBdr>
                                  <w:divsChild>
                                    <w:div w:id="1655984725">
                                      <w:marLeft w:val="0"/>
                                      <w:marRight w:val="0"/>
                                      <w:marTop w:val="75"/>
                                      <w:marBottom w:val="0"/>
                                      <w:divBdr>
                                        <w:top w:val="none" w:sz="0" w:space="0" w:color="auto"/>
                                        <w:left w:val="none" w:sz="0" w:space="0" w:color="auto"/>
                                        <w:bottom w:val="none" w:sz="0" w:space="0" w:color="auto"/>
                                        <w:right w:val="none" w:sz="0" w:space="0" w:color="auto"/>
                                      </w:divBdr>
                                      <w:divsChild>
                                        <w:div w:id="558439645">
                                          <w:marLeft w:val="0"/>
                                          <w:marRight w:val="0"/>
                                          <w:marTop w:val="0"/>
                                          <w:marBottom w:val="0"/>
                                          <w:divBdr>
                                            <w:top w:val="none" w:sz="0" w:space="0" w:color="auto"/>
                                            <w:left w:val="none" w:sz="0" w:space="0" w:color="auto"/>
                                            <w:bottom w:val="none" w:sz="0" w:space="0" w:color="auto"/>
                                            <w:right w:val="none" w:sz="0" w:space="0" w:color="auto"/>
                                          </w:divBdr>
                                        </w:div>
                                        <w:div w:id="948583806">
                                          <w:marLeft w:val="0"/>
                                          <w:marRight w:val="0"/>
                                          <w:marTop w:val="0"/>
                                          <w:marBottom w:val="0"/>
                                          <w:divBdr>
                                            <w:top w:val="none" w:sz="0" w:space="0" w:color="auto"/>
                                            <w:left w:val="none" w:sz="0" w:space="0" w:color="auto"/>
                                            <w:bottom w:val="none" w:sz="0" w:space="0" w:color="auto"/>
                                            <w:right w:val="none" w:sz="0" w:space="0" w:color="auto"/>
                                          </w:divBdr>
                                        </w:div>
                                        <w:div w:id="130731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8366693">
      <w:bodyDiv w:val="1"/>
      <w:marLeft w:val="0"/>
      <w:marRight w:val="0"/>
      <w:marTop w:val="0"/>
      <w:marBottom w:val="0"/>
      <w:divBdr>
        <w:top w:val="none" w:sz="0" w:space="0" w:color="auto"/>
        <w:left w:val="none" w:sz="0" w:space="0" w:color="auto"/>
        <w:bottom w:val="none" w:sz="0" w:space="0" w:color="auto"/>
        <w:right w:val="none" w:sz="0" w:space="0" w:color="auto"/>
      </w:divBdr>
    </w:div>
    <w:div w:id="682785921">
      <w:bodyDiv w:val="1"/>
      <w:marLeft w:val="0"/>
      <w:marRight w:val="0"/>
      <w:marTop w:val="0"/>
      <w:marBottom w:val="0"/>
      <w:divBdr>
        <w:top w:val="none" w:sz="0" w:space="0" w:color="auto"/>
        <w:left w:val="none" w:sz="0" w:space="0" w:color="auto"/>
        <w:bottom w:val="none" w:sz="0" w:space="0" w:color="auto"/>
        <w:right w:val="none" w:sz="0" w:space="0" w:color="auto"/>
      </w:divBdr>
    </w:div>
    <w:div w:id="769816503">
      <w:bodyDiv w:val="1"/>
      <w:marLeft w:val="0"/>
      <w:marRight w:val="0"/>
      <w:marTop w:val="0"/>
      <w:marBottom w:val="0"/>
      <w:divBdr>
        <w:top w:val="none" w:sz="0" w:space="0" w:color="auto"/>
        <w:left w:val="none" w:sz="0" w:space="0" w:color="auto"/>
        <w:bottom w:val="none" w:sz="0" w:space="0" w:color="auto"/>
        <w:right w:val="none" w:sz="0" w:space="0" w:color="auto"/>
      </w:divBdr>
      <w:divsChild>
        <w:div w:id="391781009">
          <w:marLeft w:val="0"/>
          <w:marRight w:val="0"/>
          <w:marTop w:val="0"/>
          <w:marBottom w:val="0"/>
          <w:divBdr>
            <w:top w:val="none" w:sz="0" w:space="0" w:color="auto"/>
            <w:left w:val="none" w:sz="0" w:space="0" w:color="auto"/>
            <w:bottom w:val="none" w:sz="0" w:space="0" w:color="auto"/>
            <w:right w:val="none" w:sz="0" w:space="0" w:color="auto"/>
          </w:divBdr>
        </w:div>
        <w:div w:id="628125951">
          <w:marLeft w:val="0"/>
          <w:marRight w:val="0"/>
          <w:marTop w:val="0"/>
          <w:marBottom w:val="0"/>
          <w:divBdr>
            <w:top w:val="none" w:sz="0" w:space="0" w:color="auto"/>
            <w:left w:val="none" w:sz="0" w:space="0" w:color="auto"/>
            <w:bottom w:val="none" w:sz="0" w:space="0" w:color="auto"/>
            <w:right w:val="none" w:sz="0" w:space="0" w:color="auto"/>
          </w:divBdr>
        </w:div>
        <w:div w:id="837157802">
          <w:marLeft w:val="0"/>
          <w:marRight w:val="0"/>
          <w:marTop w:val="0"/>
          <w:marBottom w:val="0"/>
          <w:divBdr>
            <w:top w:val="none" w:sz="0" w:space="0" w:color="auto"/>
            <w:left w:val="none" w:sz="0" w:space="0" w:color="auto"/>
            <w:bottom w:val="none" w:sz="0" w:space="0" w:color="auto"/>
            <w:right w:val="none" w:sz="0" w:space="0" w:color="auto"/>
          </w:divBdr>
        </w:div>
      </w:divsChild>
    </w:div>
    <w:div w:id="828982519">
      <w:bodyDiv w:val="1"/>
      <w:marLeft w:val="0"/>
      <w:marRight w:val="0"/>
      <w:marTop w:val="0"/>
      <w:marBottom w:val="0"/>
      <w:divBdr>
        <w:top w:val="none" w:sz="0" w:space="0" w:color="auto"/>
        <w:left w:val="none" w:sz="0" w:space="0" w:color="auto"/>
        <w:bottom w:val="none" w:sz="0" w:space="0" w:color="auto"/>
        <w:right w:val="none" w:sz="0" w:space="0" w:color="auto"/>
      </w:divBdr>
    </w:div>
    <w:div w:id="844856302">
      <w:bodyDiv w:val="1"/>
      <w:marLeft w:val="0"/>
      <w:marRight w:val="0"/>
      <w:marTop w:val="0"/>
      <w:marBottom w:val="0"/>
      <w:divBdr>
        <w:top w:val="none" w:sz="0" w:space="0" w:color="auto"/>
        <w:left w:val="none" w:sz="0" w:space="0" w:color="auto"/>
        <w:bottom w:val="none" w:sz="0" w:space="0" w:color="auto"/>
        <w:right w:val="none" w:sz="0" w:space="0" w:color="auto"/>
      </w:divBdr>
    </w:div>
    <w:div w:id="893732620">
      <w:bodyDiv w:val="1"/>
      <w:marLeft w:val="0"/>
      <w:marRight w:val="0"/>
      <w:marTop w:val="0"/>
      <w:marBottom w:val="0"/>
      <w:divBdr>
        <w:top w:val="none" w:sz="0" w:space="0" w:color="auto"/>
        <w:left w:val="none" w:sz="0" w:space="0" w:color="auto"/>
        <w:bottom w:val="none" w:sz="0" w:space="0" w:color="auto"/>
        <w:right w:val="none" w:sz="0" w:space="0" w:color="auto"/>
      </w:divBdr>
    </w:div>
    <w:div w:id="948007563">
      <w:bodyDiv w:val="1"/>
      <w:marLeft w:val="0"/>
      <w:marRight w:val="0"/>
      <w:marTop w:val="0"/>
      <w:marBottom w:val="0"/>
      <w:divBdr>
        <w:top w:val="none" w:sz="0" w:space="0" w:color="auto"/>
        <w:left w:val="none" w:sz="0" w:space="0" w:color="auto"/>
        <w:bottom w:val="none" w:sz="0" w:space="0" w:color="auto"/>
        <w:right w:val="none" w:sz="0" w:space="0" w:color="auto"/>
      </w:divBdr>
    </w:div>
    <w:div w:id="1127356933">
      <w:bodyDiv w:val="1"/>
      <w:marLeft w:val="0"/>
      <w:marRight w:val="0"/>
      <w:marTop w:val="0"/>
      <w:marBottom w:val="0"/>
      <w:divBdr>
        <w:top w:val="none" w:sz="0" w:space="0" w:color="auto"/>
        <w:left w:val="none" w:sz="0" w:space="0" w:color="auto"/>
        <w:bottom w:val="none" w:sz="0" w:space="0" w:color="auto"/>
        <w:right w:val="none" w:sz="0" w:space="0" w:color="auto"/>
      </w:divBdr>
    </w:div>
    <w:div w:id="1153765012">
      <w:bodyDiv w:val="1"/>
      <w:marLeft w:val="0"/>
      <w:marRight w:val="0"/>
      <w:marTop w:val="0"/>
      <w:marBottom w:val="0"/>
      <w:divBdr>
        <w:top w:val="none" w:sz="0" w:space="0" w:color="auto"/>
        <w:left w:val="none" w:sz="0" w:space="0" w:color="auto"/>
        <w:bottom w:val="none" w:sz="0" w:space="0" w:color="auto"/>
        <w:right w:val="none" w:sz="0" w:space="0" w:color="auto"/>
      </w:divBdr>
    </w:div>
    <w:div w:id="1224292742">
      <w:bodyDiv w:val="1"/>
      <w:marLeft w:val="0"/>
      <w:marRight w:val="0"/>
      <w:marTop w:val="0"/>
      <w:marBottom w:val="0"/>
      <w:divBdr>
        <w:top w:val="none" w:sz="0" w:space="0" w:color="auto"/>
        <w:left w:val="none" w:sz="0" w:space="0" w:color="auto"/>
        <w:bottom w:val="none" w:sz="0" w:space="0" w:color="auto"/>
        <w:right w:val="none" w:sz="0" w:space="0" w:color="auto"/>
      </w:divBdr>
    </w:div>
    <w:div w:id="1230731990">
      <w:bodyDiv w:val="1"/>
      <w:marLeft w:val="0"/>
      <w:marRight w:val="0"/>
      <w:marTop w:val="0"/>
      <w:marBottom w:val="0"/>
      <w:divBdr>
        <w:top w:val="none" w:sz="0" w:space="0" w:color="auto"/>
        <w:left w:val="none" w:sz="0" w:space="0" w:color="auto"/>
        <w:bottom w:val="none" w:sz="0" w:space="0" w:color="auto"/>
        <w:right w:val="none" w:sz="0" w:space="0" w:color="auto"/>
      </w:divBdr>
    </w:div>
    <w:div w:id="1416053927">
      <w:bodyDiv w:val="1"/>
      <w:marLeft w:val="0"/>
      <w:marRight w:val="0"/>
      <w:marTop w:val="0"/>
      <w:marBottom w:val="0"/>
      <w:divBdr>
        <w:top w:val="none" w:sz="0" w:space="0" w:color="auto"/>
        <w:left w:val="none" w:sz="0" w:space="0" w:color="auto"/>
        <w:bottom w:val="none" w:sz="0" w:space="0" w:color="auto"/>
        <w:right w:val="none" w:sz="0" w:space="0" w:color="auto"/>
      </w:divBdr>
    </w:div>
    <w:div w:id="1478375129">
      <w:bodyDiv w:val="1"/>
      <w:marLeft w:val="0"/>
      <w:marRight w:val="0"/>
      <w:marTop w:val="0"/>
      <w:marBottom w:val="0"/>
      <w:divBdr>
        <w:top w:val="none" w:sz="0" w:space="0" w:color="auto"/>
        <w:left w:val="none" w:sz="0" w:space="0" w:color="auto"/>
        <w:bottom w:val="none" w:sz="0" w:space="0" w:color="auto"/>
        <w:right w:val="none" w:sz="0" w:space="0" w:color="auto"/>
      </w:divBdr>
    </w:div>
    <w:div w:id="1530533230">
      <w:bodyDiv w:val="1"/>
      <w:marLeft w:val="0"/>
      <w:marRight w:val="0"/>
      <w:marTop w:val="0"/>
      <w:marBottom w:val="0"/>
      <w:divBdr>
        <w:top w:val="none" w:sz="0" w:space="0" w:color="auto"/>
        <w:left w:val="none" w:sz="0" w:space="0" w:color="auto"/>
        <w:bottom w:val="none" w:sz="0" w:space="0" w:color="auto"/>
        <w:right w:val="none" w:sz="0" w:space="0" w:color="auto"/>
      </w:divBdr>
    </w:div>
    <w:div w:id="1634873016">
      <w:bodyDiv w:val="1"/>
      <w:marLeft w:val="0"/>
      <w:marRight w:val="0"/>
      <w:marTop w:val="0"/>
      <w:marBottom w:val="0"/>
      <w:divBdr>
        <w:top w:val="none" w:sz="0" w:space="0" w:color="auto"/>
        <w:left w:val="none" w:sz="0" w:space="0" w:color="auto"/>
        <w:bottom w:val="none" w:sz="0" w:space="0" w:color="auto"/>
        <w:right w:val="none" w:sz="0" w:space="0" w:color="auto"/>
      </w:divBdr>
    </w:div>
    <w:div w:id="1694379787">
      <w:bodyDiv w:val="1"/>
      <w:marLeft w:val="0"/>
      <w:marRight w:val="0"/>
      <w:marTop w:val="0"/>
      <w:marBottom w:val="0"/>
      <w:divBdr>
        <w:top w:val="none" w:sz="0" w:space="0" w:color="auto"/>
        <w:left w:val="none" w:sz="0" w:space="0" w:color="auto"/>
        <w:bottom w:val="none" w:sz="0" w:space="0" w:color="auto"/>
        <w:right w:val="none" w:sz="0" w:space="0" w:color="auto"/>
      </w:divBdr>
    </w:div>
    <w:div w:id="1753547066">
      <w:bodyDiv w:val="1"/>
      <w:marLeft w:val="0"/>
      <w:marRight w:val="0"/>
      <w:marTop w:val="0"/>
      <w:marBottom w:val="0"/>
      <w:divBdr>
        <w:top w:val="none" w:sz="0" w:space="0" w:color="auto"/>
        <w:left w:val="none" w:sz="0" w:space="0" w:color="auto"/>
        <w:bottom w:val="none" w:sz="0" w:space="0" w:color="auto"/>
        <w:right w:val="none" w:sz="0" w:space="0" w:color="auto"/>
      </w:divBdr>
    </w:div>
    <w:div w:id="1920556014">
      <w:bodyDiv w:val="1"/>
      <w:marLeft w:val="0"/>
      <w:marRight w:val="0"/>
      <w:marTop w:val="0"/>
      <w:marBottom w:val="0"/>
      <w:divBdr>
        <w:top w:val="none" w:sz="0" w:space="0" w:color="auto"/>
        <w:left w:val="none" w:sz="0" w:space="0" w:color="auto"/>
        <w:bottom w:val="none" w:sz="0" w:space="0" w:color="auto"/>
        <w:right w:val="none" w:sz="0" w:space="0" w:color="auto"/>
      </w:divBdr>
    </w:div>
    <w:div w:id="2036424818">
      <w:bodyDiv w:val="1"/>
      <w:marLeft w:val="0"/>
      <w:marRight w:val="0"/>
      <w:marTop w:val="0"/>
      <w:marBottom w:val="0"/>
      <w:divBdr>
        <w:top w:val="none" w:sz="0" w:space="0" w:color="auto"/>
        <w:left w:val="none" w:sz="0" w:space="0" w:color="auto"/>
        <w:bottom w:val="none" w:sz="0" w:space="0" w:color="auto"/>
        <w:right w:val="none" w:sz="0" w:space="0" w:color="auto"/>
      </w:divBdr>
      <w:divsChild>
        <w:div w:id="27679987">
          <w:marLeft w:val="0"/>
          <w:marRight w:val="0"/>
          <w:marTop w:val="0"/>
          <w:marBottom w:val="0"/>
          <w:divBdr>
            <w:top w:val="none" w:sz="0" w:space="0" w:color="auto"/>
            <w:left w:val="none" w:sz="0" w:space="0" w:color="auto"/>
            <w:bottom w:val="none" w:sz="0" w:space="0" w:color="auto"/>
            <w:right w:val="none" w:sz="0" w:space="0" w:color="auto"/>
          </w:divBdr>
        </w:div>
        <w:div w:id="627662604">
          <w:marLeft w:val="0"/>
          <w:marRight w:val="0"/>
          <w:marTop w:val="0"/>
          <w:marBottom w:val="0"/>
          <w:divBdr>
            <w:top w:val="none" w:sz="0" w:space="0" w:color="auto"/>
            <w:left w:val="none" w:sz="0" w:space="0" w:color="auto"/>
            <w:bottom w:val="none" w:sz="0" w:space="0" w:color="auto"/>
            <w:right w:val="none" w:sz="0" w:space="0" w:color="auto"/>
          </w:divBdr>
        </w:div>
      </w:divsChild>
    </w:div>
    <w:div w:id="2053573184">
      <w:bodyDiv w:val="1"/>
      <w:marLeft w:val="0"/>
      <w:marRight w:val="0"/>
      <w:marTop w:val="0"/>
      <w:marBottom w:val="0"/>
      <w:divBdr>
        <w:top w:val="none" w:sz="0" w:space="0" w:color="auto"/>
        <w:left w:val="none" w:sz="0" w:space="0" w:color="auto"/>
        <w:bottom w:val="none" w:sz="0" w:space="0" w:color="auto"/>
        <w:right w:val="none" w:sz="0" w:space="0" w:color="auto"/>
      </w:divBdr>
    </w:div>
    <w:div w:id="2126003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4ce62f23593d423eb3f70135f3e7064a" PartId="3a5aa01b847c440a841fc189c474dced">
    <Part Type="skirsnis" Title="DĖL LIETUVOS RESPUBLIKOS SEIMO NUTARIMO „DĖL NACIONALINĖS DARBOTVARKĖS NARKOTIKŲ, TABAKO IR ALKOHOLIO KONTROLĖS, VARTOJIMO PREVENCIJOS IR ŽALOS MAŽINIMO KLAUSIMAIS IKI 2035 METŲ PATVIRTINIMO“ PROJEKTO TEIKIMO" DocPartId="7b5921f5e5d247f0a28d2a0f03105336" PartId="7925d80bc2114bf4849c1310f06e81e5">
      <Part Type="punktas" Nr="1" Abbr="1 p." DocPartId="7147fa1653ad47688a085b250f923997" PartId="f2281395b5e8468e9cb74330e3af7258"/>
      <Part Type="punktas" Nr="2" Abbr="2 p." DocPartId="1eb4f195688b482d9111bc1c38fc7282" PartId="596be12b1cf04401b97dba1152238b65"/>
      <Part Type="punktas" Nr="3" Abbr="3 p." DocPartId="ac82b5fc2a56449b8fc759b7f0889234" PartId="0c036f75c4904eab830a7796a2e2f5fb"/>
      <Part Type="punktas" Nr="1" Abbr="1 p." Notes="Numeris ne iš eilės. Trūksta dalių? [DocDalys]" DocPartId="6686750443704689a97468ee7b83b92a" PartId="573d60ae309f4d6599fbe4229503b996"/>
      <Part Type="punktas" Nr="2" Abbr="2 p." DocPartId="1b0d85ccade94dfa9b02c045523c9748" PartId="a323f915db7a4c91a1cf25a03377af93"/>
      <Part Type="punktas" Nr="3" Abbr="3 p." DocPartId="6f535c1574fc485ebd73bac3cb2ca7fe" PartId="26886e1adbdd4895b0a891f3c74dc8d6"/>
      <Part Type="punktas" Nr="4" Abbr="4 p." DocPartId="add3b01c21af4f0bb4608b1405bc06f6" PartId="5a2a6898d6be45baa3cc3980512893ae"/>
      <Part Type="punktas" Nr="5" Abbr="5 p." DocPartId="7d3da26adb6a433eb7581bd398fec7f8" PartId="54acaee339934cabbeff114219250154"/>
      <Part Type="punktas" Nr="6" Abbr="6 p." DocPartId="2e9cd86c9e1d4b2296678febc0b1d93f" PartId="72b83067a8cb4306b2142a312fba0c6b"/>
    </Part>
    <Part Type="signatura" DocPartId="f9beafb9736740f3bac1b087c4dafa66" PartId="2acb71f244f74352a3ef85c7ca62d412"/>
  </Part>
</Parts>
</file>

<file path=customXml/itemProps1.xml><?xml version="1.0" encoding="utf-8"?>
<ds:datastoreItem xmlns:ds="http://schemas.openxmlformats.org/officeDocument/2006/customXml" ds:itemID="{0BB2F955-0C2B-4AB1-B32E-E8C7648AD215}">
  <ds:schemaRefs>
    <ds:schemaRef ds:uri="http://schemas.openxmlformats.org/officeDocument/2006/bibliography"/>
  </ds:schemaRefs>
</ds:datastoreItem>
</file>

<file path=customXml/itemProps2.xml><?xml version="1.0" encoding="utf-8"?>
<ds:datastoreItem xmlns:ds="http://schemas.openxmlformats.org/officeDocument/2006/customXml" ds:itemID="{411A5A28-85CD-46D2-9136-8F174B0C4F3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1535</Words>
  <Characters>12052</Characters>
  <Application>Microsoft Office Word</Application>
  <DocSecurity>4</DocSecurity>
  <Lines>227</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13530</CharactersWithSpaces>
  <SharedDoc>false</SharedDoc>
  <HyperlinkBase/>
  <HLinks>
    <vt:vector size="30" baseType="variant">
      <vt:variant>
        <vt:i4>3997784</vt:i4>
      </vt:variant>
      <vt:variant>
        <vt:i4>3</vt:i4>
      </vt:variant>
      <vt:variant>
        <vt:i4>0</vt:i4>
      </vt:variant>
      <vt:variant>
        <vt:i4>5</vt:i4>
      </vt:variant>
      <vt:variant>
        <vt:lpwstr>mailto:jelena.talackiene@sam.lt</vt:lpwstr>
      </vt:variant>
      <vt:variant>
        <vt:lpwstr/>
      </vt:variant>
      <vt:variant>
        <vt:i4>3997784</vt:i4>
      </vt:variant>
      <vt:variant>
        <vt:i4>0</vt:i4>
      </vt:variant>
      <vt:variant>
        <vt:i4>0</vt:i4>
      </vt:variant>
      <vt:variant>
        <vt:i4>5</vt:i4>
      </vt:variant>
      <vt:variant>
        <vt:lpwstr>mailto:jelena.talackiene@sam.lt</vt:lpwstr>
      </vt:variant>
      <vt:variant>
        <vt:lpwstr/>
      </vt:variant>
      <vt:variant>
        <vt:i4>7733355</vt:i4>
      </vt:variant>
      <vt:variant>
        <vt:i4>8</vt:i4>
      </vt:variant>
      <vt:variant>
        <vt:i4>0</vt:i4>
      </vt:variant>
      <vt:variant>
        <vt:i4>5</vt:i4>
      </vt:variant>
      <vt:variant>
        <vt:lpwstr>http://www.sam.lt/</vt:lpwstr>
      </vt:variant>
      <vt:variant>
        <vt:lpwstr/>
      </vt:variant>
      <vt:variant>
        <vt:i4>2818071</vt:i4>
      </vt:variant>
      <vt:variant>
        <vt:i4>-1</vt:i4>
      </vt:variant>
      <vt:variant>
        <vt:i4>1026</vt:i4>
      </vt:variant>
      <vt:variant>
        <vt:i4>1</vt:i4>
      </vt:variant>
      <vt:variant>
        <vt:lpwstr>cid:image004.jpg@01D30FA1.6D654120</vt:lpwstr>
      </vt:variant>
      <vt:variant>
        <vt:lpwstr/>
      </vt:variant>
      <vt:variant>
        <vt:i4>2883662</vt:i4>
      </vt:variant>
      <vt:variant>
        <vt:i4>-1</vt:i4>
      </vt:variant>
      <vt:variant>
        <vt:i4>1028</vt:i4>
      </vt:variant>
      <vt:variant>
        <vt:i4>1</vt:i4>
      </vt:variant>
      <vt:variant>
        <vt:lpwstr>cid:image001.jpg@01D0E6F9.271E0B70</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2022-04-28T04:08:00Z</dcterms:created>
  <dc:creator>Martynas Pukas</dc:creator>
  <lastModifiedBy>adlibuser</lastModifiedBy>
  <lastPrinted>2019-12-02T09:06:00Z</lastPrinted>
  <dcterms:modified xsi:type="dcterms:W3CDTF">2022-04-28T04:08:00Z</dcterms:modified>
  <revision>2</revision>
</coreProperties>
</file>