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1a1fc7e7f8d45a9904a106bd5aed2b9"/>
        <w:lock w:val="sdtLocked"/>
        <w:richText/>
      </w:sdtPr>
      <w:sdtContent>
        <w:tbl>
          <w:tblPr>
            <w:tblW w:w="9630" w:type="dxa"/>
            <w:tblLayout w:type="fixed"/>
            <w:tblLook w:val="04A0" w:firstRow="1" w:lastRow="0" w:firstColumn="1" w:lastColumn="0" w:noHBand="0" w:noVBand="1"/>
          </w:tblPr>
          <w:tblGrid>
            <w:gridCol w:w="3210"/>
            <w:gridCol w:w="3210"/>
            <w:gridCol w:w="3210"/>
          </w:tblGrid>
          <w:tr w14:paraId="6D1C739C" w14:textId="77777777">
            <w:tc>
              <w:tcPr>
                <w:tcW w:w="3210" w:type="dxa"/>
              </w:tcPr>
              <w:p w14:paraId="6B8292F8" w14:textId="77777777">
                <w:pPr>
                  <w:tabs>
                    <w:tab w:val="center" w:pos="4819"/>
                    <w:tab w:val="right" w:pos="9638"/>
                  </w:tabs>
                  <w:suppressAutoHyphens/>
                </w:pPr>
              </w:p>
              <w:p w14:paraId="6D1C7399" w14:textId="77777777">
                <w:pPr>
                  <w:tabs>
                    <w:tab w:val="center" w:pos="4819"/>
                    <w:tab w:val="right" w:pos="9638"/>
                  </w:tabs>
                  <w:suppressAutoHyphens/>
                  <w:ind w:left="-115"/>
                </w:pPr>
              </w:p>
            </w:tc>
            <w:tc>
              <w:tcPr>
                <w:tcW w:w="3210" w:type="dxa"/>
              </w:tcPr>
              <w:p w14:paraId="6D1C739A" w14:textId="77777777">
                <w:pPr>
                  <w:tabs>
                    <w:tab w:val="center" w:pos="4819"/>
                    <w:tab w:val="right" w:pos="9638"/>
                  </w:tabs>
                  <w:suppressAutoHyphens/>
                  <w:jc w:val="center"/>
                </w:pPr>
              </w:p>
            </w:tc>
            <w:tc>
              <w:tcPr>
                <w:tcW w:w="3210" w:type="dxa"/>
              </w:tcPr>
              <w:p w14:paraId="6D1C739B" w14:textId="77777777">
                <w:pPr>
                  <w:tabs>
                    <w:tab w:val="center" w:pos="4819"/>
                    <w:tab w:val="right" w:pos="9638"/>
                  </w:tabs>
                  <w:suppressAutoHyphens/>
                  <w:ind w:right="-115"/>
                </w:pPr>
              </w:p>
            </w:tc>
          </w:tr>
        </w:tbl>
        <w:p w14:paraId="6D1C739D" w14:textId="77777777">
          <w:pPr>
            <w:tabs>
              <w:tab w:val="center" w:pos="4819"/>
              <w:tab w:val="right" w:pos="9638"/>
            </w:tabs>
            <w:suppressAutoHyphens/>
          </w:pPr>
        </w:p>
        <w:sdt>
          <w:sdtPr>
            <w:alias w:val="skirsnis"/>
            <w:tag w:val="part_253b944c520f493c841267b2517e98a0"/>
            <w:lock w:val="sdtLocked"/>
            <w:richText/>
          </w:sdtPr>
          <w:sdtContent>
            <w:p w14:paraId="6D1C739E" w14:textId="6DF45756">
              <w:pPr>
                <w:tabs>
                  <w:tab w:val="left" w:pos="9540"/>
                </w:tabs>
                <w:suppressAutoHyphens/>
                <w:ind w:left="5670"/>
                <w:textAlignment w:val="baseline"/>
              </w:pPr>
              <w:sdt>
                <w:sdtPr>
                  <w:alias w:val="Pavadinimas"/>
                  <w:tag w:val="title_253b944c520f493c841267b2517e98a0"/>
                  <w:lock w:val="sdtLocked"/>
                  <w:richText/>
                </w:sdtPr>
                <w:sdtContent>
                  <w:r>
                    <w:rPr>
                      <w:b/>
                      <w:bCs/>
                      <w:szCs w:val="24"/>
                    </w:rPr>
                    <w:t xml:space="preserve">Projektas Nr. XVP-1405(2) </w:t>
                  </w:r>
                </w:sdtContent>
              </w:sdt>
            </w:p>
            <w:p w14:paraId="6D1C739F" w14:textId="77777777">
              <w:pPr>
                <w:tabs>
                  <w:tab w:val="left" w:pos="9540"/>
                </w:tabs>
                <w:suppressAutoHyphens/>
                <w:ind w:left="5670"/>
                <w:textAlignment w:val="baseline"/>
                <w:rPr>
                  <w:b/>
                  <w:bCs/>
                  <w:szCs w:val="24"/>
                </w:rPr>
              </w:pPr>
            </w:p>
            <w:p w14:paraId="6D1C73A0" w14:textId="77777777">
              <w:pPr>
                <w:suppressAutoHyphens/>
                <w:ind w:firstLine="750"/>
                <w:jc w:val="both"/>
                <w:textAlignment w:val="baseline"/>
              </w:pPr>
            </w:p>
          </w:sdtContent>
        </w:sdt>
        <w:sdt>
          <w:sdtPr>
            <w:alias w:val="skirsnis"/>
            <w:tag w:val="part_2ace1194da804ed180a483ba22571479"/>
            <w:lock w:val="sdtLocked"/>
            <w:richText/>
          </w:sdtPr>
          <w:sdtContent>
            <w:sdt>
              <w:sdtPr>
                <w:alias w:val="Pavadinimas"/>
                <w:tag w:val="title_2ace1194da804ed180a483ba22571479"/>
                <w:lock w:val="sdtLocked"/>
                <w:richText/>
              </w:sdtPr>
              <w:sdtContent>
                <w:p w14:paraId="6D1C73A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pPr>
                  <w:r>
                    <w:rPr>
                      <w:b/>
                      <w:bCs/>
                      <w:szCs w:val="24"/>
                      <w:lang w:eastAsia="lt-LT"/>
                    </w:rPr>
                    <w:t>LIETUVOS RESPUBLIKOS</w:t>
                  </w:r>
                </w:p>
                <w:p w14:paraId="6D1C73A2"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pPr>
                  <w:r>
                    <w:rPr>
                      <w:b/>
                      <w:bCs/>
                      <w:szCs w:val="24"/>
                      <w:lang w:eastAsia="lt-LT"/>
                    </w:rPr>
                    <w:t>ŠVIETIMO ĮSTATYMO NR. I-1489 7, 8, 9, 10, 11, 14, 16, 19, 20, 21, 23, 29, 36, 38, 39, 41, 43, 44, 46, 49, 52, 53, 56, 57, 58, 59, 62, 63, 64, 67, 69, 70 STRAIPSNIŲ PAKEITIMO IR ĮSTATYMO PAPILDYMO 56</w:t>
                  </w:r>
                  <w:r>
                    <w:rPr>
                      <w:b/>
                      <w:bCs/>
                      <w:position w:val="6"/>
                      <w:sz w:val="16"/>
                      <w:szCs w:val="24"/>
                      <w:lang w:eastAsia="lt-LT"/>
                    </w:rPr>
                    <w:t>4</w:t>
                  </w:r>
                  <w:r>
                    <w:rPr>
                      <w:b/>
                      <w:bCs/>
                      <w:szCs w:val="24"/>
                      <w:lang w:eastAsia="lt-LT"/>
                    </w:rPr>
                    <w:t xml:space="preserve"> STRAIPSNIU ĮSTATYMO NR. XIV-1726 4 STRAIPSNIO PAKEITIMO </w:t>
                  </w:r>
                </w:p>
                <w:p w14:paraId="6D1C73A3"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pPr>
                  <w:r>
                    <w:rPr>
                      <w:b/>
                      <w:bCs/>
                      <w:szCs w:val="24"/>
                      <w:lang w:eastAsia="lt-LT"/>
                    </w:rPr>
                    <w:t>ĮSTATYMAS</w:t>
                  </w:r>
                </w:p>
              </w:sdtContent>
            </w:sdt>
            <w:p w14:paraId="6D1C73A4"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aps/>
                </w:rPr>
              </w:pPr>
            </w:p>
            <w:p w14:paraId="6D1C73A5" w14:textId="77777777">
              <w:pPr>
                <w:suppressAutoHyphens/>
                <w:jc w:val="both"/>
                <w:textAlignment w:val="baseline"/>
                <w:rPr>
                  <w:szCs w:val="24"/>
                </w:rPr>
              </w:pPr>
            </w:p>
            <w:p w14:paraId="6D1C73A6" w14:textId="77777777">
              <w:pPr>
                <w:suppressAutoHyphens/>
                <w:jc w:val="center"/>
                <w:textAlignment w:val="baseline"/>
                <w:rPr>
                  <w:szCs w:val="24"/>
                </w:rPr>
              </w:pPr>
              <w:r>
                <w:rPr>
                  <w:szCs w:val="24"/>
                </w:rPr>
                <w:t xml:space="preserve">2026 m.                          d. Nr.</w:t>
              </w:r>
            </w:p>
            <w:p w14:paraId="6D1C73A7" w14:textId="77777777">
              <w:pPr>
                <w:suppressAutoHyphens/>
                <w:jc w:val="center"/>
                <w:textAlignment w:val="baseline"/>
                <w:rPr>
                  <w:szCs w:val="24"/>
                </w:rPr>
              </w:pPr>
              <w:r>
                <w:rPr>
                  <w:szCs w:val="24"/>
                </w:rPr>
                <w:t>Vilnius</w:t>
              </w:r>
            </w:p>
            <w:p w14:paraId="6D1C73A8" w14:textId="77777777">
              <w:pPr>
                <w:suppressAutoHyphens/>
                <w:jc w:val="center"/>
                <w:textAlignment w:val="baseline"/>
                <w:rPr>
                  <w:szCs w:val="24"/>
                </w:rPr>
              </w:pPr>
            </w:p>
            <w:p w14:paraId="6D1C73A9" w14:textId="77777777">
              <w:pPr>
                <w:suppressAutoHyphens/>
                <w:jc w:val="both"/>
                <w:textAlignment w:val="baseline"/>
                <w:rPr>
                  <w:b/>
                  <w:bCs/>
                  <w:strike/>
                  <w:szCs w:val="24"/>
                  <w:lang w:eastAsia="lt-LT"/>
                </w:rPr>
              </w:pPr>
            </w:p>
            <w:p w14:paraId="6D1C73AA" w14:textId="77777777">
              <w:pPr>
                <w:suppressAutoHyphens/>
                <w:ind w:firstLine="709"/>
                <w:jc w:val="both"/>
                <w:rPr>
                  <w:szCs w:val="24"/>
                </w:rPr>
              </w:pPr>
            </w:p>
            <w:sdt>
              <w:sdtPr>
                <w:alias w:val="1 str."/>
                <w:tag w:val="part_5e09e9d2eb57421fa658f4593c46a3b1"/>
                <w:lock w:val="sdtLocked"/>
                <w:richText/>
              </w:sdtPr>
              <w:sdtContent>
                <w:p w14:paraId="6D1C73AB" w14:textId="77777777">
                  <w:pPr>
                    <w:suppressAutoHyphens/>
                    <w:ind w:firstLine="709"/>
                    <w:jc w:val="both"/>
                    <w:textAlignment w:val="baseline"/>
                  </w:pPr>
                  <w:sdt>
                    <w:sdtPr>
                      <w:alias w:val="Numeris"/>
                      <w:tag w:val="nr_5e09e9d2eb57421fa658f4593c46a3b1"/>
                      <w:lock w:val="sdtLocked"/>
                      <w:richText/>
                    </w:sdtPr>
                    <w:sdtContent>
                      <w:r>
                        <w:rPr>
                          <w:b/>
                          <w:bCs/>
                          <w:szCs w:val="24"/>
                        </w:rPr>
                        <w:t>1</w:t>
                      </w:r>
                    </w:sdtContent>
                  </w:sdt>
                  <w:r>
                    <w:rPr>
                      <w:b/>
                      <w:bCs/>
                      <w:szCs w:val="24"/>
                    </w:rPr>
                    <w:t xml:space="preserve"> straipsnis. </w:t>
                  </w:r>
                  <w:sdt>
                    <w:sdtPr>
                      <w:alias w:val="Pavadinimas"/>
                      <w:tag w:val="title_5e09e9d2eb57421fa658f4593c46a3b1"/>
                      <w:lock w:val="sdtLocked"/>
                      <w:richText/>
                    </w:sdtPr>
                    <w:sdtContent>
                      <w:r>
                        <w:rPr>
                          <w:b/>
                          <w:bCs/>
                          <w:szCs w:val="24"/>
                        </w:rPr>
                        <w:t>4 straipsnio pakeitimas</w:t>
                      </w:r>
                    </w:sdtContent>
                  </w:sdt>
                </w:p>
                <w:sdt>
                  <w:sdtPr>
                    <w:alias w:val="1 str. 1 d."/>
                    <w:tag w:val="part_68a027faf90240568fb70890966d6b7e"/>
                    <w:lock w:val="sdtLocked"/>
                    <w:richText/>
                  </w:sdtPr>
                  <w:sdtContent>
                    <w:p w14:paraId="6D1C73AC" w14:textId="77777777">
                      <w:pPr>
                        <w:suppressAutoHyphens/>
                        <w:ind w:firstLine="709"/>
                        <w:jc w:val="both"/>
                        <w:textAlignment w:val="baseline"/>
                      </w:pPr>
                      <w:r>
                        <w:rPr>
                          <w:szCs w:val="24"/>
                        </w:rPr>
                        <w:t>Pakeisti 4 straipsnį ir jį išdėstyti taip:</w:t>
                      </w:r>
                    </w:p>
                    <w:sdt>
                      <w:sdtPr>
                        <w:alias w:val="citata"/>
                        <w:tag w:val="part_d1bddd8a0c1e4c0d816e9a5b09fd7eb1"/>
                        <w:lock w:val="sdtLocked"/>
                        <w:richText/>
                      </w:sdtPr>
                      <w:sdtContent>
                        <w:sdt>
                          <w:sdtPr>
                            <w:alias w:val="4 str."/>
                            <w:tag w:val="part_3489135292234e38b470816cc1ccca4b"/>
                            <w:lock w:val="sdtLocked"/>
                            <w:richText/>
                          </w:sdtPr>
                          <w:sdtContent>
                            <w:p w14:paraId="6D1C73AD" w14:textId="77777777">
                              <w:pPr>
                                <w:suppressAutoHyphens/>
                                <w:ind w:firstLine="709"/>
                                <w:jc w:val="both"/>
                                <w:textAlignment w:val="baseline"/>
                              </w:pPr>
                              <w:r>
                                <w:rPr>
                                  <w:szCs w:val="24"/>
                                </w:rPr>
                                <w:t>„</w:t>
                              </w:r>
                              <w:sdt>
                                <w:sdtPr>
                                  <w:alias w:val="Numeris"/>
                                  <w:tag w:val="nr_3489135292234e38b470816cc1ccca4b"/>
                                  <w:lock w:val="sdtLocked"/>
                                  <w:richText/>
                                </w:sdtPr>
                                <w:sdtContent>
                                  <w:r>
                                    <w:rPr>
                                      <w:b/>
                                      <w:bCs/>
                                      <w:szCs w:val="24"/>
                                    </w:rPr>
                                    <w:t>4</w:t>
                                  </w:r>
                                </w:sdtContent>
                              </w:sdt>
                              <w:r>
                                <w:rPr>
                                  <w:b/>
                                  <w:bCs/>
                                  <w:szCs w:val="24"/>
                                </w:rPr>
                                <w:t> straipsnis. </w:t>
                              </w:r>
                              <w:sdt>
                                <w:sdtPr>
                                  <w:alias w:val="Pavadinimas"/>
                                  <w:tag w:val="title_3489135292234e38b470816cc1ccca4b"/>
                                  <w:lock w:val="sdtLocked"/>
                                  <w:richText/>
                                </w:sdtPr>
                                <w:sdtContent>
                                  <w:r>
                                    <w:rPr>
                                      <w:b/>
                                      <w:bCs/>
                                      <w:szCs w:val="24"/>
                                    </w:rPr>
                                    <w:t>10 straipsnio pakeitimas</w:t>
                                  </w:r>
                                </w:sdtContent>
                              </w:sdt>
                            </w:p>
                          </w:sdtContent>
                        </w:sdt>
                      </w:sdtContent>
                    </w:sdt>
                  </w:sdtContent>
                </w:sdt>
                <w:sdt>
                  <w:sdtPr>
                    <w:alias w:val="1 str. 2 d."/>
                    <w:tag w:val="part_f1845760ecfb4e4ba8b953776e221c8f"/>
                    <w:lock w:val="sdtLocked"/>
                    <w:richText/>
                  </w:sdtPr>
                  <w:sdtContent>
                    <w:p w14:paraId="6D1C73AE" w14:textId="77777777">
                      <w:pPr>
                        <w:suppressAutoHyphens/>
                        <w:ind w:firstLine="709"/>
                        <w:jc w:val="both"/>
                        <w:textAlignment w:val="baseline"/>
                      </w:pPr>
                      <w:r>
                        <w:rPr>
                          <w:szCs w:val="24"/>
                        </w:rPr>
                        <w:t>Pakeisti 10 straipsnį ir jį išdėstyti taip:</w:t>
                      </w:r>
                    </w:p>
                    <w:p w14:paraId="6D1C73AF" w14:textId="77777777">
                      <w:pPr>
                        <w:suppressAutoHyphens/>
                        <w:ind w:firstLine="709"/>
                        <w:jc w:val="both"/>
                        <w:textAlignment w:val="baseline"/>
                      </w:pPr>
                      <w:r>
                        <w:rPr>
                          <w:szCs w:val="24"/>
                        </w:rPr>
                        <w:t>„</w:t>
                      </w:r>
                      <w:r>
                        <w:rPr>
                          <w:b/>
                          <w:bCs/>
                          <w:szCs w:val="24"/>
                        </w:rPr>
                        <w:t>10 straipsnis. Pagrindinis ugdymas</w:t>
                      </w:r>
                    </w:p>
                  </w:sdtContent>
                </w:sdt>
                <w:sdt>
                  <w:sdtPr>
                    <w:alias w:val="1 str. 1 d."/>
                    <w:tag w:val="part_cd4958967c894750a03cdc6da80d01c9"/>
                    <w:lock w:val="sdtLocked"/>
                    <w:richText/>
                  </w:sdtPr>
                  <w:sdtContent>
                    <w:p w14:paraId="6D1C73B0" w14:textId="77777777">
                      <w:pPr>
                        <w:suppressAutoHyphens/>
                        <w:ind w:firstLine="709"/>
                        <w:jc w:val="both"/>
                        <w:textAlignment w:val="baseline"/>
                      </w:pPr>
                      <w:sdt>
                        <w:sdtPr>
                          <w:alias w:val="Numeris"/>
                          <w:tag w:val="nr_cd4958967c894750a03cdc6da80d01c9"/>
                          <w:lock w:val="sdtLocked"/>
                          <w:richText/>
                        </w:sdtPr>
                        <w:sdtContent>
                          <w:r>
                            <w:rPr>
                              <w:szCs w:val="24"/>
                            </w:rPr>
                            <w:t>1</w:t>
                          </w:r>
                        </w:sdtContent>
                      </w:sdt>
                      <w:r>
                        <w:rPr>
                          <w:szCs w:val="24"/>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 str. 2 d."/>
                    <w:tag w:val="part_e5e6d3917b6c45d185880c2e9376496b"/>
                    <w:lock w:val="sdtLocked"/>
                    <w:richText/>
                  </w:sdtPr>
                  <w:sdtContent>
                    <w:p w14:paraId="6D1C73B1" w14:textId="77777777">
                      <w:pPr>
                        <w:suppressAutoHyphens/>
                        <w:ind w:firstLine="709"/>
                        <w:jc w:val="both"/>
                        <w:textAlignment w:val="baseline"/>
                      </w:pPr>
                      <w:sdt>
                        <w:sdtPr>
                          <w:alias w:val="Numeris"/>
                          <w:tag w:val="nr_e5e6d3917b6c45d185880c2e9376496b"/>
                          <w:lock w:val="sdtLocked"/>
                          <w:richText/>
                        </w:sdtPr>
                        <w:sdtContent>
                          <w:r>
                            <w:rPr>
                              <w:szCs w:val="24"/>
                            </w:rPr>
                            <w:t>2</w:t>
                          </w:r>
                        </w:sdtContent>
                      </w:sdt>
                      <w:r>
                        <w:rPr>
                          <w:szCs w:val="24"/>
                        </w:rPr>
                        <w:t>. Pagrindinis ugdymas teikiamas mokiniui, įgijusiam pradinį išsilavinimą.</w:t>
                      </w:r>
                    </w:p>
                  </w:sdtContent>
                </w:sdt>
                <w:sdt>
                  <w:sdtPr>
                    <w:alias w:val="1 str. 3 d."/>
                    <w:tag w:val="part_8dedefe4e1b945debdb1a7c56da1e527"/>
                    <w:lock w:val="sdtLocked"/>
                    <w:richText/>
                  </w:sdtPr>
                  <w:sdtContent>
                    <w:p w14:paraId="6D1C73B2" w14:textId="77777777">
                      <w:pPr>
                        <w:suppressAutoHyphens/>
                        <w:ind w:firstLine="709"/>
                        <w:jc w:val="both"/>
                        <w:textAlignment w:val="baseline"/>
                      </w:pPr>
                      <w:sdt>
                        <w:sdtPr>
                          <w:alias w:val="Numeris"/>
                          <w:tag w:val="nr_8dedefe4e1b945debdb1a7c56da1e527"/>
                          <w:lock w:val="sdtLocked"/>
                          <w:richText/>
                        </w:sdtPr>
                        <w:sdtContent>
                          <w:r>
                            <w:rPr>
                              <w:szCs w:val="24"/>
                            </w:rPr>
                            <w:t>3</w:t>
                          </w:r>
                        </w:sdtContent>
                      </w:sdt>
                      <w:r>
                        <w:rPr>
                          <w:szCs w:val="24"/>
                        </w:rPr>
                        <w:t>. Pagrindinis ugdymas vykdomas pagal šešerių metų pagrindinio ugdymo programą. Pagrindinio ugdymo programos pirmoji dalis apima ketverių metų pagrindinio ugdymo tarpsnį, antroji dalis – dvejų metų pagrindinio ugdymo tarpsnį. Pagrindinio ugdymo programa įgyvendinama vadovaujantis Pagrindinio ugdymo programos aprašu, Pagrindinio ugdymo bendrosiomis programomis, bendraisiais ugdymo planais, kuriuos tvirtina švietimo, mokslo ir sporto ministras. Visiems mokiniams, baigiantiems pagrindinio ugdymo programos pirmąją dalį, vykdomas nacionalinis mokinių pasiekimų patikrinimas, išskyrus atvejus, kai asmuo švietimo, mokslo ir sporto ministro nustatytais atvejais yra atleidžiamas nuo mokymosi pasiekimų patikrinimo. Į pagrindinio ugdymo programos antrąją dalį gali būti įtraukiami profesinio mokymo programų moduliai ir įskaitomi tęsiant mokymąsi pagal profesinio mokymo programas švietimo, mokslo ir sporto ministro nustatyta tvarka. Pagrindinis ugdymas gali būti vykdomas kartu su dailės, muzikiniu, meniniu, sportiniu ar kitu ugdymu.</w:t>
                      </w:r>
                    </w:p>
                  </w:sdtContent>
                </w:sdt>
                <w:sdt>
                  <w:sdtPr>
                    <w:alias w:val="1 str. 4 d."/>
                    <w:tag w:val="part_334158a08f8e4d489a06373bff4dccd6"/>
                    <w:lock w:val="sdtLocked"/>
                    <w:richText/>
                  </w:sdtPr>
                  <w:sdtContent>
                    <w:p w14:paraId="6D1C73B3" w14:textId="77777777">
                      <w:pPr>
                        <w:suppressAutoHyphens/>
                        <w:ind w:firstLine="709"/>
                        <w:jc w:val="both"/>
                        <w:textAlignment w:val="baseline"/>
                      </w:pPr>
                      <w:sdt>
                        <w:sdtPr>
                          <w:alias w:val="Numeris"/>
                          <w:tag w:val="nr_334158a08f8e4d489a06373bff4dccd6"/>
                          <w:lock w:val="sdtLocked"/>
                          <w:richText/>
                        </w:sdtPr>
                        <w:sdtContent>
                          <w:r>
                            <w:rPr>
                              <w:szCs w:val="24"/>
                            </w:rPr>
                            <w:t>4</w:t>
                          </w:r>
                        </w:sdtContent>
                      </w:sdt>
                      <w:r>
                        <w:rPr>
                          <w:szCs w:val="24"/>
                        </w:rPr>
                        <w:t xml:space="preserve">. Pagrindinis išsilavinimas įgyjamas baigus pagrindinio ugdymo programą ir pagrindinio ugdymo pasiekimų patikrinimų metu patikrinus mokymosi pasiekimus, išskyrus atvejus, kai asmuo švietimo, mokslo ir sporto ministro nustatytais atvejais yra atleidžiamas nuo pagrindinio ugdymo pasiekimų patikrinimo. Pagrindinio ugdymo įvertinimai atitinka slenkstinį, patenkinamą, pagrindinį ar aukštesnįjį pasiekimų lygius ir jų ribas, nustatytus švietimo, mokslo ir sporto ministro tvirtinamose bendrosiose programose. </w:t>
                      </w:r>
                    </w:p>
                  </w:sdtContent>
                </w:sdt>
                <w:sdt>
                  <w:sdtPr>
                    <w:alias w:val="1 str. 5 d."/>
                    <w:tag w:val="part_16451d0eb87f4ec5a0d91afe0c2d7c65"/>
                    <w:lock w:val="sdtLocked"/>
                    <w:richText/>
                  </w:sdtPr>
                  <w:sdtContent>
                    <w:p w14:paraId="6D1C73B4" w14:textId="77777777">
                      <w:pPr>
                        <w:suppressAutoHyphens/>
                        <w:ind w:firstLine="709"/>
                        <w:jc w:val="both"/>
                        <w:textAlignment w:val="baseline"/>
                      </w:pPr>
                      <w:sdt>
                        <w:sdtPr>
                          <w:alias w:val="Numeris"/>
                          <w:tag w:val="nr_16451d0eb87f4ec5a0d91afe0c2d7c65"/>
                          <w:lock w:val="sdtLocked"/>
                          <w:richText/>
                        </w:sdtPr>
                        <w:sdtContent>
                          <w:r>
                            <w:rPr>
                              <w:szCs w:val="24"/>
                            </w:rPr>
                            <w:t>5</w:t>
                          </w:r>
                        </w:sdtContent>
                      </w:sdt>
                      <w:r>
                        <w:rPr>
                          <w:szCs w:val="24"/>
                        </w:rPr>
                        <w:t>. Pagal pagrindinio ugdymo programą ugdomam mokiniui ir jo tėvams (globėjams, rūpintojams) koordinuotai teikiamos švietimo pagalba, socialinės ir sveikatos priežiūros paslaugos švietimo, mokslo ir sporto ministro, socialinės apsaugos ir darbo ministro ir sveikatos apsaugos ministro nustatyta tvarka.“</w:t>
                      </w:r>
                      <w:r>
                        <w:rPr>
                          <w:color w:val="000000"/>
                          <w:szCs w:val="24"/>
                          <w:shd w:val="clear" w:color="auto" w:fill="FFFFFF"/>
                        </w:rPr>
                        <w:t>.“</w:t>
                      </w:r>
                    </w:p>
                    <w:p w14:paraId="6D1C73B5" w14:textId="77777777">
                      <w:pPr>
                        <w:suppressAutoHyphens/>
                        <w:ind w:firstLine="709"/>
                        <w:jc w:val="both"/>
                        <w:textAlignment w:val="baseline"/>
                      </w:pPr>
                    </w:p>
                  </w:sdtContent>
                </w:sdt>
              </w:sdtContent>
            </w:sdt>
          </w:sdtContent>
        </w:sdt>
        <w:sdt>
          <w:sdtPr>
            <w:alias w:val="signatura"/>
            <w:tag w:val="part_72e18bdd9f804896b68d91cd106927b8"/>
            <w:lock w:val="sdtLocked"/>
            <w:richText/>
          </w:sdtPr>
          <w:sdtContent>
            <w:p w14:paraId="6D1C73B6" w14:textId="77777777">
              <w:pPr>
                <w:suppressAutoHyphens/>
                <w:ind w:firstLine="720"/>
                <w:jc w:val="both"/>
              </w:pPr>
              <w:r>
                <w:rPr>
                  <w:i/>
                  <w:iCs/>
                  <w:szCs w:val="24"/>
                </w:rPr>
                <w:t>Skelbiu šį Lietuvos Respublikos Seimo priimtą įstatymą.</w:t>
              </w:r>
            </w:p>
            <w:p w14:paraId="6D1C73B7" w14:textId="77777777">
              <w:pPr>
                <w:suppressAutoHyphens/>
                <w:ind w:firstLine="782"/>
                <w:jc w:val="both"/>
                <w:rPr>
                  <w:szCs w:val="24"/>
                </w:rPr>
              </w:pPr>
            </w:p>
            <w:p w14:paraId="6D1C73B8" w14:textId="77777777">
              <w:pPr>
                <w:suppressAutoHyphens/>
                <w:jc w:val="both"/>
                <w:rPr>
                  <w:szCs w:val="24"/>
                </w:rPr>
              </w:pPr>
              <w:r>
                <w:rPr>
                  <w:szCs w:val="24"/>
                </w:rPr>
                <w:t>Respublikos Prezidentas</w:t>
              </w:r>
            </w:p>
            <w:p w14:paraId="6D1C73B9" w14:textId="77777777">
              <w:pPr>
                <w:suppressAutoHyphens/>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formProt w:val="0"/>
      <w:titlePg/>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37AE4A" w14:textId="77777777">
      <w:r>
        <w:separator/>
      </w:r>
    </w:p>
  </w:endnote>
  <w:endnote w:type="continuationSeparator" w:id="0">
    <w:p w14:paraId="2489BF5D"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2AFE24" w14:textId="77777777">
    <w:pPr>
      <w:suppressLineNumbers/>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0" w:type="dxa"/>
      <w:tblLayout w:type="fixed"/>
      <w:tblLook w:val="04A0" w:firstRow="1" w:lastRow="0" w:firstColumn="1" w:lastColumn="0" w:noHBand="0" w:noVBand="1"/>
    </w:tblPr>
    <w:tblGrid>
      <w:gridCol w:w="3210"/>
      <w:gridCol w:w="3210"/>
      <w:gridCol w:w="3210"/>
    </w:tblGrid>
    <w:tr w14:paraId="6D1C73BF" w14:textId="77777777">
      <w:tc>
        <w:tcPr>
          <w:tcW w:w="3210" w:type="dxa"/>
        </w:tcPr>
        <w:p w14:paraId="6D1C73BC" w14:textId="77777777">
          <w:pPr>
            <w:tabs>
              <w:tab w:val="center" w:pos="4819"/>
              <w:tab w:val="right" w:pos="9638"/>
            </w:tabs>
            <w:suppressAutoHyphens/>
            <w:ind w:left="-115"/>
          </w:pPr>
        </w:p>
      </w:tc>
      <w:tc>
        <w:tcPr>
          <w:tcW w:w="3210" w:type="dxa"/>
        </w:tcPr>
        <w:p w14:paraId="6D1C73BD" w14:textId="77777777">
          <w:pPr>
            <w:tabs>
              <w:tab w:val="center" w:pos="4819"/>
              <w:tab w:val="right" w:pos="9638"/>
            </w:tabs>
            <w:suppressAutoHyphens/>
            <w:jc w:val="center"/>
          </w:pPr>
        </w:p>
      </w:tc>
      <w:tc>
        <w:tcPr>
          <w:tcW w:w="3210" w:type="dxa"/>
        </w:tcPr>
        <w:p w14:paraId="6D1C73BE" w14:textId="77777777">
          <w:pPr>
            <w:tabs>
              <w:tab w:val="center" w:pos="4819"/>
              <w:tab w:val="right" w:pos="9638"/>
            </w:tabs>
            <w:suppressAutoHyphens/>
            <w:ind w:right="-115"/>
          </w:pPr>
        </w:p>
      </w:tc>
    </w:tr>
  </w:tbl>
  <w:p w14:paraId="6D1C73C0" w14:textId="77777777">
    <w:pPr>
      <w:tabs>
        <w:tab w:val="center" w:pos="4819"/>
        <w:tab w:val="right" w:pos="9638"/>
      </w:tabs>
      <w:suppressAutoHyphen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0" w:type="dxa"/>
      <w:tblLayout w:type="fixed"/>
      <w:tblLook w:val="04A0" w:firstRow="1" w:lastRow="0" w:firstColumn="1" w:lastColumn="0" w:noHBand="0" w:noVBand="1"/>
    </w:tblPr>
    <w:tblGrid>
      <w:gridCol w:w="3210"/>
      <w:gridCol w:w="3210"/>
      <w:gridCol w:w="3210"/>
    </w:tblGrid>
    <w:tr w14:paraId="6D1C73C5" w14:textId="77777777">
      <w:tc>
        <w:tcPr>
          <w:tcW w:w="3210" w:type="dxa"/>
        </w:tcPr>
        <w:p w14:paraId="6D1C73C2" w14:textId="77777777">
          <w:pPr>
            <w:tabs>
              <w:tab w:val="center" w:pos="4819"/>
              <w:tab w:val="right" w:pos="9638"/>
            </w:tabs>
            <w:suppressAutoHyphens/>
            <w:ind w:left="-115"/>
          </w:pPr>
        </w:p>
      </w:tc>
      <w:tc>
        <w:tcPr>
          <w:tcW w:w="3210" w:type="dxa"/>
        </w:tcPr>
        <w:p w14:paraId="6D1C73C3" w14:textId="77777777">
          <w:pPr>
            <w:tabs>
              <w:tab w:val="center" w:pos="4819"/>
              <w:tab w:val="right" w:pos="9638"/>
            </w:tabs>
            <w:suppressAutoHyphens/>
            <w:jc w:val="center"/>
          </w:pPr>
        </w:p>
      </w:tc>
      <w:tc>
        <w:tcPr>
          <w:tcW w:w="3210" w:type="dxa"/>
        </w:tcPr>
        <w:p w14:paraId="6D1C73C4" w14:textId="77777777">
          <w:pPr>
            <w:tabs>
              <w:tab w:val="center" w:pos="4819"/>
              <w:tab w:val="right" w:pos="9638"/>
            </w:tabs>
            <w:suppressAutoHyphens/>
            <w:ind w:right="-115"/>
          </w:pPr>
        </w:p>
      </w:tc>
    </w:tr>
  </w:tbl>
  <w:p w14:paraId="6D1C73C6" w14:textId="77777777">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D2BDD1" w14:textId="77777777">
      <w:r>
        <w:separator/>
      </w:r>
    </w:p>
  </w:footnote>
  <w:footnote w:type="continuationSeparator" w:id="0">
    <w:p w14:paraId="4FC300F9"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C3E1C" w14:textId="77777777">
    <w:pPr>
      <w:suppressLineNumbers/>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C73BA" w14:textId="77777777">
    <w:pPr>
      <w:tabs>
        <w:tab w:val="center" w:pos="4819"/>
        <w:tab w:val="right" w:pos="9638"/>
      </w:tabs>
      <w:suppressAutoHyphens/>
      <w:jc w:val="center"/>
    </w:pPr>
    <w:r>
      <w:fldChar w:fldCharType="begin"/>
    </w:r>
    <w:r>
      <w:instrText xml:space="preserve"> PAGE </w:instrText>
    </w:r>
    <w:r>
      <w:fldChar w:fldCharType="separate"/>
    </w:r>
    <w:r>
      <w:t>2</w:t>
    </w:r>
    <w:r>
      <w:fldChar w:fldCharType="end"/>
    </w:r>
  </w:p>
  <w:p w14:paraId="6D1C73BB" w14:textId="77777777">
    <w:pPr>
      <w:tabs>
        <w:tab w:val="center" w:pos="4819"/>
        <w:tab w:val="right" w:pos="9638"/>
      </w:tabs>
      <w:suppressAutoHyphen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C73C1" w14:textId="77777777">
    <w:pPr>
      <w:suppressLineNumbers/>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doNotHyphenateCaps/>
  <w:characterSpacingControl w:val="doNotCompress"/>
  <w:footnotePr>
    <w:footnote w:id="-1"/>
    <w:footnote w:id="0"/>
  </w:footnotePr>
  <w:endnotePr>
    <w:endnote w:id="-1"/>
    <w:endnote w:id="0"/>
  </w:endnotePr>
  <w:compat>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5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1C7399"/>
  <w15:docId w15:val="{F9155DE8-E146-4443-B607-36429C071A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as" ma:contentTypeID="0x0101004286707E91598248B15097CD38408A11" ma:contentTypeVersion="1" ma:contentTypeDescription="Kurkite naują dokumentą." ma:contentTypeScope="" ma:versionID="cf7d10f6db9baa3d5d222fd044bb7f87">
  <xsd:schema xmlns:xsd="http://www.w3.org/2001/XMLSchema" xmlns:xs="http://www.w3.org/2001/XMLSchema" xmlns:p="http://schemas.microsoft.com/office/2006/metadata/properties" xmlns:ns2="28130d43-1b56-4a10-ad88-2cd38123f4c1" targetNamespace="http://schemas.microsoft.com/office/2006/metadata/properties" ma:root="true" ma:fieldsID="8371bbb0e07aa477de93ed9326d97380" ns2:_="">
    <xsd:import namespace="28130d43-1b56-4a10-ad88-2cd38123f4c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8130d43-1b56-4a10-ad88-2cd38123f4c1">Z6YWEJNPDQQR-652867478-22054</_dlc_DocId>
    <_dlc_DocIdUrl xmlns="28130d43-1b56-4a10-ad88-2cd38123f4c1">
      <Url>https://intranetas.lrs.lt/16/_layouts/15/DocIdRedir.aspx?ID=Z6YWEJNPDQQR-652867478-22054</Url>
      <Description>Z6YWEJNPDQQR-652867478-22054</Description>
    </_dlc_DocIdUrl>
  </documentManagement>
</p:properties>
</file>

<file path=customXml/item5.xml><?xml version="1.0" encoding="utf-8"?>
<Parts xmlns="http://lrs.lt/TAIS/DocParts">
  <Part Type="lentele" DocPartId="ecc04b6d95cf43b3a110837cd54f8843" PartId="f1a1fc7e7f8d45a9904a106bd5aed2b9">
    <Part Type="skirsnis" Title="Projektas Nr. XVP-1405(2)" DocPartId="60212e2a9e6a42ffab107a258b9483d5" PartId="253b944c520f493c841267b2517e98a0"/>
    <Part Type="skirsnis" Title="LIETUVOS RESPUBLIKOS ŠVIETIMO ĮSTATYMO NR. I-1489 7, 8, 9, 10, 11, 14, 16, 19, 20, 21, 23, 29, 36, 38, 39, 41, 43, 44, 46, 49, 52, 53, 56, 57, 58, 59, 62, 63, 64, 67, 69, 70 STRAIPSNIŲ PAKEITIMO IR ĮSTATYMO PAPILDYMO 564 STRAIPSNIU ĮSTATYMO NR. XIV-1726 4 STRAIPSNIO PAKEITIMO ĮSTATYMAS" DocPartId="a25bb3ad2c4549139fe51c33639afad1" PartId="2ace1194da804ed180a483ba22571479">
      <Part Type="straipsnis" Nr="1" Abbr="1 str." Title="4 straipsnio pakeitimas" DocPartId="2e05e91eb032471f8ce60e1e6a7aec74" PartId="5e09e9d2eb57421fa658f4593c46a3b1">
        <Part Type="strDalis" Nr="1" Abbr="1 str. 1 d." DocPartId="3bfd822682b147f3aebfa717c2755674" PartId="68a027faf90240568fb70890966d6b7e">
          <Part Type="citata" DocPartId="aaa5a4c6f2974b0695409931acea2f40" PartId="d1bddd8a0c1e4c0d816e9a5b09fd7eb1">
            <Part Type="straipsnis" Nr="4" Abbr="4 str." Title="10 straipsnio pakeitimas" DocPartId="7ef17e8eeecc41f0b4c0d970d92e7ff9" PartId="3489135292234e38b470816cc1ccca4b"/>
          </Part>
        </Part>
        <Part Type="strDalis" Nr="2" Abbr="1 str. 2 d." DocPartId="044132f24b7f4f0baa7108d6b18e66e5" PartId="f1845760ecfb4e4ba8b953776e221c8f"/>
        <Part Type="strDalis" Nr="1" Abbr="1 str. 1 d." DocPartId="0ac752d07bf94e3aab6f693425f4dda0" PartId="cd4958967c894750a03cdc6da80d01c9"/>
        <Part Type="strDalis" Nr="2" Abbr="1 str. 2 d." DocPartId="ee176660cb3b42fc99065f639fdc5301" PartId="e5e6d3917b6c45d185880c2e9376496b"/>
        <Part Type="strDalis" Nr="3" Abbr="1 str. 3 d." DocPartId="7ffe242ec4094aff84a09086bb662aaa" PartId="8dedefe4e1b945debdb1a7c56da1e527"/>
        <Part Type="strDalis" Nr="4" Abbr="1 str. 4 d." DocPartId="58aff8e87c4e4c379e5329305699fea8" PartId="334158a08f8e4d489a06373bff4dccd6"/>
        <Part Type="strDalis" Nr="5" Abbr="1 str. 5 d." DocPartId="f7ee654d2e0c43568b0e2ca6e956be3f" PartId="16451d0eb87f4ec5a0d91afe0c2d7c65"/>
      </Part>
    </Part>
    <Part Type="signatura" DocPartId="aa0d907ec72f43e78ba9a896ac51fb2f" PartId="72e18bdd9f804896b68d91cd106927b8"/>
  </Part>
</Parts>
</file>

<file path=customXml/itemProps1.xml><?xml version="1.0" encoding="utf-8"?>
<ds:datastoreItem xmlns:ds="http://schemas.openxmlformats.org/officeDocument/2006/customXml" ds:itemID="{4F10A3AC-56FF-4CD9-B04B-375C4D44A72F}">
  <ds:schemaRefs>
    <ds:schemaRef ds:uri="http://schemas.microsoft.com/sharepoint/v3/contenttype/forms"/>
  </ds:schemaRefs>
</ds:datastoreItem>
</file>

<file path=customXml/itemProps2.xml><?xml version="1.0" encoding="utf-8"?>
<ds:datastoreItem xmlns:ds="http://schemas.openxmlformats.org/officeDocument/2006/customXml" ds:itemID="{B9B15617-FC05-4BF6-8753-1DA9CE187F21}">
  <ds:schemaRefs>
    <ds:schemaRef ds:uri="http://schemas.microsoft.com/sharepoint/events"/>
  </ds:schemaRefs>
</ds:datastoreItem>
</file>

<file path=customXml/itemProps3.xml><?xml version="1.0" encoding="utf-8"?>
<ds:datastoreItem xmlns:ds="http://schemas.openxmlformats.org/officeDocument/2006/customXml" ds:itemID="{5C2F87F3-4476-49D6-BE75-2F3AE534E5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00A670-FBB6-4ACF-A272-29945C0666DE}">
  <ds:schemaRefs>
    <ds:schemaRef ds:uri="http://schemas.microsoft.com/office/2006/metadata/properties"/>
    <ds:schemaRef ds:uri="http://schemas.microsoft.com/office/infopath/2007/PartnerControls"/>
    <ds:schemaRef ds:uri="28130d43-1b56-4a10-ad88-2cd38123f4c1"/>
  </ds:schemaRefs>
</ds:datastoreItem>
</file>

<file path=customXml/itemProps5.xml><?xml version="1.0" encoding="utf-8"?>
<ds:datastoreItem xmlns:ds="http://schemas.openxmlformats.org/officeDocument/2006/customXml" ds:itemID="{A02B23BE-3EF6-4D68-9F7A-F4A5E7D1F6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358</Words>
  <Characters>2492</Characters>
  <Application>Microsoft Office Word</Application>
  <DocSecurity>4</DocSecurity>
  <Lines>56</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2026-06-26T11:33:00Z</dcterms:created>
  <dc:creator>STASIULIENĖ Nerija</dc:creator>
  <dc:language>lt-LT</dc:language>
  <lastModifiedBy>adlibuser</lastModifiedBy>
  <dcterms:modified xsi:type="dcterms:W3CDTF">2026-06-26T11:33:00Z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a90ebc6e-248c-4388-b745-2123e0ee5864</vt:lpwstr>
  </property>
  <property fmtid="{D5CDD505-2E9C-101B-9397-08002B2CF9AE}" pid="3" name="ContentTypeId">
    <vt:lpwstr>0x0101004286707E91598248B15097CD38408A11</vt:lpwstr>
  </property>
</Properties>
</file>